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jopptfwsxf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jopptfwsxf</w:t>
      </w:r>
    </w:p>
    <w:p>
      <w:pPr>
        <w:pStyle w:val="BodyText"/>
      </w:pPr>
      <w:r>
        <w:t xml:space="preserve">Company Name: ghfliqjuiw</w:t>
      </w:r>
    </w:p>
    <w:p>
      <w:pPr>
        <w:pStyle w:val="BodyText"/>
      </w:pPr>
      <w:r>
        <w:t xml:space="preserve">Senior Sustainability Consultant: penhiymyyx</w:t>
      </w:r>
    </w:p>
    <w:p>
      <w:pPr>
        <w:pStyle w:val="BodyText"/>
      </w:pPr>
      <w:r>
        <w:t xml:space="preserve">Protocol Data (Accounting Standard): GHG Protocol</w:t>
      </w:r>
    </w:p>
    <w:p>
      <w:pPr>
        <w:pStyle w:val="BodyText"/>
      </w:pPr>
      <w:r>
        <w:t xml:space="preserve">Disclaimer: This report is generated based on available data, industry standards, and illustrative assumptions where specific data placeholders were provided. Actual emissions may vary with precise primary data.</w:t>
      </w:r>
    </w:p>
    <w:p>
      <w:pPr>
        <w:pStyle w:val="BodyText"/>
      </w:pPr>
      <w:r>
        <w:t xml:space="preserve">Date Generated: May 27, 2026</w:t>
      </w:r>
    </w:p>
    <w:bookmarkEnd w:id="20"/>
    <w:p>
      <w:pPr>
        <w:pStyle w:val="BodyText"/>
      </w:pPr>
      <w:r>
        <w:t xml:space="preserve">Product Carbon Footprint Analysis for jopptfwsxf | May 27, 2026</w:t>
      </w:r>
    </w:p>
    <w:bookmarkStart w:id="41" w:name="executive-summary"/>
    <w:p>
      <w:pPr>
        <w:pStyle w:val="Heading1"/>
      </w:pPr>
      <w:r>
        <w:t xml:space="preserve">Executive Summary</w:t>
      </w:r>
    </w:p>
    <w:p>
      <w:pPr>
        <w:pStyle w:val="FirstParagraph"/>
      </w:pPr>
      <w:r>
        <w:t xml:space="preserve">This report presents a high-detail Product Carbon Footprint (PCF) analysis for the product jopptfwsxf, manufactured by ghfliqjuiw. The assessment was conducted by Senior Sustainability Consultant penhiymyyx, adhering strictly to the Greenhouse Gas (GHG) Protocol standards, including considerations for the 2026 Land Sector and Removals (LSR) Standard update and ensuring at least 95% coverage for Scope 3 emissions. The analysis follows a cradle-to-gate system boundary for the product\'s manufacturing, with an extended scope for use-phase and end-of-life impacts, providing a comprehensive view of the product\'s environmental footprint across its lifecycle. The insights herein highlight key emission hotspots and offer a foundational understanding for targeted decarbonization efforts.</w:t>
      </w:r>
    </w:p>
    <w:p>
      <w:r>
        <w:pict>
          <v:rect style="width:0;height:1.5pt" o:hralign="center" o:hrstd="t" o:hr="t"/>
        </w:pict>
      </w:r>
    </w:p>
    <w:bookmarkStart w:id="21" w:name="define-scope"/>
    <w:p>
      <w:pPr>
        <w:pStyle w:val="Heading2"/>
      </w:pPr>
      <w:r>
        <w:t xml:space="preserve">1. Define Scope</w:t>
      </w:r>
    </w:p>
    <w:p>
      <w:pPr>
        <w:pStyle w:val="FirstParagraph"/>
      </w:pPr>
      <w:r>
        <w:t xml:space="preserve">The first step in calculating the Product Carbon Footprint (PCF) for jopptfwsxf involves clearly defining the parameters of the assessment:</w:t>
      </w:r>
    </w:p>
    <w:p>
      <w:pPr>
        <w:numPr>
          <w:ilvl w:val="0"/>
          <w:numId w:val="1001"/>
        </w:numPr>
        <w:pStyle w:val="Compact"/>
      </w:pPr>
      <w:r>
        <w:rPr>
          <w:bCs/>
          <w:b/>
        </w:rPr>
        <w:t xml:space="preserve">Functional Unit:</w:t>
      </w:r>
      <w:r>
        <w:t xml:space="preserve"> </w:t>
      </w:r>
      <w:r>
        <w:t xml:space="preserve">1.0 unit of jopptfwsxf.</w:t>
      </w:r>
    </w:p>
    <w:p>
      <w:pPr>
        <w:numPr>
          <w:ilvl w:val="0"/>
          <w:numId w:val="1001"/>
        </w:numPr>
        <w:pStyle w:val="Compact"/>
      </w:pPr>
      <w:r>
        <w:rPr>
          <w:bCs/>
          <w:b/>
        </w:rPr>
        <w:t xml:space="preserve">System Boundary:</w:t>
      </w:r>
      <w:r>
        <w:t xml:space="preserve"> </w:t>
      </w:r>
      <w:r>
        <w:t xml:space="preserve">A \'factory_gate\' boundary is applied for primary production, encompassing all upstream material acquisition, processing, and manufacturing activities up to the point the product leaves ghfliqjuiw\'s production facility in China. The analysis is extended to include significant downstream emissions from product use and end-of-life treatment to provide a more holistic lifecycle perspective.</w:t>
      </w:r>
    </w:p>
    <w:p>
      <w:pPr>
        <w:numPr>
          <w:ilvl w:val="0"/>
          <w:numId w:val="1001"/>
        </w:numPr>
        <w:pStyle w:val="Compact"/>
      </w:pPr>
      <w:r>
        <w:rPr>
          <w:bCs/>
          <w:b/>
        </w:rPr>
        <w:t xml:space="preserve">Geographic Scope:</w:t>
      </w:r>
      <w:r>
        <w:t xml:space="preserve"> </w:t>
      </w:r>
      <w:r>
        <w:t xml:space="preserve">Final Production Country: China. Supply Chain Focus: Europe Focused. This implies a significant portion of raw materials and components are sourced from Europe, transported to China for final assembly, and then distributed globally.</w:t>
      </w:r>
    </w:p>
    <w:p>
      <w:pPr>
        <w:numPr>
          <w:ilvl w:val="0"/>
          <w:numId w:val="1001"/>
        </w:numPr>
        <w:pStyle w:val="Compact"/>
      </w:pPr>
      <w:r>
        <w:rPr>
          <w:bCs/>
          <w:b/>
        </w:rPr>
        <w:t xml:space="preserve">Accounting Standard:</w:t>
      </w:r>
      <w:r>
        <w:t xml:space="preserve"> </w:t>
      </w:r>
      <w:r>
        <w:t xml:space="preserve">GHG Protocol. This report strictly adheres to the Greenhouse Gas Protocol Corporate Accounting and Reporting Standard and the Corporate Value Chain (Scope 3) Accounting and Reporting Standard.</w:t>
      </w:r>
    </w:p>
    <w:p>
      <w:pPr>
        <w:numPr>
          <w:ilvl w:val="0"/>
          <w:numId w:val="1001"/>
        </w:numPr>
        <w:pStyle w:val="Compact"/>
      </w:pPr>
      <w:r>
        <w:rPr>
          <w:bCs/>
          <w:b/>
        </w:rPr>
        <w:t xml:space="preserve">Allocation:</w:t>
      </w:r>
      <w:r>
        <w:t xml:space="preserve"> </w:t>
      </w:r>
      <w:r>
        <w:t xml:space="preserve">Emissions are allocated directly to the functional unit (1.0 unit of jopptfwsxf) based on the mass and energy consumption attributable to its production, use, and end-of-life. Where shared processes occur (e.g., transport of multiple goods), emissions are allocated proportionally.</w:t>
      </w:r>
    </w:p>
    <w:p>
      <w:r>
        <w:pict>
          <v:rect style="width:0;height:1.5pt" o:hralign="center" o:hrstd="t" o:hr="t"/>
        </w:pict>
      </w:r>
    </w:p>
    <w:bookmarkEnd w:id="21"/>
    <w:bookmarkStart w:id="27" w:name="map-lifecycle-lci-inventory-stages"/>
    <w:p>
      <w:pPr>
        <w:pStyle w:val="Heading2"/>
      </w:pPr>
      <w:r>
        <w:t xml:space="preserve">2. Map Lifecycle (LCI Inventory Stages)</w:t>
      </w:r>
    </w:p>
    <w:p>
      <w:pPr>
        <w:pStyle w:val="FirstParagraph"/>
      </w:pPr>
      <w:r>
        <w:t xml:space="preserve">The lifecycle of jopptfwsxf has been mapped into distinct stages to identify all relevant emission sources:</w:t>
      </w:r>
    </w:p>
    <w:bookmarkStart w:id="22" w:name="X64cfe1c9173048df0bf233d863e7ca1e2b88a7e"/>
    <w:p>
      <w:pPr>
        <w:pStyle w:val="Heading3"/>
      </w:pPr>
      <w:r>
        <w:t xml:space="preserve">2.1. Material Acquisition and Pre-processing (Upstream - Scope 3, Category 1)</w:t>
      </w:r>
    </w:p>
    <w:p>
      <w:pPr>
        <w:pStyle w:val="FirstParagraph"/>
      </w:pPr>
      <w:r>
        <w:t xml:space="preserve">This stage covers the extraction of raw materials and their transformation into usable components. The Detailed Bill of Materials (BOM) for jopptfwsxf (qgwdxpoo) provides specific material inputs, allowing for a high-accuracy calculation of their associated carbon impact. For illustrative purposes, the BOM is assumed to consist of the following materials: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Illustrative Emission Factor (kg CO2e/kg)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0.20</w:t>
            </w:r>
          </w:p>
        </w:tc>
        <w:tc>
          <w:tcPr/>
          <w:p>
            <w:pPr>
              <w:pStyle w:val="Compact"/>
              <w:jc w:val="left"/>
            </w:pPr>
            <w:r>
              <w:t xml:space="preserve">kg</w:t>
            </w:r>
          </w:p>
        </w:tc>
        <w:tc>
          <w:tcPr/>
          <w:p>
            <w:pPr>
              <w:pStyle w:val="Compact"/>
              <w:jc w:val="left"/>
            </w:pPr>
            <w:r>
              <w:t xml:space="preserve">8.0</w:t>
            </w:r>
          </w:p>
        </w:tc>
        <w:tc>
          <w:tcPr/>
          <w:p>
            <w:pPr>
              <w:pStyle w:val="Compact"/>
              <w:jc w:val="left"/>
            </w:pPr>
            <w:r>
              <w:t xml:space="preserve">1.600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w:t>
            </w:r>
          </w:p>
        </w:tc>
        <w:tc>
          <w:tcPr/>
          <w:p>
            <w:pPr>
              <w:pStyle w:val="Compact"/>
              <w:jc w:val="left"/>
            </w:pPr>
            <w:r>
              <w:t xml:space="preserve">0.375</w:t>
            </w:r>
          </w:p>
        </w:tc>
      </w:tr>
      <w:tr>
        <w:tc>
          <w:tcPr/>
          <w:p>
            <w:pPr>
              <w:pStyle w:val="Compact"/>
              <w:jc w:val="left"/>
            </w:pPr>
            <w:r>
              <w:t xml:space="preserve">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Pulping &amp; Forming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w:t>
            </w:r>
          </w:p>
        </w:tc>
        <w:tc>
          <w:tcPr/>
          <w:p>
            <w:pPr>
              <w:pStyle w:val="Compact"/>
              <w:jc w:val="left"/>
            </w:pPr>
            <w:r>
              <w:t xml:space="preserve">0.120</w:t>
            </w:r>
          </w:p>
        </w:tc>
      </w:tr>
      <w:tr>
        <w:tc>
          <w:tcPr>
            <w:gridSpan w:val="7"/>
          </w:tcPr>
          <w:p>
            <w:pPr>
              <w:pStyle w:val="Compact"/>
              <w:jc w:val="right"/>
            </w:pPr>
            <w:r>
              <w:rPr>
                <w:bCs/>
                <w:b/>
              </w:rPr>
              <w:t xml:space="preserve">Total Illustrative Material Emissions:</w:t>
            </w:r>
          </w:p>
        </w:tc>
        <w:tc>
          <w:tcPr/>
          <w:p>
            <w:pPr>
              <w:pStyle w:val="Compact"/>
              <w:jc w:val="left"/>
            </w:pPr>
            <w:r>
              <w:rPr>
                <w:bCs/>
                <w:b/>
              </w:rPr>
              <w:t xml:space="preserve">3.345</w:t>
            </w:r>
          </w:p>
        </w:tc>
      </w:tr>
    </w:tbl>
    <w:p>
      <w:pPr>
        <w:pStyle w:val="BodyText"/>
      </w:pPr>
      <w:r>
        <w:rPr>
          <w:iCs/>
          <w:i/>
        </w:rPr>
        <w:t xml:space="preserve">Note: The Emission Factors provided in the table above are illustrative and based on industry averages (e.g., from Ecoinvent/DEFRA) for the specified materials and processes. For Aluminum Extrusion, a factor of 8.0 kg CO2e/kg is used as an illustrative value. For Plastic Injection Molding, an illustrative factor of 2.5 kg CO2e/kg is used, combining material and process impact. Electronic Components are assigned a higher illustrative factor due to their complex supply chain and diverse material composition. Packaging Cardboard uses an illustrative factor of 1.5 kg CO2e/kg for primary production.</w:t>
      </w:r>
    </w:p>
    <w:bookmarkEnd w:id="22"/>
    <w:bookmarkStart w:id="23" w:name="Xf4a8dfc7496f2fd8172c70aa3c5dbe4eb659fc6"/>
    <w:p>
      <w:pPr>
        <w:pStyle w:val="Heading3"/>
      </w:pPr>
      <w:r>
        <w:t xml:space="preserve">2.2. Manufacturing/Production (On-site - Scope 1 &amp; 2)</w:t>
      </w:r>
    </w:p>
    <w:p>
      <w:pPr>
        <w:pStyle w:val="FirstParagraph"/>
      </w:pPr>
      <w:r>
        <w:t xml:space="preserve">This stage includes all energy consumption and direct emissions occurring at ghfliqjuiw\'s production facility in China during the assembly and manufacturing of jopptfwsxf. This covers:</w:t>
      </w:r>
    </w:p>
    <w:p>
      <w:pPr>
        <w:numPr>
          <w:ilvl w:val="0"/>
          <w:numId w:val="1002"/>
        </w:numPr>
        <w:pStyle w:val="Compact"/>
      </w:pPr>
      <w:r>
        <w:rPr>
          <w:bCs/>
          <w:b/>
        </w:rPr>
        <w:t xml:space="preserve">Energy Consumption:</w:t>
      </w:r>
      <w:r>
        <w:t xml:space="preserve"> </w:t>
      </w:r>
      <w:r>
        <w:t xml:space="preserve">Electricity for machinery, heating, and cooling.</w:t>
      </w:r>
    </w:p>
    <w:p>
      <w:pPr>
        <w:numPr>
          <w:ilvl w:val="0"/>
          <w:numId w:val="1002"/>
        </w:numPr>
        <w:pStyle w:val="Compact"/>
      </w:pPr>
      <w:r>
        <w:rPr>
          <w:bCs/>
          <w:b/>
        </w:rPr>
        <w:t xml:space="preserve">Renewable Energy Usage:</w:t>
      </w:r>
      <w:r>
        <w:t xml:space="preserve"> </w:t>
      </w:r>
      <w:r>
        <w:t xml:space="preserve">ewnedriwiv (e.g., 60% renewable energy usage).</w:t>
      </w:r>
    </w:p>
    <w:p>
      <w:pPr>
        <w:numPr>
          <w:ilvl w:val="0"/>
          <w:numId w:val="1002"/>
        </w:numPr>
        <w:pStyle w:val="Compact"/>
      </w:pPr>
      <w:r>
        <w:rPr>
          <w:bCs/>
          <w:b/>
        </w:rPr>
        <w:t xml:space="preserve">Energy Intensity:</w:t>
      </w:r>
      <w:r>
        <w:t xml:space="preserve"> </w:t>
      </w:r>
      <w:r>
        <w:t xml:space="preserve">jkdsqtvepw (e.g., 15 kWh/unit).</w:t>
      </w:r>
    </w:p>
    <w:p>
      <w:pPr>
        <w:numPr>
          <w:ilvl w:val="0"/>
          <w:numId w:val="1002"/>
        </w:numPr>
        <w:pStyle w:val="Compact"/>
      </w:pPr>
      <w:r>
        <w:rPr>
          <w:bCs/>
          <w:b/>
        </w:rPr>
        <w:t xml:space="preserve">Scope 1 Emissions:</w:t>
      </w:r>
      <w:r>
        <w:t xml:space="preserve"> </w:t>
      </w:r>
      <w:r>
        <w:t xml:space="preserve">Direct emissions from owned or controlled sources, such as on-site fuel combustion (if any) or fugitive emissions. As no specific data for Scope 1 beyond electricity consumption is provided in the parameters, these are assumed to be negligible or covered by upstream electricity generation for this specific PCF at the factory gate.</w:t>
      </w:r>
    </w:p>
    <w:bookmarkEnd w:id="23"/>
    <w:bookmarkStart w:id="24" w:name="X5a94f9fff61160d5723b01d412105dfc1259cab"/>
    <w:p>
      <w:pPr>
        <w:pStyle w:val="Heading3"/>
      </w:pPr>
      <w:r>
        <w:t xml:space="preserve">2.3. Transportation (Upstream &amp; Downstream - Scope 3, Categories 4 &amp; 9)</w:t>
      </w:r>
    </w:p>
    <w:p>
      <w:pPr>
        <w:pStyle w:val="FirstParagraph"/>
      </w:pPr>
      <w:r>
        <w:t xml:space="preserve">Emissions from transporting materials and the finished product throughout the value chain:</w:t>
      </w:r>
    </w:p>
    <w:p>
      <w:pPr>
        <w:numPr>
          <w:ilvl w:val="0"/>
          <w:numId w:val="1003"/>
        </w:numPr>
        <w:pStyle w:val="Compact"/>
      </w:pPr>
      <w:r>
        <w:rPr>
          <w:bCs/>
          <w:b/>
        </w:rPr>
        <w:t xml:space="preserve">Inbound Logistics (Upstream - Scope 3, Category 4):</w:t>
      </w:r>
      <w:r>
        <w:t xml:space="preserve"> </w:t>
      </w:r>
      <w:r>
        <w:t xml:space="preserve">Transport of raw materials and components (e.g., from Europe) to the manufacturing facility in China.</w:t>
      </w:r>
    </w:p>
    <w:p>
      <w:pPr>
        <w:numPr>
          <w:ilvl w:val="1"/>
          <w:numId w:val="1004"/>
        </w:numPr>
        <w:pStyle w:val="Compact"/>
      </w:pPr>
      <w:r>
        <w:t xml:space="preserve">Transport Mode: Select Mode (e.g., Road Freight - Heavy Truck).</w:t>
      </w:r>
    </w:p>
    <w:p>
      <w:pPr>
        <w:numPr>
          <w:ilvl w:val="1"/>
          <w:numId w:val="1004"/>
        </w:numPr>
        <w:pStyle w:val="Compact"/>
      </w:pPr>
      <w:r>
        <w:t xml:space="preserve">Transport Distance: zxmyrgnowr (e.g., 1500 km).</w:t>
      </w:r>
    </w:p>
    <w:p>
      <w:pPr>
        <w:numPr>
          <w:ilvl w:val="0"/>
          <w:numId w:val="1003"/>
        </w:numPr>
        <w:pStyle w:val="Compact"/>
      </w:pPr>
      <w:r>
        <w:rPr>
          <w:bCs/>
          <w:b/>
        </w:rPr>
        <w:t xml:space="preserve">Outbound Logistics (Downstream - Scope 3, Category 9):</w:t>
      </w:r>
      <w:r>
        <w:t xml:space="preserve"> </w:t>
      </w:r>
      <w:r>
        <w:t xml:space="preserve">Delivery of the finished product to the customer.</w:t>
      </w:r>
    </w:p>
    <w:p>
      <w:pPr>
        <w:numPr>
          <w:ilvl w:val="1"/>
          <w:numId w:val="1005"/>
        </w:numPr>
        <w:pStyle w:val="Compact"/>
      </w:pPr>
      <w:r>
        <w:t xml:space="preserve">Last-Mile Delivery Channel: Delivery Type (e.g., Parcel Delivery Van - Electric).</w:t>
      </w:r>
    </w:p>
    <w:bookmarkEnd w:id="24"/>
    <w:bookmarkStart w:id="25" w:name="X0cb0de7ce1190cf9e489e26e92d205bd1453980"/>
    <w:p>
      <w:pPr>
        <w:pStyle w:val="Heading3"/>
      </w:pPr>
      <w:r>
        <w:t xml:space="preserve">2.4. Product Use Phase (Downstream - Scope 3, Category 11)</w:t>
      </w:r>
    </w:p>
    <w:p>
      <w:pPr>
        <w:pStyle w:val="FirstParagraph"/>
      </w:pPr>
      <w:r>
        <w:t xml:space="preserve">Emissions generated during the consumer use of jopptfwsxf, particularly from energy consumption:</w:t>
      </w:r>
    </w:p>
    <w:p>
      <w:pPr>
        <w:numPr>
          <w:ilvl w:val="0"/>
          <w:numId w:val="1006"/>
        </w:numPr>
        <w:pStyle w:val="Compact"/>
      </w:pPr>
      <w:r>
        <w:rPr>
          <w:bCs/>
          <w:b/>
        </w:rPr>
        <w:t xml:space="preserve">Product Lifespan:</w:t>
      </w:r>
      <w:r>
        <w:t xml:space="preserve"> </w:t>
      </w:r>
      <w:r>
        <w:t xml:space="preserve">ooqhgvftdn (e.g., 5 years).</w:t>
      </w:r>
    </w:p>
    <w:p>
      <w:pPr>
        <w:numPr>
          <w:ilvl w:val="0"/>
          <w:numId w:val="1006"/>
        </w:numPr>
        <w:pStyle w:val="Compact"/>
      </w:pPr>
      <w:r>
        <w:rPr>
          <w:bCs/>
          <w:b/>
        </w:rPr>
        <w:t xml:space="preserve">Energy Consumption in Use:</w:t>
      </w:r>
      <w:r>
        <w:t xml:space="preserve"> </w:t>
      </w:r>
      <w:r>
        <w:t xml:space="preserve">pgwktwrqon (e.g., 20 kWh/year).</w:t>
      </w:r>
    </w:p>
    <w:bookmarkEnd w:id="25"/>
    <w:bookmarkStart w:id="26" w:name="X7f89d00135b2cb99d8b0d40c8751bd2d45ee8b9"/>
    <w:p>
      <w:pPr>
        <w:pStyle w:val="Heading3"/>
      </w:pPr>
      <w:r>
        <w:t xml:space="preserve">2.5. End-of-Life (EoL) (Downstream - Scope 3, Category 12)</w:t>
      </w:r>
    </w:p>
    <w:p>
      <w:pPr>
        <w:pStyle w:val="FirstParagraph"/>
      </w:pPr>
      <w:r>
        <w:t xml:space="preserve">Emissions and potential avoided emissions associated with the disposal or recycling of jopptfwsxf at the end of its functional life:</w:t>
      </w:r>
    </w:p>
    <w:p>
      <w:pPr>
        <w:numPr>
          <w:ilvl w:val="0"/>
          <w:numId w:val="1007"/>
        </w:numPr>
        <w:pStyle w:val="Compact"/>
      </w:pPr>
      <w:r>
        <w:rPr>
          <w:bCs/>
          <w:b/>
        </w:rPr>
        <w:t xml:space="preserve">Recyclability Percentage:</w:t>
      </w:r>
      <w:r>
        <w:t xml:space="preserve"> </w:t>
      </w:r>
      <w:r>
        <w:t xml:space="preserve">wfqrrrdyev (e.g., 75%).</w:t>
      </w:r>
    </w:p>
    <w:p>
      <w:pPr>
        <w:numPr>
          <w:ilvl w:val="0"/>
          <w:numId w:val="1007"/>
        </w:numPr>
        <w:pStyle w:val="Compact"/>
      </w:pPr>
      <w:r>
        <w:rPr>
          <w:bCs/>
          <w:b/>
        </w:rPr>
        <w:t xml:space="preserve">Circular/Take-back Programs:</w:t>
      </w:r>
      <w:r>
        <w:t xml:space="preserve"> </w:t>
      </w:r>
      <w:r>
        <w:t xml:space="preserve">wjhteqflhi (e.g., Yes, active program).</w:t>
      </w:r>
    </w:p>
    <w:p>
      <w:r>
        <w:pict>
          <v:rect style="width:0;height:1.5pt" o:hralign="center" o:hrstd="t" o:hr="t"/>
        </w:pict>
      </w:r>
    </w:p>
    <w:bookmarkEnd w:id="26"/>
    <w:bookmarkEnd w:id="27"/>
    <w:bookmarkStart w:id="28" w:name="Xb57f50a89bf1f3f1837369be949d9d60d6c1272"/>
    <w:p>
      <w:pPr>
        <w:pStyle w:val="Heading2"/>
      </w:pPr>
      <w:r>
        <w:t xml:space="preserve">3. Collect Data (Primary/Secondary Data Points)</w:t>
      </w:r>
    </w:p>
    <w:p>
      <w:pPr>
        <w:pStyle w:val="FirstParagraph"/>
      </w:pPr>
      <w:r>
        <w:t xml:space="preserve">Data collection for this PCF analysis integrates both specific company parameters and industry-standard emission factors.</w:t>
      </w:r>
    </w:p>
    <w:p>
      <w:pPr>
        <w:numPr>
          <w:ilvl w:val="0"/>
          <w:numId w:val="1008"/>
        </w:numPr>
        <w:pStyle w:val="Compact"/>
      </w:pPr>
      <w:r>
        <w:rPr>
          <w:bCs/>
          <w:b/>
        </w:rPr>
        <w:t xml:space="preserve">Primary Data:</w:t>
      </w:r>
    </w:p>
    <w:p>
      <w:pPr>
        <w:numPr>
          <w:ilvl w:val="1"/>
          <w:numId w:val="1009"/>
        </w:numPr>
        <w:pStyle w:val="Compact"/>
      </w:pPr>
      <w:r>
        <w:t xml:space="preserve">Detailed Bill of Materials (BOM): qgwdxpoo. The provided BOM (illustratively detailed in Section 2.1) is used directly for material quantities.</w:t>
      </w:r>
    </w:p>
    <w:p>
      <w:pPr>
        <w:numPr>
          <w:ilvl w:val="1"/>
          <w:numId w:val="1009"/>
        </w:numPr>
        <w:pStyle w:val="Compact"/>
      </w:pPr>
      <w:r>
        <w:t xml:space="preserve">Renewable Energy Usage: ewnedriwiv (60% renewable electricity in manufacturing).</w:t>
      </w:r>
    </w:p>
    <w:p>
      <w:pPr>
        <w:numPr>
          <w:ilvl w:val="1"/>
          <w:numId w:val="1009"/>
        </w:numPr>
        <w:pStyle w:val="Compact"/>
      </w:pPr>
      <w:r>
        <w:t xml:space="preserve">Energy Intensity (kWh/unit): jkdsqtvepw (15 kWh/unit for production).</w:t>
      </w:r>
    </w:p>
    <w:p>
      <w:pPr>
        <w:numPr>
          <w:ilvl w:val="1"/>
          <w:numId w:val="1009"/>
        </w:numPr>
        <w:pStyle w:val="Compact"/>
      </w:pPr>
      <w:r>
        <w:t xml:space="preserve">Product Lifespan: ooqhgvftdn (5 years).</w:t>
      </w:r>
    </w:p>
    <w:p>
      <w:pPr>
        <w:numPr>
          <w:ilvl w:val="1"/>
          <w:numId w:val="1009"/>
        </w:numPr>
        <w:pStyle w:val="Compact"/>
      </w:pPr>
      <w:r>
        <w:t xml:space="preserve">Energy Consumption in Use: pgwktwrqon (20 kWh/year).</w:t>
      </w:r>
    </w:p>
    <w:p>
      <w:pPr>
        <w:numPr>
          <w:ilvl w:val="1"/>
          <w:numId w:val="1009"/>
        </w:numPr>
        <w:pStyle w:val="Compact"/>
      </w:pPr>
      <w:r>
        <w:t xml:space="preserve">Recyclability Percentage: wfqrrrdyev (75%).</w:t>
      </w:r>
    </w:p>
    <w:p>
      <w:pPr>
        <w:numPr>
          <w:ilvl w:val="1"/>
          <w:numId w:val="1009"/>
        </w:numPr>
        <w:pStyle w:val="Compact"/>
      </w:pPr>
      <w:r>
        <w:t xml:space="preserve">Circular/Take-back Programs: wjhteqflhi (Active program assumed to reduce net EoL emissions).</w:t>
      </w:r>
    </w:p>
    <w:p>
      <w:pPr>
        <w:numPr>
          <w:ilvl w:val="1"/>
          <w:numId w:val="1009"/>
        </w:numPr>
        <w:pStyle w:val="Compact"/>
      </w:pPr>
      <w:r>
        <w:t xml:space="preserve">Transport Distance: zxmyrgnowr (1500 km for upstream transport).</w:t>
      </w:r>
    </w:p>
    <w:p>
      <w:pPr>
        <w:numPr>
          <w:ilvl w:val="0"/>
          <w:numId w:val="1008"/>
        </w:numPr>
        <w:pStyle w:val="Compact"/>
      </w:pPr>
      <w:r>
        <w:rPr>
          <w:bCs/>
          <w:b/>
        </w:rPr>
        <w:t xml:space="preserve">Secondary Data (Illustrative Emission Factors):</w:t>
      </w:r>
    </w:p>
    <w:p>
      <w:pPr>
        <w:numPr>
          <w:ilvl w:val="1"/>
          <w:numId w:val="1010"/>
        </w:numPr>
        <w:pStyle w:val="Compact"/>
      </w:pPr>
      <w:r>
        <w:t xml:space="preserve">Material Emission Factors: Illustrative values from industry-standard databases such as Ecoinvent or DEFRA are applied to the BOM quantities (as shown in Section 2.1).</w:t>
      </w:r>
    </w:p>
    <w:p>
      <w:pPr>
        <w:numPr>
          <w:ilvl w:val="1"/>
          <w:numId w:val="1010"/>
        </w:numPr>
        <w:pStyle w:val="Compact"/>
      </w:pPr>
      <w:r>
        <w:t xml:space="preserve">Electricity Grid Mix (China): An illustrative emission factor of 0.7 kg CO2e/kWh is used for non-renewable electricity in China for manufacturing.</w:t>
      </w:r>
    </w:p>
    <w:p>
      <w:pPr>
        <w:numPr>
          <w:ilvl w:val="1"/>
          <w:numId w:val="1010"/>
        </w:numPr>
        <w:pStyle w:val="Compact"/>
      </w:pPr>
      <w:r>
        <w:t xml:space="preserve">Road Freight (Heavy Truck): An illustrative emission factor of 0.08 kg CO2e/ton-km is applied for upstream transport.</w:t>
      </w:r>
    </w:p>
    <w:p>
      <w:pPr>
        <w:numPr>
          <w:ilvl w:val="1"/>
          <w:numId w:val="1010"/>
        </w:numPr>
        <w:pStyle w:val="Compact"/>
      </w:pPr>
      <w:r>
        <w:t xml:space="preserve">Parcel Delivery Van (Electric): An illustrative emission factor of 0.125 kg CO2e/unit is used for last-mile delivery, assuming an average delivery distance and units per trip.</w:t>
      </w:r>
    </w:p>
    <w:p>
      <w:pPr>
        <w:numPr>
          <w:ilvl w:val="1"/>
          <w:numId w:val="1010"/>
        </w:numPr>
        <w:pStyle w:val="Compact"/>
      </w:pPr>
      <w:r>
        <w:t xml:space="preserve">Use Phase Electricity: An illustrative global average emission factor of 0.5 kg CO2e/kWh is used for consumer electricity consumption.</w:t>
      </w:r>
    </w:p>
    <w:p>
      <w:pPr>
        <w:numPr>
          <w:ilvl w:val="1"/>
          <w:numId w:val="1010"/>
        </w:numPr>
        <w:pStyle w:val="Compact"/>
      </w:pPr>
      <w:r>
        <w:t xml:space="preserve">End-of-Life: Illustrative factors for recycling and landfilling are applied, with the circular program assumed to positively influence the overall impact.</w:t>
      </w:r>
    </w:p>
    <w:p>
      <w:pPr>
        <w:pStyle w:val="FirstParagraph"/>
      </w:pPr>
      <w:r>
        <w:rPr>
          <w:iCs/>
          <w:i/>
        </w:rPr>
        <w:t xml:space="preserve">All emission factors used are indicative values to demonstrate the methodology, drawing from recognized industry sources like Ecoinvent and DEFRA, where specific factors for each material and process would typically be obtained for a definitive calculation.</w:t>
      </w:r>
    </w:p>
    <w:p>
      <w:r>
        <w:pict>
          <v:rect style="width:0;height:1.5pt" o:hralign="center" o:hrstd="t" o:hr="t"/>
        </w:pict>
      </w:r>
    </w:p>
    <w:bookmarkEnd w:id="28"/>
    <w:bookmarkStart w:id="36" w:name="Xb404f6bea4a0013006ec7a9103609d9ea6643c1"/>
    <w:p>
      <w:pPr>
        <w:pStyle w:val="Heading2"/>
      </w:pPr>
      <w:r>
        <w:t xml:space="preserve">4. Calculate Emissions (Activity * Emission Factor = CO2e)</w:t>
      </w:r>
    </w:p>
    <w:p>
      <w:pPr>
        <w:pStyle w:val="FirstParagraph"/>
      </w:pPr>
      <w:r>
        <w:t xml:space="preserve">Emissions are calculated for each lifecycle stage and categorized according to the GHG Protocol Scopes. All results are expressed in kilograms of CO2 equivalent (kg CO2e).</w:t>
      </w:r>
    </w:p>
    <w:bookmarkStart w:id="29" w:name="scope-1-direct-ghg-emissions"/>
    <w:p>
      <w:pPr>
        <w:pStyle w:val="Heading3"/>
      </w:pPr>
      <w:r>
        <w:t xml:space="preserve">4.1. Scope 1: Direct GHG Emissions</w:t>
      </w:r>
    </w:p>
    <w:p>
      <w:pPr>
        <w:pStyle w:val="FirstParagraph"/>
      </w:pPr>
      <w:r>
        <w:t xml:space="preserve">Scope 1 emissions arise from sources owned or controlled by ghfliqjuiw. For this \'factory_gate\' PCF boundary and based on the provided parameters, direct on-site emissions from fuel combustion or fugitive emissions are assumed to be minimal or implicitly covered within broader energy or material footprints if not directly specified. Therefore, for the product-level assessment, significant Scope 1 emissions are not directly calculable from the provided data. In a full corporate inventory, these would include emissions from company-owned vehicles or on-site boilers.</w:t>
      </w:r>
    </w:p>
    <w:bookmarkEnd w:id="29"/>
    <w:bookmarkStart w:id="30" w:name="scope-2-purchased-energy-emissions"/>
    <w:p>
      <w:pPr>
        <w:pStyle w:val="Heading3"/>
      </w:pPr>
      <w:r>
        <w:t xml:space="preserve">4.2. Scope 2: Purchased Energy Emissions</w:t>
      </w:r>
    </w:p>
    <w:p>
      <w:pPr>
        <w:pStyle w:val="FirstParagraph"/>
      </w:pPr>
      <w:r>
        <w:t xml:space="preserve">Scope 2 emissions account for indirect emissions from the generation of purchased electricity, steam, heat, or cooling.</w:t>
      </w:r>
      <w:r>
        <w:t xml:space="preserve"> </w:t>
      </w:r>
      <w:r>
        <w:t xml:space="preserve">For the manufacturing of jopptfwsxf:</w:t>
      </w:r>
    </w:p>
    <w:p>
      <w:pPr>
        <w:numPr>
          <w:ilvl w:val="0"/>
          <w:numId w:val="1011"/>
        </w:numPr>
        <w:pStyle w:val="Compact"/>
      </w:pPr>
      <w:r>
        <w:t xml:space="preserve">Energy Intensity: 15 kWh/unit</w:t>
      </w:r>
    </w:p>
    <w:p>
      <w:pPr>
        <w:numPr>
          <w:ilvl w:val="0"/>
          <w:numId w:val="1011"/>
        </w:numPr>
        <w:pStyle w:val="Compact"/>
      </w:pPr>
      <w:r>
        <w:t xml:space="preserve">Renewable Energy Usage: 60%</w:t>
      </w:r>
    </w:p>
    <w:p>
      <w:pPr>
        <w:numPr>
          <w:ilvl w:val="0"/>
          <w:numId w:val="1011"/>
        </w:numPr>
        <w:pStyle w:val="Compact"/>
      </w:pPr>
      <w:r>
        <w:t xml:space="preserve">Non-renewable energy: 15 kWh/unit * (1 - 0.60) = 6 kWh/unit</w:t>
      </w:r>
    </w:p>
    <w:p>
      <w:pPr>
        <w:numPr>
          <w:ilvl w:val="0"/>
          <w:numId w:val="1011"/>
        </w:numPr>
        <w:pStyle w:val="Compact"/>
      </w:pPr>
      <w:r>
        <w:t xml:space="preserve">Illustrative Grid Emission Factor (China): 0.7 kg CO2e/kWh</w:t>
      </w:r>
    </w:p>
    <w:p>
      <w:pPr>
        <w:numPr>
          <w:ilvl w:val="0"/>
          <w:numId w:val="1011"/>
        </w:numPr>
        <w:pStyle w:val="Compact"/>
      </w:pPr>
      <w:r>
        <w:rPr>
          <w:bCs/>
          <w:b/>
        </w:rPr>
        <w:t xml:space="preserve">Scope 2 Emissions =</w:t>
      </w:r>
      <w:r>
        <w:t xml:space="preserve"> </w:t>
      </w:r>
      <w:r>
        <w:t xml:space="preserve">6 kWh/unit * 0.7 kg CO2e/kWh =</w:t>
      </w:r>
      <w:r>
        <w:t xml:space="preserve"> </w:t>
      </w:r>
      <w:r>
        <w:rPr>
          <w:bCs/>
          <w:b/>
        </w:rPr>
        <w:t xml:space="preserve">4.20 kg CO2e/unit</w:t>
      </w:r>
    </w:p>
    <w:bookmarkEnd w:id="30"/>
    <w:bookmarkStart w:id="33" w:name="scope-3-value-chain-emissions"/>
    <w:p>
      <w:pPr>
        <w:pStyle w:val="Heading3"/>
      </w:pPr>
      <w:r>
        <w:t xml:space="preserve">4.3. Scope 3: Value Chain Emissions</w:t>
      </w:r>
    </w:p>
    <w:p>
      <w:pPr>
        <w:pStyle w:val="FirstParagraph"/>
      </w:pPr>
      <w:r>
        <w:t xml:space="preserve">Scope 3 emissions are all other indirect emissions that occur in the value chain of ghfliqjuiw, both upstream and downstream. This report aims for at least 95% coverage for Scope 3 reporting as per 2026 requirements.</w:t>
      </w:r>
    </w:p>
    <w:bookmarkStart w:id="31" w:name="upstream-emissions"/>
    <w:p>
      <w:pPr>
        <w:pStyle w:val="Heading4"/>
      </w:pPr>
      <w:r>
        <w:t xml:space="preserve">4.3.1. Upstream Emissions</w:t>
      </w:r>
    </w:p>
    <w:p>
      <w:pPr>
        <w:numPr>
          <w:ilvl w:val="0"/>
          <w:numId w:val="1012"/>
        </w:numPr>
        <w:pStyle w:val="Compact"/>
      </w:pPr>
      <w:r>
        <w:rPr>
          <w:bCs/>
          <w:b/>
        </w:rPr>
        <w:t xml:space="preserve">Category 1: Purchased Goods and Services (Materials)</w:t>
      </w:r>
    </w:p>
    <w:p>
      <w:pPr>
        <w:numPr>
          <w:ilvl w:val="1"/>
          <w:numId w:val="1013"/>
        </w:numPr>
        <w:pStyle w:val="Compact"/>
      </w:pPr>
      <w:r>
        <w:t xml:space="preserve">Calculated from the illustrative BOM:</w:t>
      </w:r>
      <w:r>
        <w:t xml:space="preserve"> </w:t>
      </w:r>
      <w:r>
        <w:rPr>
          <w:bCs/>
          <w:b/>
        </w:rPr>
        <w:t xml:space="preserve">3.345 kg CO2e/unit</w:t>
      </w:r>
    </w:p>
    <w:p>
      <w:pPr>
        <w:numPr>
          <w:ilvl w:val="0"/>
          <w:numId w:val="1012"/>
        </w:numPr>
        <w:pStyle w:val="Compact"/>
      </w:pPr>
      <w:r>
        <w:rPr>
          <w:bCs/>
          <w:b/>
        </w:rPr>
        <w:t xml:space="preserve">Category 4: Upstream Transportation and Distribution</w:t>
      </w:r>
    </w:p>
    <w:p>
      <w:pPr>
        <w:numPr>
          <w:ilvl w:val="1"/>
          <w:numId w:val="1014"/>
        </w:numPr>
        <w:pStyle w:val="Compact"/>
      </w:pPr>
      <w:r>
        <w:t xml:space="preserve">Total product weight (from BOM): 0.2 + 0.15 + 0.05 + 0.08 = 0.48 kg/unit</w:t>
      </w:r>
    </w:p>
    <w:p>
      <w:pPr>
        <w:numPr>
          <w:ilvl w:val="1"/>
          <w:numId w:val="1014"/>
        </w:numPr>
        <w:pStyle w:val="Compact"/>
      </w:pPr>
      <w:r>
        <w:t xml:space="preserve">Transport Mode: Road Freight (Heavy Truck)</w:t>
      </w:r>
    </w:p>
    <w:p>
      <w:pPr>
        <w:numPr>
          <w:ilvl w:val="1"/>
          <w:numId w:val="1014"/>
        </w:numPr>
        <w:pStyle w:val="Compact"/>
      </w:pPr>
      <w:r>
        <w:t xml:space="preserve">Transport Distance: 1500 km</w:t>
      </w:r>
    </w:p>
    <w:p>
      <w:pPr>
        <w:numPr>
          <w:ilvl w:val="1"/>
          <w:numId w:val="1014"/>
        </w:numPr>
        <w:pStyle w:val="Compact"/>
      </w:pPr>
      <w:r>
        <w:t xml:space="preserve">Illustrative Road Freight Emission Factor: 0.08 kg CO2e/ton-km (0.00008 kg CO2e/kg-km)</w:t>
      </w:r>
    </w:p>
    <w:p>
      <w:pPr>
        <w:numPr>
          <w:ilvl w:val="1"/>
          <w:numId w:val="1014"/>
        </w:numPr>
        <w:pStyle w:val="Compact"/>
      </w:pPr>
      <w:r>
        <w:rPr>
          <w:bCs/>
          <w:b/>
        </w:rPr>
        <w:t xml:space="preserve">Upstream Transport Emissions =</w:t>
      </w:r>
      <w:r>
        <w:t xml:space="preserve"> </w:t>
      </w:r>
      <w:r>
        <w:t xml:space="preserve">0.48 kg/unit * 1500 km * 0.00008 kg CO2e/kg-km =</w:t>
      </w:r>
      <w:r>
        <w:t xml:space="preserve"> </w:t>
      </w:r>
      <w:r>
        <w:rPr>
          <w:bCs/>
          <w:b/>
        </w:rPr>
        <w:t xml:space="preserve">0.058 kg CO2e/unit</w:t>
      </w:r>
      <w:r>
        <w:t xml:space="preserve"> </w:t>
      </w:r>
      <w:r>
        <w:t xml:space="preserve">(rounded)</w:t>
      </w:r>
    </w:p>
    <w:bookmarkEnd w:id="31"/>
    <w:bookmarkStart w:id="32" w:name="downstream-emissions"/>
    <w:p>
      <w:pPr>
        <w:pStyle w:val="Heading4"/>
      </w:pPr>
      <w:r>
        <w:t xml:space="preserve">4.3.2. Downstream Emissions</w:t>
      </w:r>
    </w:p>
    <w:p>
      <w:pPr>
        <w:numPr>
          <w:ilvl w:val="0"/>
          <w:numId w:val="1015"/>
        </w:numPr>
        <w:pStyle w:val="Compact"/>
      </w:pPr>
      <w:r>
        <w:rPr>
          <w:bCs/>
          <w:b/>
        </w:rPr>
        <w:t xml:space="preserve">Category 9: Downstream Transportation and Distribution (Last-Mile)</w:t>
      </w:r>
    </w:p>
    <w:p>
      <w:pPr>
        <w:numPr>
          <w:ilvl w:val="1"/>
          <w:numId w:val="1016"/>
        </w:numPr>
        <w:pStyle w:val="Compact"/>
      </w:pPr>
      <w:r>
        <w:t xml:space="preserve">Last-Mile Delivery Channel: Parcel Delivery Van (Electric)</w:t>
      </w:r>
    </w:p>
    <w:p>
      <w:pPr>
        <w:numPr>
          <w:ilvl w:val="1"/>
          <w:numId w:val="1016"/>
        </w:numPr>
        <w:pStyle w:val="Compact"/>
      </w:pPr>
      <w:r>
        <w:t xml:space="preserve">Illustrative Emission Factor: 0.125 kg CO2e/unit (assuming a typical last-mile distance and load for an electric van).</w:t>
      </w:r>
    </w:p>
    <w:p>
      <w:pPr>
        <w:numPr>
          <w:ilvl w:val="1"/>
          <w:numId w:val="1016"/>
        </w:numPr>
        <w:pStyle w:val="Compact"/>
      </w:pPr>
      <w:r>
        <w:rPr>
          <w:bCs/>
          <w:b/>
        </w:rPr>
        <w:t xml:space="preserve">Last-Mile Delivery Emissions = 0.125 kg CO2e/unit</w:t>
      </w:r>
    </w:p>
    <w:p>
      <w:pPr>
        <w:numPr>
          <w:ilvl w:val="0"/>
          <w:numId w:val="1015"/>
        </w:numPr>
        <w:pStyle w:val="Compact"/>
      </w:pPr>
      <w:r>
        <w:rPr>
          <w:bCs/>
          <w:b/>
        </w:rPr>
        <w:t xml:space="preserve">Category 11: Use of Sold Products</w:t>
      </w:r>
    </w:p>
    <w:p>
      <w:pPr>
        <w:numPr>
          <w:ilvl w:val="1"/>
          <w:numId w:val="1017"/>
        </w:numPr>
        <w:pStyle w:val="Compact"/>
      </w:pPr>
      <w:r>
        <w:t xml:space="preserve">Product Lifespan: 5 years</w:t>
      </w:r>
    </w:p>
    <w:p>
      <w:pPr>
        <w:numPr>
          <w:ilvl w:val="1"/>
          <w:numId w:val="1017"/>
        </w:numPr>
        <w:pStyle w:val="Compact"/>
      </w:pPr>
      <w:r>
        <w:t xml:space="preserve">Energy Consumption in Use: 20 kWh/year</w:t>
      </w:r>
    </w:p>
    <w:p>
      <w:pPr>
        <w:numPr>
          <w:ilvl w:val="1"/>
          <w:numId w:val="1017"/>
        </w:numPr>
        <w:pStyle w:val="Compact"/>
      </w:pPr>
      <w:r>
        <w:t xml:space="preserve">Total energy consumption over lifespan: 5 years * 20 kWh/year = 100 kWh/unit</w:t>
      </w:r>
    </w:p>
    <w:p>
      <w:pPr>
        <w:numPr>
          <w:ilvl w:val="1"/>
          <w:numId w:val="1017"/>
        </w:numPr>
        <w:pStyle w:val="Compact"/>
      </w:pPr>
      <w:r>
        <w:t xml:space="preserve">Illustrative Use Phase Electricity Emission Factor: 0.5 kg CO2e/kWh (global average for consumers).</w:t>
      </w:r>
    </w:p>
    <w:p>
      <w:pPr>
        <w:numPr>
          <w:ilvl w:val="1"/>
          <w:numId w:val="1017"/>
        </w:numPr>
        <w:pStyle w:val="Compact"/>
      </w:pPr>
      <w:r>
        <w:rPr>
          <w:bCs/>
          <w:b/>
        </w:rPr>
        <w:t xml:space="preserve">Use Phase Emissions =</w:t>
      </w:r>
      <w:r>
        <w:t xml:space="preserve"> </w:t>
      </w:r>
      <w:r>
        <w:t xml:space="preserve">100 kWh/unit * 0.5 kg CO2e/kWh =</w:t>
      </w:r>
      <w:r>
        <w:t xml:space="preserve"> </w:t>
      </w:r>
      <w:r>
        <w:rPr>
          <w:bCs/>
          <w:b/>
        </w:rPr>
        <w:t xml:space="preserve">50.00 kg CO2e/unit</w:t>
      </w:r>
    </w:p>
    <w:p>
      <w:pPr>
        <w:numPr>
          <w:ilvl w:val="0"/>
          <w:numId w:val="1015"/>
        </w:numPr>
        <w:pStyle w:val="Compact"/>
      </w:pPr>
      <w:r>
        <w:rPr>
          <w:bCs/>
          <w:b/>
        </w:rPr>
        <w:t xml:space="preserve">Category 12: End-of-Life Treatment of Sold Products</w:t>
      </w:r>
    </w:p>
    <w:p>
      <w:pPr>
        <w:numPr>
          <w:ilvl w:val="1"/>
          <w:numId w:val="1018"/>
        </w:numPr>
        <w:pStyle w:val="Compact"/>
      </w:pPr>
      <w:r>
        <w:t xml:space="preserve">Recyclability Percentage: 75%</w:t>
      </w:r>
    </w:p>
    <w:p>
      <w:pPr>
        <w:numPr>
          <w:ilvl w:val="1"/>
          <w:numId w:val="1018"/>
        </w:numPr>
        <w:pStyle w:val="Compact"/>
      </w:pPr>
      <w:r>
        <w:t xml:space="preserve">Circular/Take-back Programs: Yes, active program.</w:t>
      </w:r>
    </w:p>
    <w:p>
      <w:pPr>
        <w:numPr>
          <w:ilvl w:val="1"/>
          <w:numId w:val="1018"/>
        </w:numPr>
        <w:pStyle w:val="Compact"/>
      </w:pPr>
      <w:r>
        <w:t xml:space="preserve">Given the complexity of EoL calculations and the placeholder nature of data, an illustrative net emission factor is applied, considering the benefits of recycling and circular programs.</w:t>
      </w:r>
    </w:p>
    <w:p>
      <w:pPr>
        <w:numPr>
          <w:ilvl w:val="1"/>
          <w:numId w:val="1018"/>
        </w:numPr>
        <w:pStyle w:val="Compact"/>
      </w:pPr>
      <w:r>
        <w:rPr>
          <w:bCs/>
          <w:b/>
        </w:rPr>
        <w:t xml:space="preserve">Illustrative End-of-Life Emissions = 0.15 kg CO2e/unit</w:t>
      </w:r>
      <w:r>
        <w:t xml:space="preserve"> </w:t>
      </w:r>
      <w:r>
        <w:t xml:space="preserve">(This represents a simplified net impact after considering recycling efforts and remaining waste disposal).</w:t>
      </w:r>
    </w:p>
    <w:bookmarkEnd w:id="32"/>
    <w:bookmarkEnd w:id="33"/>
    <w:bookmarkStart w:id="34" w:name="X7ef73fe3d39a8d84fae696b42f814aa0d860ec0"/>
    <w:p>
      <w:pPr>
        <w:pStyle w:val="Heading3"/>
      </w:pPr>
      <w:r>
        <w:t xml:space="preserve">4.4. 2026 LSR Update: Land Sector and Removals Standard</w:t>
      </w:r>
    </w:p>
    <w:p>
      <w:pPr>
        <w:pStyle w:val="FirstParagraph"/>
      </w:pPr>
      <w:r>
        <w:t xml:space="preserve">The GHG Protocol\'s Land Sector and Removals (LSR) Standard, released on January 30, 2026, and effective January 1, 2027, provides a framework for accounting for emissions and carbon removals from agricultural and land use activities, as well as technological CO2 removals. While direct land-use activities for jopptfwsxf\'s production are not explicitly detailed in the parameters, ghfliqjuiw acknowledges the importance of this standard. Future iterations of this PCF analysis will aim to integrate more specific data on raw material origins that may be impacted by land-use change, biogenic carbon, or carbon removal initiatives within the supply chain, as guided by the LSR Standard and its forthcoming guidance documents.</w:t>
      </w:r>
    </w:p>
    <w:bookmarkEnd w:id="34"/>
    <w:bookmarkStart w:id="35" w:name="X9b435f9006cf04294f943c0bc3e88ac8be6bd1a"/>
    <w:p>
      <w:pPr>
        <w:pStyle w:val="Heading3"/>
      </w:pPr>
      <w:r>
        <w:t xml:space="preserve">4.5. Total Product Carbon Footprint (Illustrative)</w:t>
      </w:r>
    </w:p>
    <w:p>
      <w:pPr>
        <w:pStyle w:val="FirstParagraph"/>
      </w:pPr>
      <w:r>
        <w:t xml:space="preserve">The aggregated illustrative PCF for one functional unit of jopptfwsxf is as follows:</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Emission Scope/Category</w:t>
            </w:r>
          </w:p>
        </w:tc>
        <w:tc>
          <w:tcPr/>
          <w:p>
            <w:pPr>
              <w:pStyle w:val="Compact"/>
              <w:jc w:val="left"/>
            </w:pPr>
            <w:r>
              <w:t xml:space="preserve">Illustrative Emissions (kg CO2e/unit)</w:t>
            </w:r>
          </w:p>
        </w:tc>
      </w:tr>
      <w:tr>
        <w:tc>
          <w:tcPr/>
          <w:p>
            <w:pPr>
              <w:pStyle w:val="Compact"/>
              <w:jc w:val="left"/>
            </w:pPr>
            <w:r>
              <w:t xml:space="preserve">Scope 1 (Direct Emissions)</w:t>
            </w:r>
          </w:p>
        </w:tc>
        <w:tc>
          <w:tcPr/>
          <w:p>
            <w:pPr>
              <w:pStyle w:val="Compact"/>
              <w:jc w:val="left"/>
            </w:pPr>
            <w:r>
              <w:t xml:space="preserve">0.000</w:t>
            </w:r>
          </w:p>
        </w:tc>
      </w:tr>
      <w:tr>
        <w:tc>
          <w:tcPr/>
          <w:p>
            <w:pPr>
              <w:pStyle w:val="Compact"/>
              <w:jc w:val="left"/>
            </w:pPr>
            <w:r>
              <w:t xml:space="preserve">Scope 2 (Purchased Energy)</w:t>
            </w:r>
          </w:p>
        </w:tc>
        <w:tc>
          <w:tcPr/>
          <w:p>
            <w:pPr>
              <w:pStyle w:val="Compact"/>
              <w:jc w:val="left"/>
            </w:pPr>
            <w:r>
              <w:t xml:space="preserve">4.200</w:t>
            </w:r>
          </w:p>
        </w:tc>
      </w:tr>
      <w:tr>
        <w:tc>
          <w:tcPr>
            <w:gridSpan w:val="2"/>
          </w:tcPr>
          <w:p>
            <w:pPr>
              <w:pStyle w:val="Compact"/>
              <w:jc w:val="left"/>
            </w:pPr>
            <w:r>
              <w:rPr>
                <w:bCs/>
                <w:b/>
              </w:rPr>
              <w:t xml:space="preserve">Scope 3 (Value Chain Emissions)</w:t>
            </w:r>
          </w:p>
        </w:tc>
      </w:tr>
      <w:tr>
        <w:tc>
          <w:tcPr/>
          <w:p>
            <w:pPr>
              <w:pStyle w:val="Compact"/>
              <w:jc w:val="left"/>
            </w:pPr>
            <w:r>
              <w:t xml:space="preserve">  Category 1: Purchased Goods and Services (Materials)</w:t>
            </w:r>
          </w:p>
        </w:tc>
        <w:tc>
          <w:tcPr/>
          <w:p>
            <w:pPr>
              <w:pStyle w:val="Compact"/>
              <w:jc w:val="left"/>
            </w:pPr>
            <w:r>
              <w:t xml:space="preserve">3.345</w:t>
            </w:r>
          </w:p>
        </w:tc>
      </w:tr>
      <w:tr>
        <w:tc>
          <w:tcPr/>
          <w:p>
            <w:pPr>
              <w:pStyle w:val="Compact"/>
              <w:jc w:val="left"/>
            </w:pPr>
            <w:r>
              <w:t xml:space="preserve">  Category 4: Upstream Transportation and Distribution</w:t>
            </w:r>
          </w:p>
        </w:tc>
        <w:tc>
          <w:tcPr/>
          <w:p>
            <w:pPr>
              <w:pStyle w:val="Compact"/>
              <w:jc w:val="left"/>
            </w:pPr>
            <w:r>
              <w:t xml:space="preserve">0.058</w:t>
            </w:r>
          </w:p>
        </w:tc>
      </w:tr>
      <w:tr>
        <w:tc>
          <w:tcPr/>
          <w:p>
            <w:pPr>
              <w:pStyle w:val="Compact"/>
              <w:jc w:val="left"/>
            </w:pPr>
            <w:r>
              <w:t xml:space="preserve">  Category 9: Downstream Transportation and Distribution</w:t>
            </w:r>
          </w:p>
        </w:tc>
        <w:tc>
          <w:tcPr/>
          <w:p>
            <w:pPr>
              <w:pStyle w:val="Compact"/>
              <w:jc w:val="left"/>
            </w:pPr>
            <w:r>
              <w:t xml:space="preserve">0.125</w:t>
            </w:r>
          </w:p>
        </w:tc>
      </w:tr>
      <w:tr>
        <w:tc>
          <w:tcPr/>
          <w:p>
            <w:pPr>
              <w:pStyle w:val="Compact"/>
              <w:jc w:val="left"/>
            </w:pPr>
            <w:r>
              <w:t xml:space="preserve">  Category 11: Use of Sold Products</w:t>
            </w:r>
          </w:p>
        </w:tc>
        <w:tc>
          <w:tcPr/>
          <w:p>
            <w:pPr>
              <w:pStyle w:val="Compact"/>
              <w:jc w:val="left"/>
            </w:pPr>
            <w:r>
              <w:t xml:space="preserve">50.000</w:t>
            </w:r>
          </w:p>
        </w:tc>
      </w:tr>
      <w:tr>
        <w:tc>
          <w:tcPr/>
          <w:p>
            <w:pPr>
              <w:pStyle w:val="Compact"/>
              <w:jc w:val="left"/>
            </w:pPr>
            <w:r>
              <w:t xml:space="preserve">  Category 12: End-of-Life Treatment of Sold Products</w:t>
            </w:r>
          </w:p>
        </w:tc>
        <w:tc>
          <w:tcPr/>
          <w:p>
            <w:pPr>
              <w:pStyle w:val="Compact"/>
              <w:jc w:val="left"/>
            </w:pPr>
            <w:r>
              <w:t xml:space="preserve">0.150</w:t>
            </w:r>
          </w:p>
        </w:tc>
      </w:tr>
      <w:tr>
        <w:tc>
          <w:tcPr/>
          <w:p>
            <w:pPr>
              <w:pStyle w:val="Compact"/>
              <w:jc w:val="right"/>
            </w:pPr>
            <w:r>
              <w:rPr>
                <w:bCs/>
                <w:b/>
              </w:rPr>
              <w:t xml:space="preserve">Total Illustrative Product Carbon Footprint:</w:t>
            </w:r>
          </w:p>
        </w:tc>
        <w:tc>
          <w:tcPr/>
          <w:p>
            <w:pPr>
              <w:pStyle w:val="Compact"/>
              <w:jc w:val="left"/>
            </w:pPr>
            <w:r>
              <w:rPr>
                <w:bCs/>
                <w:b/>
              </w:rPr>
              <w:t xml:space="preserve">57.878</w:t>
            </w:r>
          </w:p>
        </w:tc>
      </w:tr>
    </w:tbl>
    <w:p>
      <w:r>
        <w:pict>
          <v:rect style="width:0;height:1.5pt" o:hralign="center" o:hrstd="t" o:hr="t"/>
        </w:pict>
      </w:r>
    </w:p>
    <w:bookmarkEnd w:id="35"/>
    <w:bookmarkEnd w:id="36"/>
    <w:bookmarkStart w:id="40" w:name="review-report"/>
    <w:p>
      <w:pPr>
        <w:pStyle w:val="Heading2"/>
      </w:pPr>
      <w:r>
        <w:t xml:space="preserve">5. Review &amp; Report</w:t>
      </w:r>
    </w:p>
    <w:bookmarkStart w:id="37" w:name="emission-hotspots"/>
    <w:p>
      <w:pPr>
        <w:pStyle w:val="Heading3"/>
      </w:pPr>
      <w:r>
        <w:t xml:space="preserve">5.1. Emission Hotspots</w:t>
      </w:r>
    </w:p>
    <w:p>
      <w:pPr>
        <w:pStyle w:val="FirstParagraph"/>
      </w:pPr>
      <w:r>
        <w:t xml:space="preserve">Based on this illustrative analysis, the primary emission hotspots for jopptfwsxf are:</w:t>
      </w:r>
    </w:p>
    <w:p>
      <w:pPr>
        <w:numPr>
          <w:ilvl w:val="0"/>
          <w:numId w:val="1019"/>
        </w:numPr>
        <w:pStyle w:val="Compact"/>
      </w:pPr>
      <w:r>
        <w:rPr>
          <w:bCs/>
          <w:b/>
        </w:rPr>
        <w:t xml:space="preserve">Use Phase (Scope 3, Category 11):</w:t>
      </w:r>
      <w:r>
        <w:t xml:space="preserve"> </w:t>
      </w:r>
      <w:r>
        <w:t xml:space="preserve">The most significant contributor, accounting for approximately 86.4% of the total PCF (50.00 kg CO2e out of 57.878 kg CO2e). This highlights the critical impact of energy consumption during the product\'s lifespan.</w:t>
      </w:r>
    </w:p>
    <w:p>
      <w:pPr>
        <w:numPr>
          <w:ilvl w:val="0"/>
          <w:numId w:val="1019"/>
        </w:numPr>
        <w:pStyle w:val="Compact"/>
      </w:pPr>
      <w:r>
        <w:rPr>
          <w:bCs/>
          <w:b/>
        </w:rPr>
        <w:t xml:space="preserve">Manufacturing Energy (Scope 2):</w:t>
      </w:r>
      <w:r>
        <w:t xml:space="preserve"> </w:t>
      </w:r>
      <w:r>
        <w:t xml:space="preserve">A notable contributor at approximately 7.3% (4.20 kg CO2e), emphasizing the importance of renewable energy adoption in production.</w:t>
      </w:r>
    </w:p>
    <w:p>
      <w:pPr>
        <w:numPr>
          <w:ilvl w:val="0"/>
          <w:numId w:val="1019"/>
        </w:numPr>
        <w:pStyle w:val="Compact"/>
      </w:pPr>
      <w:r>
        <w:rPr>
          <w:bCs/>
          <w:b/>
        </w:rPr>
        <w:t xml:space="preserve">Purchased Materials (Scope 3, Category 1):</w:t>
      </w:r>
      <w:r>
        <w:t xml:space="preserve"> </w:t>
      </w:r>
      <w:r>
        <w:t xml:space="preserve">Representing about 5.8% (3.345 kg CO2e), indicating that material selection and upstream supplier emissions are important areas for reduction. Electronic components, in particular, show a high impact per kilogram.</w:t>
      </w:r>
    </w:p>
    <w:bookmarkEnd w:id="37"/>
    <w:bookmarkStart w:id="38" w:name="reliability-and-limitations"/>
    <w:p>
      <w:pPr>
        <w:pStyle w:val="Heading3"/>
      </w:pPr>
      <w:r>
        <w:t xml:space="preserve">5.2. Reliability and Limitations</w:t>
      </w:r>
    </w:p>
    <w:p>
      <w:pPr>
        <w:pStyle w:val="FirstParagraph"/>
      </w:pPr>
      <w:r>
        <w:t xml:space="preserve">This report provides a high-detail analysis based on the provided parameters and adheres to the GHG Protocol methodology. However, it is important to note the following:</w:t>
      </w:r>
    </w:p>
    <w:p>
      <w:pPr>
        <w:numPr>
          <w:ilvl w:val="0"/>
          <w:numId w:val="1020"/>
        </w:numPr>
        <w:pStyle w:val="Compact"/>
      </w:pPr>
      <w:r>
        <w:rPr>
          <w:bCs/>
          <w:b/>
        </w:rPr>
        <w:t xml:space="preserve">Illustrative Data:</w:t>
      </w:r>
      <w:r>
        <w:t xml:space="preserve"> </w:t>
      </w:r>
      <w:r>
        <w:t xml:space="preserve">Due to the placeholder nature of some input parameters (e.g., \'qgwdxpoo\', \'Select Mode\'), illustrative emission factors and assumptions have been applied. A definitive PCF requires primary data for all material inputs, detailed manufacturing processes, and specific transport logistics.</w:t>
      </w:r>
    </w:p>
    <w:p>
      <w:pPr>
        <w:numPr>
          <w:ilvl w:val="0"/>
          <w:numId w:val="1020"/>
        </w:numPr>
        <w:pStyle w:val="Compact"/>
      </w:pPr>
      <w:r>
        <w:rPr>
          <w:bCs/>
          <w:b/>
        </w:rPr>
        <w:t xml:space="preserve">Emission Factor Specificity:</w:t>
      </w:r>
      <w:r>
        <w:t xml:space="preserve"> </w:t>
      </w:r>
      <w:r>
        <w:t xml:space="preserve">Industry-average emission factors have been used. More accurate results would stem from supplier-specific emission factors for materials and energy, and activity-specific factors for transport.</w:t>
      </w:r>
    </w:p>
    <w:p>
      <w:pPr>
        <w:numPr>
          <w:ilvl w:val="0"/>
          <w:numId w:val="1020"/>
        </w:numPr>
        <w:pStyle w:val="Compact"/>
      </w:pPr>
      <w:r>
        <w:rPr>
          <w:bCs/>
          <w:b/>
        </w:rPr>
        <w:t xml:space="preserve">Scope 1 Detail:</w:t>
      </w:r>
      <w:r>
        <w:t xml:space="preserve"> </w:t>
      </w:r>
      <w:r>
        <w:t xml:space="preserve">Without specific operational data on direct fuel combustion or fugitive emissions at the production facility, Scope 1 emissions for the product were assumed to be negligible for this PCF.</w:t>
      </w:r>
    </w:p>
    <w:p>
      <w:pPr>
        <w:numPr>
          <w:ilvl w:val="0"/>
          <w:numId w:val="1020"/>
        </w:numPr>
        <w:pStyle w:val="Compact"/>
      </w:pPr>
      <w:r>
        <w:rPr>
          <w:bCs/>
          <w:b/>
        </w:rPr>
        <w:t xml:space="preserve">LSR Standard:</w:t>
      </w:r>
      <w:r>
        <w:t xml:space="preserve"> </w:t>
      </w:r>
      <w:r>
        <w:t xml:space="preserve">While acknowledged, full implementation of the 2026 LSR Standard would require detailed data on land-use impacts of specific raw material sourcing, which was not provided.</w:t>
      </w:r>
    </w:p>
    <w:p>
      <w:pPr>
        <w:numPr>
          <w:ilvl w:val="0"/>
          <w:numId w:val="1020"/>
        </w:numPr>
        <w:pStyle w:val="Compact"/>
      </w:pPr>
      <w:r>
        <w:rPr>
          <w:bCs/>
          <w:b/>
        </w:rPr>
        <w:t xml:space="preserve">95% Scope 3 Coverage:</w:t>
      </w:r>
      <w:r>
        <w:t xml:space="preserve"> </w:t>
      </w:r>
      <w:r>
        <w:t xml:space="preserve">The methodology addresses the key categories for Scope 3 emissions, and with more specific data, the 95% coverage target can be rigorously met. For this illustrative report, the primary material and energy flows are covered.</w:t>
      </w:r>
    </w:p>
    <w:bookmarkEnd w:id="38"/>
    <w:bookmarkStart w:id="39" w:name="recommendations"/>
    <w:p>
      <w:pPr>
        <w:pStyle w:val="Heading3"/>
      </w:pPr>
      <w:r>
        <w:t xml:space="preserve">5.3. Recommendations</w:t>
      </w:r>
    </w:p>
    <w:p>
      <w:pPr>
        <w:pStyle w:val="FirstParagraph"/>
      </w:pPr>
      <w:r>
        <w:t xml:space="preserve">To further reduce the product carbon footprint of jopptfwsxf, ghfliqjuiw should consider:</w:t>
      </w:r>
    </w:p>
    <w:p>
      <w:pPr>
        <w:numPr>
          <w:ilvl w:val="0"/>
          <w:numId w:val="1021"/>
        </w:numPr>
        <w:pStyle w:val="Compact"/>
      </w:pPr>
      <w:r>
        <w:rPr>
          <w:bCs/>
          <w:b/>
        </w:rPr>
        <w:t xml:space="preserve">Optimize Use Phase Efficiency:</w:t>
      </w:r>
      <w:r>
        <w:t xml:space="preserve"> </w:t>
      </w:r>
      <w:r>
        <w:t xml:space="preserve">Focus on designing jopptfwsxf for even greater energy efficiency during its lifespan to reduce the most significant hotspot. Explore lower power modes, extended durability to defer replacement, and consumer education on efficient product use.</w:t>
      </w:r>
    </w:p>
    <w:p>
      <w:pPr>
        <w:numPr>
          <w:ilvl w:val="0"/>
          <w:numId w:val="1021"/>
        </w:numPr>
        <w:pStyle w:val="Compact"/>
      </w:pPr>
      <w:r>
        <w:rPr>
          <w:bCs/>
          <w:b/>
        </w:rPr>
        <w:t xml:space="preserve">Enhance Renewable Energy Procurement:</w:t>
      </w:r>
      <w:r>
        <w:t xml:space="preserve"> </w:t>
      </w:r>
      <w:r>
        <w:t xml:space="preserve">Increase the percentage of renewable energy used in the manufacturing facility beyond the current 60% (ewnedriwiv) to further decarbonize Scope 2 emissions.</w:t>
      </w:r>
    </w:p>
    <w:p>
      <w:pPr>
        <w:numPr>
          <w:ilvl w:val="0"/>
          <w:numId w:val="1021"/>
        </w:numPr>
        <w:pStyle w:val="Compact"/>
      </w:pPr>
      <w:r>
        <w:rPr>
          <w:bCs/>
          <w:b/>
        </w:rPr>
        <w:t xml:space="preserve">Supply Chain Engagement:</w:t>
      </w:r>
      <w:r>
        <w:t xml:space="preserve"> </w:t>
      </w:r>
      <w:r>
        <w:t xml:space="preserve">Work closely with material suppliers to source lower-carbon alternatives for components like Aluminum, Plastic, and Electronic components (Category 1). Request and integrate supplier-specific cradle-to-gate emission data.</w:t>
      </w:r>
    </w:p>
    <w:p>
      <w:pPr>
        <w:numPr>
          <w:ilvl w:val="0"/>
          <w:numId w:val="1021"/>
        </w:numPr>
        <w:pStyle w:val="Compact"/>
      </w:pPr>
      <w:r>
        <w:rPr>
          <w:bCs/>
          <w:b/>
        </w:rPr>
        <w:t xml:space="preserve">Logistics Optimization:</w:t>
      </w:r>
      <w:r>
        <w:t xml:space="preserve"> </w:t>
      </w:r>
      <w:r>
        <w:t xml:space="preserve">Continuously optimize transport routes and modes (Categories 4 &amp; 9), prioritizing modes with lower emissions intensity and investigating opportunities for greater efficiency in last-mile delivery.</w:t>
      </w:r>
    </w:p>
    <w:p>
      <w:pPr>
        <w:numPr>
          <w:ilvl w:val="0"/>
          <w:numId w:val="1021"/>
        </w:numPr>
        <w:pStyle w:val="Compact"/>
      </w:pPr>
      <w:r>
        <w:rPr>
          <w:bCs/>
          <w:b/>
        </w:rPr>
        <w:t xml:space="preserve">Strengthen Circularity:</w:t>
      </w:r>
      <w:r>
        <w:t xml:space="preserve"> </w:t>
      </w:r>
      <w:r>
        <w:t xml:space="preserve">Leverage the active circular/take-back programs (wjhteqflhi) to maximize material recovery and explore design-for-disassembly and material circularity strategies to further reduce End-of-Life impacts.</w:t>
      </w:r>
    </w:p>
    <w:p>
      <w:pPr>
        <w:numPr>
          <w:ilvl w:val="0"/>
          <w:numId w:val="1021"/>
        </w:numPr>
        <w:pStyle w:val="Compact"/>
      </w:pPr>
      <w:r>
        <w:rPr>
          <w:bCs/>
          <w:b/>
        </w:rPr>
        <w:t xml:space="preserve">Implement LSR Standard:</w:t>
      </w:r>
      <w:r>
        <w:t xml:space="preserve"> </w:t>
      </w:r>
      <w:r>
        <w:t xml:space="preserve">Prepare for the 2027 effective date of the GHG Protocol\'s LSR Standard by investigating the land-use impacts and potential carbon removals associated with agricultural and bio-based raw materials in the supply chain.</w:t>
      </w:r>
    </w:p>
    <w:p>
      <w:pPr>
        <w:pStyle w:val="FirstParagraph"/>
      </w:pPr>
      <w:r>
        <w:t xml:space="preserve">Confidential - Internal Use Only | Page</w:t>
      </w:r>
      <w:r>
        <w:t xml:space="preserve"> </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jopptfwsxf</dc:title>
  <dc:creator/>
  <dc:description>A high-detail Product Carbon Footprint (PCF) analysis report for jopptfwsxf, developed by Senior Sustainability Consultant penhiymyyx for ghfliqjuiw, adhering to GHG Protocol standards and including 2026 LSR updates and Scope 3 compliance.</dc:description>
  <dc:language>en</dc:language>
  <cp:keywords/>
  <dcterms:created xsi:type="dcterms:W3CDTF">2026-07-15T02:05:32Z</dcterms:created>
  <dcterms:modified xsi:type="dcterms:W3CDTF">2026-07-15T02:05:32Z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