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for</w:t>
      </w:r>
      <w:r>
        <w:t xml:space="preserve"> </w:t>
      </w:r>
      <w:r>
        <w:t xml:space="preserve">ixspqfrzsf</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rPr>
          <w:bCs/>
          <w:b/>
        </w:rPr>
        <w:t xml:space="preserve">Product:</w:t>
      </w:r>
      <w:r>
        <w:t xml:space="preserve"> </w:t>
      </w:r>
      <w:r>
        <w:t xml:space="preserve">ixspqfrzsf</w:t>
      </w:r>
    </w:p>
    <w:p>
      <w:pPr>
        <w:pStyle w:val="BodyText"/>
      </w:pPr>
      <w:r>
        <w:rPr>
          <w:bCs/>
          <w:b/>
        </w:rPr>
        <w:t xml:space="preserve">Company Name:</w:t>
      </w:r>
      <w:r>
        <w:t xml:space="preserve"> </w:t>
      </w:r>
      <w:r>
        <w:t xml:space="preserve">dzwgovukgt</w:t>
      </w:r>
    </w:p>
    <w:p>
      <w:pPr>
        <w:pStyle w:val="BodyText"/>
      </w:pPr>
      <w:r>
        <w:rPr>
          <w:bCs/>
          <w:b/>
        </w:rPr>
        <w:t xml:space="preserve">Senior Sustainability Consultant:</w:t>
      </w:r>
      <w:r>
        <w:t xml:space="preserve"> </w:t>
      </w:r>
      <w:r>
        <w:t xml:space="preserve">ekqkiudjfk</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While efforts have been made to ensure accuracy and adherence to specified methodologies, the actual environmental impact may vary depending on real-world conditions, data precision, and evolving scientific understanding.</w:t>
      </w:r>
    </w:p>
    <w:p>
      <w:pPr>
        <w:pStyle w:val="BodyText"/>
      </w:pPr>
      <w:r>
        <w:t xml:space="preserve">Generated Date: May 27, 2026</w:t>
      </w:r>
    </w:p>
    <w:bookmarkEnd w:id="20"/>
    <w:bookmarkStart w:id="57" w:name="X87282a25426f5169d623eb634eee7e4f13324d3"/>
    <w:p>
      <w:pPr>
        <w:pStyle w:val="Heading1"/>
      </w:pPr>
      <w:r>
        <w:t xml:space="preserve">Product Carbon Footprint Report for ixspqfrzsf</w:t>
      </w:r>
    </w:p>
    <w:p>
      <w:pPr>
        <w:pStyle w:val="FirstParagraph"/>
      </w:pPr>
      <w:r>
        <w:rPr>
          <w:bCs/>
          <w:b/>
        </w:rPr>
        <w:t xml:space="preserve">Generated Date:</w:t>
      </w:r>
      <w:r>
        <w:t xml:space="preserve"> </w:t>
      </w:r>
      <w:r>
        <w:t xml:space="preserve">May 27,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ixspqfrzsf, manufactured by dzwgovukgt, conducted by Senior Sustainability Consultant ekqkiudjfk. The analysis strictly adheres to the GHG Protocol and incorporates the 2026 Land Sector and Removals (LSR) Standard where applicable, ensuring comprehensive Scope 3 coverage. The total carbon footprint of ixspqfrzsf per functional unit (1.0 unit) has been calculated across its entire lifecycle, identifying key emission hotspots in materials, manufacturing, transport, use, and end-of-life phases.</w:t>
      </w:r>
    </w:p>
    <w:p>
      <w:r>
        <w:pict>
          <v:rect style="width:0;height:1.5pt" o:hralign="center" o:hrstd="t" o:hr="t"/>
        </w:pict>
      </w:r>
    </w:p>
    <w:bookmarkEnd w:id="21"/>
    <w:bookmarkStart w:id="27" w:name="scope-definition"/>
    <w:p>
      <w:pPr>
        <w:pStyle w:val="Heading2"/>
      </w:pPr>
      <w:r>
        <w:t xml:space="preserve">1. Scope Definition</w:t>
      </w:r>
    </w:p>
    <w:p>
      <w:pPr>
        <w:pStyle w:val="FirstParagraph"/>
      </w:pPr>
      <w:r>
        <w:t xml:space="preserve">The initial step of this Product Carbon Footprint (PCF) analysis involves clearly defining the parameters that govern the study. This ensures consistency, transparency, and comparability of the results.</w:t>
      </w:r>
    </w:p>
    <w:bookmarkStart w:id="22" w:name="functional-unit"/>
    <w:p>
      <w:pPr>
        <w:pStyle w:val="Heading3"/>
      </w:pPr>
      <w:r>
        <w:t xml:space="preserve">1.1 Functional Unit</w:t>
      </w:r>
    </w:p>
    <w:p>
      <w:pPr>
        <w:numPr>
          <w:ilvl w:val="0"/>
          <w:numId w:val="1001"/>
        </w:numPr>
        <w:pStyle w:val="Compact"/>
      </w:pPr>
      <w:r>
        <w:t xml:space="preserve">The functional unit for this PCF study is defined as</w:t>
      </w:r>
      <w:r>
        <w:t xml:space="preserve"> </w:t>
      </w:r>
      <w:r>
        <w:rPr>
          <w:bCs/>
          <w:b/>
        </w:rPr>
        <w:t xml:space="preserve">1.0 unit of ixspqfrzsf</w:t>
      </w:r>
      <w:r>
        <w:t xml:space="preserve">, serving as the basis for all calculations and comparisons.</w:t>
      </w:r>
    </w:p>
    <w:bookmarkEnd w:id="22"/>
    <w:bookmarkStart w:id="23" w:name="system-boundary"/>
    <w:p>
      <w:pPr>
        <w:pStyle w:val="Heading3"/>
      </w:pPr>
      <w:r>
        <w:t xml:space="preserve">1.2 System Boundary</w:t>
      </w:r>
    </w:p>
    <w:p>
      <w:pPr>
        <w:numPr>
          <w:ilvl w:val="0"/>
          <w:numId w:val="1002"/>
        </w:numPr>
        <w:pStyle w:val="Compact"/>
      </w:pPr>
      <w:r>
        <w:t xml:space="preserve">The system boundary for this analysis is a</w:t>
      </w:r>
      <w:r>
        <w:t xml:space="preserve"> </w:t>
      </w:r>
      <w:r>
        <w:rPr>
          <w:bCs/>
          <w:b/>
        </w:rPr>
        <w:t xml:space="preserve">"factory-gate"</w:t>
      </w:r>
      <w:r>
        <w:t xml:space="preserve"> </w:t>
      </w:r>
      <w:r>
        <w:t xml:space="preserve">approach, extended to include the full lifecycle (cradle-to-grave) from raw material acquisition, manufacturing, transportation, use phase, to end-of-life treatment. This includes upstream (Scope 3), direct operational (Scope 1 &amp; 2), and downstream (Scope 3) emissions.</w:t>
      </w:r>
    </w:p>
    <w:bookmarkEnd w:id="23"/>
    <w:bookmarkStart w:id="24" w:name="geographic-scope"/>
    <w:p>
      <w:pPr>
        <w:pStyle w:val="Heading3"/>
      </w:pPr>
      <w:r>
        <w:t xml:space="preserve">1.3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 (implying European grid mix for use phase and typical European end-of-life scenarios).</w:t>
      </w:r>
    </w:p>
    <w:bookmarkEnd w:id="24"/>
    <w:bookmarkStart w:id="25" w:name="allocation"/>
    <w:p>
      <w:pPr>
        <w:pStyle w:val="Heading3"/>
      </w:pPr>
      <w:r>
        <w:t xml:space="preserve">1.4 Allocation</w:t>
      </w:r>
    </w:p>
    <w:p>
      <w:pPr>
        <w:numPr>
          <w:ilvl w:val="0"/>
          <w:numId w:val="1004"/>
        </w:numPr>
        <w:pStyle w:val="Compact"/>
      </w:pPr>
      <w:r>
        <w:t xml:space="preserve">Given that the functional unit is a discrete product, allocation methods primarily focus on direct attribution of emissions to the product. For any shared processes or co-products, mass allocation is applied, consistent with GHG Protocol guidelines for product accounting.</w:t>
      </w:r>
    </w:p>
    <w:bookmarkEnd w:id="25"/>
    <w:bookmarkStart w:id="26" w:name="accounting-standard"/>
    <w:p>
      <w:pPr>
        <w:pStyle w:val="Heading3"/>
      </w:pPr>
      <w:r>
        <w:t xml:space="preserve">1.5 Accounting Standard</w:t>
      </w:r>
    </w:p>
    <w:p>
      <w:pPr>
        <w:numPr>
          <w:ilvl w:val="0"/>
          <w:numId w:val="1005"/>
        </w:numPr>
        <w:pStyle w:val="Compact"/>
      </w:pPr>
      <w:r>
        <w:t xml:space="preserve">This analysis strictly follows the</w:t>
      </w:r>
      <w:r>
        <w:t xml:space="preserve"> </w:t>
      </w:r>
      <w:r>
        <w:rPr>
          <w:bCs/>
          <w:b/>
        </w:rPr>
        <w:t xml:space="preserve">GHG Protocol (Product Life Cycle Accounting and Reporting Standard)</w:t>
      </w:r>
      <w:r>
        <w:t xml:space="preserve">. Emissions are categorized into Scope 1 (direct emissions), Scope 2 (indirect emissions from purchased energy), and Scope 3 (all other indirect emissions in the value chain).</w:t>
      </w:r>
    </w:p>
    <w:p>
      <w:r>
        <w:pict>
          <v:rect style="width:0;height:1.5pt" o:hralign="center" o:hrstd="t" o:hr="t"/>
        </w:pict>
      </w:r>
    </w:p>
    <w:bookmarkEnd w:id="26"/>
    <w:bookmarkEnd w:id="27"/>
    <w:bookmarkStart w:id="33" w:name="lifecycle-mapping-lci-inventory-stages"/>
    <w:p>
      <w:pPr>
        <w:pStyle w:val="Heading2"/>
      </w:pPr>
      <w:r>
        <w:t xml:space="preserve">2. Lifecycle Mapping (LCI Inventory Stages)</w:t>
      </w:r>
    </w:p>
    <w:p>
      <w:pPr>
        <w:pStyle w:val="FirstParagraph"/>
      </w:pPr>
      <w:r>
        <w:t xml:space="preserve">The lifecycle of ixspqfrzsf is mapped into distinct stages to systematically identify all relevant inputs, outputs, and potential emission sources.</w:t>
      </w:r>
    </w:p>
    <w:bookmarkStart w:id="28" w:name="raw-material-acquisition-processing"/>
    <w:p>
      <w:pPr>
        <w:pStyle w:val="Heading3"/>
      </w:pPr>
      <w:r>
        <w:t xml:space="preserve">2.1 Raw Material Acquisition &amp; Processing</w:t>
      </w:r>
    </w:p>
    <w:p>
      <w:pPr>
        <w:pStyle w:val="FirstParagraph"/>
      </w:pPr>
      <w:r>
        <w:t xml:space="preserve">This stage encompasses the extraction, primary processing, and refinement of all raw materials used in the product. The detailed Bill of Materials (BOM) provides the basis for quantifying these inputs.</w:t>
      </w:r>
    </w:p>
    <w:bookmarkEnd w:id="28"/>
    <w:bookmarkStart w:id="29" w:name="manufacturing"/>
    <w:p>
      <w:pPr>
        <w:pStyle w:val="Heading3"/>
      </w:pPr>
      <w:r>
        <w:t xml:space="preserve">2.2 Manufacturing</w:t>
      </w:r>
    </w:p>
    <w:p>
      <w:pPr>
        <w:pStyle w:val="FirstParagraph"/>
      </w:pPr>
      <w:r>
        <w:t xml:space="preserve">This stage includes all energy and non-energy inputs required for the transformation of raw materials into the final product at the dzwgovukgt facility in China.</w:t>
      </w:r>
    </w:p>
    <w:bookmarkEnd w:id="29"/>
    <w:bookmarkStart w:id="30" w:name="transportation"/>
    <w:p>
      <w:pPr>
        <w:pStyle w:val="Heading3"/>
      </w:pPr>
      <w:r>
        <w:t xml:space="preserve">2.3 Transportation</w:t>
      </w:r>
    </w:p>
    <w:p>
      <w:pPr>
        <w:pStyle w:val="FirstParagraph"/>
      </w:pPr>
      <w:r>
        <w:t xml:space="preserve">This stage covers the logistics involved in bringing materials to the manufacturing facility (inbound logistics), transporting the finished product to distribution centers, and last-mile delivery to the end-user.</w:t>
      </w:r>
    </w:p>
    <w:bookmarkEnd w:id="30"/>
    <w:bookmarkStart w:id="31" w:name="use-phase"/>
    <w:p>
      <w:pPr>
        <w:pStyle w:val="Heading3"/>
      </w:pPr>
      <w:r>
        <w:t xml:space="preserve">2.4 Use Phase</w:t>
      </w:r>
    </w:p>
    <w:p>
      <w:pPr>
        <w:pStyle w:val="FirstParagraph"/>
      </w:pPr>
      <w:r>
        <w:t xml:space="preserve">This stage accounts for the energy consumption of the product during its expected lifespan as used by the consumer.</w:t>
      </w:r>
    </w:p>
    <w:bookmarkEnd w:id="31"/>
    <w:bookmarkStart w:id="32" w:name="end-of-life-eol"/>
    <w:p>
      <w:pPr>
        <w:pStyle w:val="Heading3"/>
      </w:pPr>
      <w:r>
        <w:t xml:space="preserve">2.5 End-of-Life (EoL)</w:t>
      </w:r>
    </w:p>
    <w:p>
      <w:pPr>
        <w:pStyle w:val="FirstParagraph"/>
      </w:pPr>
      <w:r>
        <w:t xml:space="preserve">This stage considers the various scenarios for the product after its useful life, including recycling, disposal (landfill/incineration), and the impact of circular economy programs.</w:t>
      </w:r>
    </w:p>
    <w:p>
      <w:r>
        <w:pict>
          <v:rect style="width:0;height:1.5pt" o:hralign="center" o:hrstd="t" o:hr="t"/>
        </w:pict>
      </w:r>
    </w:p>
    <w:bookmarkEnd w:id="32"/>
    <w:bookmarkEnd w:id="33"/>
    <w:bookmarkStart w:id="39" w:name="X7b6d01ce7b6bfe45f00681616505557cddf238f"/>
    <w:p>
      <w:pPr>
        <w:pStyle w:val="Heading2"/>
      </w:pPr>
      <w:r>
        <w:t xml:space="preserve">3. Data Collection (Primary/Secondary Data Points)</w:t>
      </w:r>
    </w:p>
    <w:p>
      <w:pPr>
        <w:pStyle w:val="FirstParagraph"/>
      </w:pPr>
      <w:r>
        <w:t xml:space="preserve">Data collection for this PCF analysis relies on a combination of primary data provided by dzwgovukgt and secondary, industry-average data from reputable databases (e.g., Ecoinvent, DEFRA, IEA, Climatiq).</w:t>
      </w:r>
    </w:p>
    <w:bookmarkStart w:id="34" w:name="X31d3d947aee314b6b9fc5f6e590abcc681f5e47"/>
    <w:p>
      <w:pPr>
        <w:pStyle w:val="Heading3"/>
      </w:pPr>
      <w:r>
        <w:t xml:space="preserve">3.1 Detailed Bill of Materials (BOM) - kymnvpqn</w:t>
      </w:r>
    </w:p>
    <w:p>
      <w:pPr>
        <w:pStyle w:val="FirstParagraph"/>
      </w:pPr>
      <w:r>
        <w:t xml:space="preserve">The following table details the materials comprising ixspqfrzsf, along with their quantities and associated carbon footprints, as provided by dzwgovukgt. The "Total Carbon" value is used directly for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Aluminium_Body</w:t>
            </w:r>
          </w:p>
        </w:tc>
        <w:tc>
          <w:tcPr/>
          <w:p>
            <w:pPr>
              <w:pStyle w:val="Compact"/>
              <w:jc w:val="left"/>
            </w:pPr>
            <w:r>
              <w:t xml:space="preserve">Metals</w:t>
            </w:r>
          </w:p>
        </w:tc>
        <w:tc>
          <w:tcPr/>
          <w:p>
            <w:pPr>
              <w:pStyle w:val="Compact"/>
              <w:jc w:val="left"/>
            </w:pPr>
            <w:r>
              <w:t xml:space="preserve">Casting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12.0</w:t>
            </w:r>
          </w:p>
        </w:tc>
        <w:tc>
          <w:tcPr/>
          <w:p>
            <w:pPr>
              <w:pStyle w:val="Compact"/>
              <w:jc w:val="left"/>
            </w:pPr>
            <w:r>
              <w:t xml:space="preserve">2.40</w:t>
            </w:r>
          </w:p>
        </w:tc>
      </w:tr>
      <w:tr>
        <w:tc>
          <w:tcPr/>
          <w:p>
            <w:pPr>
              <w:pStyle w:val="Compact"/>
              <w:jc w:val="left"/>
            </w:pPr>
            <w:r>
              <w:t xml:space="preserve">2</w:t>
            </w:r>
          </w:p>
        </w:tc>
        <w:tc>
          <w:tcPr/>
          <w:p>
            <w:pPr>
              <w:pStyle w:val="Compact"/>
              <w:jc w:val="left"/>
            </w:pPr>
            <w:r>
              <w:t xml:space="preserve">Plastic_Cover</w:t>
            </w:r>
          </w:p>
        </w:tc>
        <w:tc>
          <w:tcPr/>
          <w:p>
            <w:pPr>
              <w:pStyle w:val="Compact"/>
              <w:jc w:val="left"/>
            </w:pPr>
            <w:r>
              <w:t xml:space="preserve">Plastics</w:t>
            </w:r>
          </w:p>
        </w:tc>
        <w:tc>
          <w:tcPr/>
          <w:p>
            <w:pPr>
              <w:pStyle w:val="Compact"/>
              <w:jc w:val="left"/>
            </w:pPr>
            <w:r>
              <w:t xml:space="preserve">Injection_Molding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3.0</w:t>
            </w:r>
          </w:p>
        </w:tc>
        <w:tc>
          <w:tcPr/>
          <w:p>
            <w:pPr>
              <w:pStyle w:val="Compact"/>
              <w:jc w:val="left"/>
            </w:pPr>
            <w:r>
              <w:t xml:space="preserve">0.15</w:t>
            </w:r>
          </w:p>
        </w:tc>
      </w:tr>
      <w:tr>
        <w:tc>
          <w:tcPr/>
          <w:p>
            <w:pPr>
              <w:pStyle w:val="Compact"/>
              <w:jc w:val="left"/>
            </w:pPr>
            <w:r>
              <w:t xml:space="preserve">3</w:t>
            </w:r>
          </w:p>
        </w:tc>
        <w:tc>
          <w:tcPr/>
          <w:p>
            <w:pPr>
              <w:pStyle w:val="Compact"/>
              <w:jc w:val="left"/>
            </w:pPr>
            <w:r>
              <w:t xml:space="preserve">Circuit_Board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0.02</w:t>
            </w:r>
          </w:p>
        </w:tc>
        <w:tc>
          <w:tcPr/>
          <w:p>
            <w:pPr>
              <w:pStyle w:val="Compact"/>
              <w:jc w:val="left"/>
            </w:pPr>
            <w:r>
              <w:t xml:space="preserve">unit</w:t>
            </w:r>
          </w:p>
        </w:tc>
        <w:tc>
          <w:tcPr/>
          <w:p>
            <w:pPr>
              <w:pStyle w:val="Compact"/>
              <w:jc w:val="left"/>
            </w:pPr>
            <w:r>
              <w:t xml:space="preserve">25.0</w:t>
            </w:r>
          </w:p>
        </w:tc>
        <w:tc>
          <w:tcPr/>
          <w:p>
            <w:pPr>
              <w:pStyle w:val="Compact"/>
              <w:jc w:val="left"/>
            </w:pPr>
            <w:r>
              <w:t xml:space="preserve">0.50</w:t>
            </w:r>
          </w:p>
        </w:tc>
      </w:tr>
      <w:tr>
        <w:tc>
          <w:tcPr/>
          <w:p>
            <w:pPr>
              <w:pStyle w:val="Compact"/>
              <w:jc w:val="left"/>
            </w:pPr>
            <w:r>
              <w:t xml:space="preserve">4</w:t>
            </w:r>
          </w:p>
        </w:tc>
        <w:tc>
          <w:tcPr/>
          <w:p>
            <w:pPr>
              <w:pStyle w:val="Compact"/>
              <w:jc w:val="left"/>
            </w:pPr>
            <w:r>
              <w:t xml:space="preserve">Wiring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8.0</w:t>
            </w:r>
          </w:p>
        </w:tc>
        <w:tc>
          <w:tcPr/>
          <w:p>
            <w:pPr>
              <w:pStyle w:val="Compact"/>
              <w:jc w:val="left"/>
            </w:pPr>
            <w:r>
              <w:t xml:space="preserve">0.08</w:t>
            </w:r>
          </w:p>
        </w:tc>
      </w:tr>
    </w:tbl>
    <w:p>
      <w:pPr>
        <w:pStyle w:val="BodyText"/>
      </w:pPr>
      <w:r>
        <w:rPr>
          <w:bCs/>
          <w:b/>
        </w:rPr>
        <w:t xml:space="preserve">Total Mass of Product (approx.):</w:t>
      </w:r>
      <w:r>
        <w:t xml:space="preserve"> </w:t>
      </w:r>
      <w:r>
        <w:t xml:space="preserve">0.28 kg (sum of quantities from BOM).</w:t>
      </w:r>
    </w:p>
    <w:bookmarkEnd w:id="34"/>
    <w:bookmarkStart w:id="35" w:name="production-energy-data"/>
    <w:p>
      <w:pPr>
        <w:pStyle w:val="Heading3"/>
      </w:pPr>
      <w:r>
        <w:t xml:space="preserve">3.2 Production Energy Data</w:t>
      </w:r>
    </w:p>
    <w:p>
      <w:pPr>
        <w:numPr>
          <w:ilvl w:val="0"/>
          <w:numId w:val="1006"/>
        </w:numPr>
        <w:pStyle w:val="Compact"/>
      </w:pPr>
      <w:r>
        <w:rPr>
          <w:bCs/>
          <w:b/>
        </w:rPr>
        <w:t xml:space="preserve">Renewable Energy Usage:</w:t>
      </w:r>
      <w:r>
        <w:t xml:space="preserve"> </w:t>
      </w:r>
      <w:r>
        <w:t xml:space="preserve">60% (nvrrhwevpm)</w:t>
      </w:r>
    </w:p>
    <w:p>
      <w:pPr>
        <w:numPr>
          <w:ilvl w:val="0"/>
          <w:numId w:val="1006"/>
        </w:numPr>
        <w:pStyle w:val="Compact"/>
      </w:pPr>
      <w:r>
        <w:rPr>
          <w:bCs/>
          <w:b/>
        </w:rPr>
        <w:t xml:space="preserve">Energy Intensity (kWh/unit):</w:t>
      </w:r>
      <w:r>
        <w:t xml:space="preserve"> </w:t>
      </w:r>
      <w:r>
        <w:t xml:space="preserve">5.0 kWh/unit (tfxrdevyvn)</w:t>
      </w:r>
    </w:p>
    <w:p>
      <w:pPr>
        <w:numPr>
          <w:ilvl w:val="0"/>
          <w:numId w:val="1006"/>
        </w:numPr>
        <w:pStyle w:val="Compact"/>
      </w:pPr>
      <w:r>
        <w:rPr>
          <w:bCs/>
          <w:b/>
        </w:rPr>
        <w:t xml:space="preserve">Electricity Grid Emission Factor (China):</w:t>
      </w:r>
      <w:r>
        <w:t xml:space="preserve"> </w:t>
      </w:r>
      <w:r>
        <w:t xml:space="preserve">0.62 kg CO2e/kWh (National average for 2023, assumed for non-renewable portion of manufacturing electricity).</w:t>
      </w:r>
    </w:p>
    <w:bookmarkEnd w:id="35"/>
    <w:bookmarkStart w:id="36" w:name="logistics-data"/>
    <w:p>
      <w:pPr>
        <w:pStyle w:val="Heading3"/>
      </w:pPr>
      <w:r>
        <w:t xml:space="preserve">3.3 Logistics Data</w:t>
      </w:r>
    </w:p>
    <w:p>
      <w:pPr>
        <w:numPr>
          <w:ilvl w:val="0"/>
          <w:numId w:val="1007"/>
        </w:numPr>
        <w:pStyle w:val="Compact"/>
      </w:pPr>
      <w:r>
        <w:rPr>
          <w:bCs/>
          <w:b/>
        </w:rPr>
        <w:t xml:space="preserve">Transport Mode (Inbound/Outbound):</w:t>
      </w:r>
      <w:r>
        <w:t xml:space="preserve"> </w:t>
      </w:r>
      <w:r>
        <w:t xml:space="preserve">Road Freight (HGV) (Select Mode)</w:t>
      </w:r>
    </w:p>
    <w:p>
      <w:pPr>
        <w:numPr>
          <w:ilvl w:val="0"/>
          <w:numId w:val="1007"/>
        </w:numPr>
        <w:pStyle w:val="Compact"/>
      </w:pPr>
      <w:r>
        <w:rPr>
          <w:bCs/>
          <w:b/>
        </w:rPr>
        <w:t xml:space="preserve">Transport Distance (Inbound &amp; Outbound to DC):</w:t>
      </w:r>
      <w:r>
        <w:t xml:space="preserve"> </w:t>
      </w:r>
      <w:r>
        <w:t xml:space="preserve">1500 km (jjoydoqzzw)</w:t>
      </w:r>
    </w:p>
    <w:p>
      <w:pPr>
        <w:numPr>
          <w:ilvl w:val="0"/>
          <w:numId w:val="1007"/>
        </w:numPr>
        <w:pStyle w:val="Compact"/>
      </w:pPr>
      <w:r>
        <w:rPr>
          <w:bCs/>
          <w:b/>
        </w:rPr>
        <w:t xml:space="preserve">Last-Mile Delivery Channel:</w:t>
      </w:r>
      <w:r>
        <w:t xml:space="preserve"> </w:t>
      </w:r>
      <w:r>
        <w:t xml:space="preserve">Parcel Van (Delivery Type)</w:t>
      </w:r>
    </w:p>
    <w:p>
      <w:pPr>
        <w:numPr>
          <w:ilvl w:val="0"/>
          <w:numId w:val="1007"/>
        </w:numPr>
        <w:pStyle w:val="Compact"/>
      </w:pPr>
      <w:r>
        <w:rPr>
          <w:bCs/>
          <w:b/>
        </w:rPr>
        <w:t xml:space="preserve">Assumed Last-Mile Delivery Distance:</w:t>
      </w:r>
      <w:r>
        <w:t xml:space="preserve"> </w:t>
      </w:r>
      <w:r>
        <w:t xml:space="preserve">50 km (for calculation purposes).</w:t>
      </w:r>
    </w:p>
    <w:p>
      <w:pPr>
        <w:numPr>
          <w:ilvl w:val="0"/>
          <w:numId w:val="1007"/>
        </w:numPr>
        <w:pStyle w:val="Compact"/>
      </w:pPr>
      <w:r>
        <w:rPr>
          <w:bCs/>
          <w:b/>
        </w:rPr>
        <w:t xml:space="preserve">Road Freight Emission Factor (HGV):</w:t>
      </w:r>
      <w:r>
        <w:t xml:space="preserve"> </w:t>
      </w:r>
      <w:r>
        <w:t xml:space="preserve">0.08 kg CO2e/tkm</w:t>
      </w:r>
    </w:p>
    <w:p>
      <w:pPr>
        <w:numPr>
          <w:ilvl w:val="0"/>
          <w:numId w:val="1007"/>
        </w:numPr>
        <w:pStyle w:val="Compact"/>
      </w:pPr>
      <w:r>
        <w:rPr>
          <w:bCs/>
          <w:b/>
        </w:rPr>
        <w:t xml:space="preserve">Parcel Van Emission Factor:</w:t>
      </w:r>
      <w:r>
        <w:t xml:space="preserve"> </w:t>
      </w:r>
      <w:r>
        <w:t xml:space="preserve">0.25 kg CO2e/km</w:t>
      </w:r>
    </w:p>
    <w:bookmarkEnd w:id="36"/>
    <w:bookmarkStart w:id="37" w:name="use-phase-data"/>
    <w:p>
      <w:pPr>
        <w:pStyle w:val="Heading3"/>
      </w:pPr>
      <w:r>
        <w:t xml:space="preserve">3.4 Use Phase Data</w:t>
      </w:r>
    </w:p>
    <w:p>
      <w:pPr>
        <w:numPr>
          <w:ilvl w:val="0"/>
          <w:numId w:val="1008"/>
        </w:numPr>
        <w:pStyle w:val="Compact"/>
      </w:pPr>
      <w:r>
        <w:rPr>
          <w:bCs/>
          <w:b/>
        </w:rPr>
        <w:t xml:space="preserve">Product Lifespan:</w:t>
      </w:r>
      <w:r>
        <w:t xml:space="preserve"> </w:t>
      </w:r>
      <w:r>
        <w:t xml:space="preserve">5 years (gksjfhfmyt)</w:t>
      </w:r>
    </w:p>
    <w:p>
      <w:pPr>
        <w:numPr>
          <w:ilvl w:val="0"/>
          <w:numId w:val="1008"/>
        </w:numPr>
        <w:pStyle w:val="Compact"/>
      </w:pPr>
      <w:r>
        <w:rPr>
          <w:bCs/>
          <w:b/>
        </w:rPr>
        <w:t xml:space="preserve">Energy Consumption in Use:</w:t>
      </w:r>
      <w:r>
        <w:t xml:space="preserve"> </w:t>
      </w:r>
      <w:r>
        <w:t xml:space="preserve">10 kWh/year (dsimysyvzt)</w:t>
      </w:r>
    </w:p>
    <w:p>
      <w:pPr>
        <w:numPr>
          <w:ilvl w:val="0"/>
          <w:numId w:val="1008"/>
        </w:numPr>
        <w:pStyle w:val="Compact"/>
      </w:pPr>
      <w:r>
        <w:rPr>
          <w:bCs/>
          <w:b/>
        </w:rPr>
        <w:t xml:space="preserve">Electricity Grid Emission Factor (Europe):</w:t>
      </w:r>
      <w:r>
        <w:t xml:space="preserve"> </w:t>
      </w:r>
      <w:r>
        <w:t xml:space="preserve">0.28 kg CO2e/kWh (EU-27 average for 2021).</w:t>
      </w:r>
    </w:p>
    <w:bookmarkEnd w:id="37"/>
    <w:bookmarkStart w:id="38" w:name="end-of-life-eol-data"/>
    <w:p>
      <w:pPr>
        <w:pStyle w:val="Heading3"/>
      </w:pPr>
      <w:r>
        <w:t xml:space="preserve">3.5 End-of-Life (EoL) Data</w:t>
      </w:r>
    </w:p>
    <w:p>
      <w:pPr>
        <w:numPr>
          <w:ilvl w:val="0"/>
          <w:numId w:val="1009"/>
        </w:numPr>
        <w:pStyle w:val="Compact"/>
      </w:pPr>
      <w:r>
        <w:rPr>
          <w:bCs/>
          <w:b/>
        </w:rPr>
        <w:t xml:space="preserve">Recyclability Percentage:</w:t>
      </w:r>
      <w:r>
        <w:t xml:space="preserve"> </w:t>
      </w:r>
      <w:r>
        <w:t xml:space="preserve">70% (jlzxdlnnhk)</w:t>
      </w:r>
    </w:p>
    <w:p>
      <w:pPr>
        <w:numPr>
          <w:ilvl w:val="0"/>
          <w:numId w:val="1009"/>
        </w:numPr>
        <w:pStyle w:val="Compact"/>
      </w:pPr>
      <w:r>
        <w:rPr>
          <w:bCs/>
          <w:b/>
        </w:rPr>
        <w:t xml:space="preserve">Circular/Take-back Programs:</w:t>
      </w:r>
      <w:r>
        <w:t xml:space="preserve"> </w:t>
      </w:r>
      <w:r>
        <w:t xml:space="preserve">Yes, established regional program (yqrxmovyut)</w:t>
      </w:r>
    </w:p>
    <w:p>
      <w:pPr>
        <w:numPr>
          <w:ilvl w:val="0"/>
          <w:numId w:val="1009"/>
        </w:numPr>
        <w:pStyle w:val="Compact"/>
      </w:pPr>
      <w:r>
        <w:rPr>
          <w:bCs/>
          <w:b/>
        </w:rPr>
        <w:t xml:space="preserve">Disposal Emission Factor (Non-recyclable):</w:t>
      </w:r>
      <w:r>
        <w:t xml:space="preserve"> </w:t>
      </w:r>
      <w:r>
        <w:t xml:space="preserve">0.05 kg CO2e/kg (Assumed average for landfill/incineration mix)</w:t>
      </w:r>
    </w:p>
    <w:p>
      <w:pPr>
        <w:numPr>
          <w:ilvl w:val="0"/>
          <w:numId w:val="1009"/>
        </w:numPr>
        <w:pStyle w:val="Compact"/>
      </w:pPr>
      <w:r>
        <w:rPr>
          <w:bCs/>
          <w:b/>
        </w:rPr>
        <w:t xml:space="preserve">Recycling Avoided Burden Factor (Recyclable):</w:t>
      </w:r>
      <w:r>
        <w:t xml:space="preserve"> </w:t>
      </w:r>
      <w:r>
        <w:t xml:space="preserve">-1.0 kg CO2e/kg (Assumed average credit for displaced virgin material production)</w:t>
      </w:r>
    </w:p>
    <w:p>
      <w:r>
        <w:pict>
          <v:rect style="width:0;height:1.5pt" o:hralign="center" o:hrstd="t" o:hr="t"/>
        </w:pict>
      </w:r>
    </w:p>
    <w:bookmarkEnd w:id="38"/>
    <w:bookmarkEnd w:id="39"/>
    <w:bookmarkStart w:id="51" w:name="X439a6e6dcb43c636bf515ffaf3f59bce0bd6490"/>
    <w:p>
      <w:pPr>
        <w:pStyle w:val="Heading2"/>
      </w:pPr>
      <w:r>
        <w:t xml:space="preserve">4. Emission Calculation (Activity * Emission Factor = CO2e)</w:t>
      </w:r>
    </w:p>
    <w:p>
      <w:pPr>
        <w:pStyle w:val="FirstParagraph"/>
      </w:pPr>
      <w:r>
        <w:t xml:space="preserve">Emissions are calculated for each lifecycle stage and categorized according to the GHG Protocol.</w:t>
      </w:r>
    </w:p>
    <w:bookmarkStart w:id="41" w:name="X1967d1002a85749ed5da08f0a922e1043b2055f"/>
    <w:p>
      <w:pPr>
        <w:pStyle w:val="Heading3"/>
      </w:pPr>
      <w:r>
        <w:t xml:space="preserve">4.1 Scope 3: Upstream Emissions (Category 1 - Purchased Goods and Services)</w:t>
      </w:r>
    </w:p>
    <w:bookmarkStart w:id="40" w:name="material-acquisition-processing"/>
    <w:p>
      <w:pPr>
        <w:pStyle w:val="Heading4"/>
      </w:pPr>
      <w:r>
        <w:t xml:space="preserve">Material Acquisition &amp; Processing</w:t>
      </w:r>
    </w:p>
    <w:p>
      <w:pPr>
        <w:pStyle w:val="FirstParagraph"/>
      </w:pPr>
      <w:r>
        <w:t xml:space="preserve">Based on the provided BOM, the total carbon from materials is directly summed.</w:t>
      </w:r>
    </w:p>
    <w:p>
      <w:pPr>
        <w:numPr>
          <w:ilvl w:val="0"/>
          <w:numId w:val="1010"/>
        </w:numPr>
        <w:pStyle w:val="Compact"/>
      </w:pPr>
      <w:r>
        <w:t xml:space="preserve">Aluminium Body: 2.40 kgCO2e</w:t>
      </w:r>
    </w:p>
    <w:p>
      <w:pPr>
        <w:numPr>
          <w:ilvl w:val="0"/>
          <w:numId w:val="1010"/>
        </w:numPr>
        <w:pStyle w:val="Compact"/>
      </w:pPr>
      <w:r>
        <w:t xml:space="preserve">Plastic Cover: 0.15 kgCO2e</w:t>
      </w:r>
    </w:p>
    <w:p>
      <w:pPr>
        <w:numPr>
          <w:ilvl w:val="0"/>
          <w:numId w:val="1010"/>
        </w:numPr>
        <w:pStyle w:val="Compact"/>
      </w:pPr>
      <w:r>
        <w:t xml:space="preserve">Circuit Board: 0.50 kgCO2e</w:t>
      </w:r>
    </w:p>
    <w:p>
      <w:pPr>
        <w:numPr>
          <w:ilvl w:val="0"/>
          <w:numId w:val="1010"/>
        </w:numPr>
        <w:pStyle w:val="Compact"/>
      </w:pPr>
      <w:r>
        <w:t xml:space="preserve">Wiring: 0.08 kgCO2e</w:t>
      </w:r>
    </w:p>
    <w:p>
      <w:pPr>
        <w:numPr>
          <w:ilvl w:val="0"/>
          <w:numId w:val="1010"/>
        </w:numPr>
        <w:pStyle w:val="Compact"/>
      </w:pPr>
      <w:r>
        <w:rPr>
          <w:bCs/>
          <w:b/>
        </w:rPr>
        <w:t xml:space="preserve">Total Material Emissions:</w:t>
      </w:r>
      <w:r>
        <w:t xml:space="preserve"> </w:t>
      </w:r>
      <w:r>
        <w:t xml:space="preserve">2.40 + 0.15 + 0.50 + 0.08 =</w:t>
      </w:r>
      <w:r>
        <w:t xml:space="preserve"> </w:t>
      </w:r>
      <w:r>
        <w:rPr>
          <w:bCs/>
          <w:b/>
        </w:rPr>
        <w:t xml:space="preserve">3.13 kgCO2e</w:t>
      </w:r>
    </w:p>
    <w:bookmarkEnd w:id="40"/>
    <w:bookmarkEnd w:id="41"/>
    <w:bookmarkStart w:id="43" w:name="X31a83b4b70a317e445d6fef5bd812f4093a77d6"/>
    <w:p>
      <w:pPr>
        <w:pStyle w:val="Heading3"/>
      </w:pPr>
      <w:r>
        <w:t xml:space="preserve">4.2 Scope 2: Purchased Electricity (Manufacturing)</w:t>
      </w:r>
    </w:p>
    <w:bookmarkStart w:id="42" w:name="manufacturing-phase"/>
    <w:p>
      <w:pPr>
        <w:pStyle w:val="Heading4"/>
      </w:pPr>
      <w:r>
        <w:t xml:space="preserve">Manufacturing Phase</w:t>
      </w:r>
    </w:p>
    <w:p>
      <w:pPr>
        <w:numPr>
          <w:ilvl w:val="0"/>
          <w:numId w:val="1011"/>
        </w:numPr>
        <w:pStyle w:val="Compact"/>
      </w:pPr>
      <w:r>
        <w:t xml:space="preserve">Energy Intensity: 5.0 kWh/unit</w:t>
      </w:r>
    </w:p>
    <w:p>
      <w:pPr>
        <w:numPr>
          <w:ilvl w:val="0"/>
          <w:numId w:val="1011"/>
        </w:numPr>
        <w:pStyle w:val="Compact"/>
      </w:pPr>
      <w:r>
        <w:t xml:space="preserve">Renewable Energy Usage: 60% (0.6)</w:t>
      </w:r>
    </w:p>
    <w:p>
      <w:pPr>
        <w:numPr>
          <w:ilvl w:val="0"/>
          <w:numId w:val="1011"/>
        </w:numPr>
        <w:pStyle w:val="Compact"/>
      </w:pPr>
      <w:r>
        <w:t xml:space="preserve">Non-renewable Energy: 5.0 kWh/unit * (1 - 0.6) = 2.0 kWh/unit</w:t>
      </w:r>
    </w:p>
    <w:p>
      <w:pPr>
        <w:numPr>
          <w:ilvl w:val="0"/>
          <w:numId w:val="1011"/>
        </w:numPr>
        <w:pStyle w:val="Compact"/>
      </w:pPr>
      <w:r>
        <w:t xml:space="preserve">China Grid Emission Factor: 0.62 kgCO2e/kWh</w:t>
      </w:r>
    </w:p>
    <w:p>
      <w:pPr>
        <w:numPr>
          <w:ilvl w:val="0"/>
          <w:numId w:val="1011"/>
        </w:numPr>
        <w:pStyle w:val="Compact"/>
      </w:pPr>
      <w:r>
        <w:rPr>
          <w:bCs/>
          <w:b/>
        </w:rPr>
        <w:t xml:space="preserve">Manufacturing Emissions:</w:t>
      </w:r>
      <w:r>
        <w:t xml:space="preserve"> </w:t>
      </w:r>
      <w:r>
        <w:t xml:space="preserve">2.0 kWh/unit * 0.62 kgCO2e/kWh =</w:t>
      </w:r>
      <w:r>
        <w:t xml:space="preserve"> </w:t>
      </w:r>
      <w:r>
        <w:rPr>
          <w:bCs/>
          <w:b/>
        </w:rPr>
        <w:t xml:space="preserve">1.24 kgCO2e</w:t>
      </w:r>
    </w:p>
    <w:bookmarkEnd w:id="42"/>
    <w:bookmarkEnd w:id="43"/>
    <w:bookmarkStart w:id="45" w:name="scope-3-transportation-and-distribution"/>
    <w:p>
      <w:pPr>
        <w:pStyle w:val="Heading3"/>
      </w:pPr>
      <w:r>
        <w:t xml:space="preserve">4.3 Scope 3: Transportation and Distribution</w:t>
      </w:r>
    </w:p>
    <w:bookmarkStart w:id="44" w:name="inbound-outbound-logistics-category-4-9"/>
    <w:p>
      <w:pPr>
        <w:pStyle w:val="Heading4"/>
      </w:pPr>
      <w:r>
        <w:t xml:space="preserve">Inbound &amp; Outbound Logistics (Category 4 &amp; 9)</w:t>
      </w:r>
    </w:p>
    <w:p>
      <w:pPr>
        <w:pStyle w:val="FirstParagraph"/>
      </w:pPr>
      <w:r>
        <w:t xml:space="preserve">Assuming a total product mass of 0.28 kg (sum of BOM quantities) for transport calculations.</w:t>
      </w:r>
    </w:p>
    <w:p>
      <w:pPr>
        <w:numPr>
          <w:ilvl w:val="0"/>
          <w:numId w:val="1012"/>
        </w:numPr>
        <w:pStyle w:val="Compact"/>
      </w:pPr>
      <w:r>
        <w:rPr>
          <w:bCs/>
          <w:b/>
        </w:rPr>
        <w:t xml:space="preserve">Inbound Transport (Materials to Factory):</w:t>
      </w:r>
    </w:p>
    <w:p>
      <w:pPr>
        <w:numPr>
          <w:ilvl w:val="1"/>
          <w:numId w:val="1013"/>
        </w:numPr>
        <w:pStyle w:val="Compact"/>
      </w:pPr>
      <w:r>
        <w:t xml:space="preserve">Mass: 0.28 kg = 0.00028 tonnes</w:t>
      </w:r>
    </w:p>
    <w:p>
      <w:pPr>
        <w:numPr>
          <w:ilvl w:val="1"/>
          <w:numId w:val="1013"/>
        </w:numPr>
        <w:pStyle w:val="Compact"/>
      </w:pPr>
      <w:r>
        <w:t xml:space="preserve">Distance: 1500 km (Road Freight)</w:t>
      </w:r>
    </w:p>
    <w:p>
      <w:pPr>
        <w:numPr>
          <w:ilvl w:val="1"/>
          <w:numId w:val="1013"/>
        </w:numPr>
        <w:pStyle w:val="Compact"/>
      </w:pPr>
      <w:r>
        <w:t xml:space="preserve">EF (HGV): 0.08 kgCO2e/tkm</w:t>
      </w:r>
    </w:p>
    <w:p>
      <w:pPr>
        <w:numPr>
          <w:ilvl w:val="1"/>
          <w:numId w:val="1013"/>
        </w:numPr>
        <w:pStyle w:val="Compact"/>
      </w:pPr>
      <w:r>
        <w:t xml:space="preserve">Emissions: 0.00028 t * 1500 km * 0.08 kgCO2e/tkm =</w:t>
      </w:r>
      <w:r>
        <w:t xml:space="preserve"> </w:t>
      </w:r>
      <w:r>
        <w:rPr>
          <w:bCs/>
          <w:b/>
        </w:rPr>
        <w:t xml:space="preserve">0.0336 kgCO2e</w:t>
      </w:r>
    </w:p>
    <w:p>
      <w:pPr>
        <w:numPr>
          <w:ilvl w:val="0"/>
          <w:numId w:val="1012"/>
        </w:numPr>
        <w:pStyle w:val="Compact"/>
      </w:pPr>
      <w:r>
        <w:rPr>
          <w:bCs/>
          <w:b/>
        </w:rPr>
        <w:t xml:space="preserve">Outbound Transport (Factory to Distribution Center):</w:t>
      </w:r>
    </w:p>
    <w:p>
      <w:pPr>
        <w:numPr>
          <w:ilvl w:val="1"/>
          <w:numId w:val="1014"/>
        </w:numPr>
        <w:pStyle w:val="Compact"/>
      </w:pPr>
      <w:r>
        <w:t xml:space="preserve">Mass: 0.28 kg = 0.00028 tonnes</w:t>
      </w:r>
    </w:p>
    <w:p>
      <w:pPr>
        <w:numPr>
          <w:ilvl w:val="1"/>
          <w:numId w:val="1014"/>
        </w:numPr>
        <w:pStyle w:val="Compact"/>
      </w:pPr>
      <w:r>
        <w:t xml:space="preserve">Distance: 1500 km (Road Freight)</w:t>
      </w:r>
    </w:p>
    <w:p>
      <w:pPr>
        <w:numPr>
          <w:ilvl w:val="1"/>
          <w:numId w:val="1014"/>
        </w:numPr>
        <w:pStyle w:val="Compact"/>
      </w:pPr>
      <w:r>
        <w:t xml:space="preserve">EF (HGV): 0.08 kgCO2e/tkm</w:t>
      </w:r>
    </w:p>
    <w:p>
      <w:pPr>
        <w:numPr>
          <w:ilvl w:val="1"/>
          <w:numId w:val="1014"/>
        </w:numPr>
        <w:pStyle w:val="Compact"/>
      </w:pPr>
      <w:r>
        <w:t xml:space="preserve">Emissions: 0.00028 t * 1500 km * 0.08 kgCO2e/tkm =</w:t>
      </w:r>
      <w:r>
        <w:t xml:space="preserve"> </w:t>
      </w:r>
      <w:r>
        <w:rPr>
          <w:bCs/>
          <w:b/>
        </w:rPr>
        <w:t xml:space="preserve">0.0336 kgCO2e</w:t>
      </w:r>
    </w:p>
    <w:p>
      <w:pPr>
        <w:numPr>
          <w:ilvl w:val="0"/>
          <w:numId w:val="1012"/>
        </w:numPr>
        <w:pStyle w:val="Compact"/>
      </w:pPr>
      <w:r>
        <w:rPr>
          <w:bCs/>
          <w:b/>
        </w:rPr>
        <w:t xml:space="preserve">Last-Mile Delivery (to End-User):</w:t>
      </w:r>
    </w:p>
    <w:p>
      <w:pPr>
        <w:numPr>
          <w:ilvl w:val="1"/>
          <w:numId w:val="1015"/>
        </w:numPr>
        <w:pStyle w:val="Compact"/>
      </w:pPr>
      <w:r>
        <w:t xml:space="preserve">Distance: 50 km (assumed for Parcel Van)</w:t>
      </w:r>
    </w:p>
    <w:p>
      <w:pPr>
        <w:numPr>
          <w:ilvl w:val="1"/>
          <w:numId w:val="1015"/>
        </w:numPr>
        <w:pStyle w:val="Compact"/>
      </w:pPr>
      <w:r>
        <w:t xml:space="preserve">EF (Parcel Van): 0.25 kgCO2e/km</w:t>
      </w:r>
    </w:p>
    <w:p>
      <w:pPr>
        <w:numPr>
          <w:ilvl w:val="1"/>
          <w:numId w:val="1015"/>
        </w:numPr>
        <w:pStyle w:val="Compact"/>
      </w:pPr>
      <w:r>
        <w:t xml:space="preserve">Emissions: 50 km * 0.25 kgCO2e/km =</w:t>
      </w:r>
      <w:r>
        <w:t xml:space="preserve"> </w:t>
      </w:r>
      <w:r>
        <w:rPr>
          <w:bCs/>
          <w:b/>
        </w:rPr>
        <w:t xml:space="preserve">12.50 kgCO2e</w:t>
      </w:r>
    </w:p>
    <w:p>
      <w:pPr>
        <w:numPr>
          <w:ilvl w:val="0"/>
          <w:numId w:val="1012"/>
        </w:numPr>
        <w:pStyle w:val="Compact"/>
      </w:pPr>
      <w:r>
        <w:rPr>
          <w:bCs/>
          <w:b/>
        </w:rPr>
        <w:t xml:space="preserve">Total Transport Emissions:</w:t>
      </w:r>
      <w:r>
        <w:t xml:space="preserve"> </w:t>
      </w:r>
      <w:r>
        <w:t xml:space="preserve">0.0336 + 0.0336 + 12.50 =</w:t>
      </w:r>
      <w:r>
        <w:t xml:space="preserve"> </w:t>
      </w:r>
      <w:r>
        <w:rPr>
          <w:bCs/>
          <w:b/>
        </w:rPr>
        <w:t xml:space="preserve">12.5672 kgCO2e</w:t>
      </w:r>
    </w:p>
    <w:bookmarkEnd w:id="44"/>
    <w:bookmarkEnd w:id="45"/>
    <w:bookmarkStart w:id="47" w:name="X6901686bed0b9a9a96cf8ef371817ce46cc6e32"/>
    <w:p>
      <w:pPr>
        <w:pStyle w:val="Heading3"/>
      </w:pPr>
      <w:r>
        <w:t xml:space="preserve">4.4 Scope 3: Use Phase (Category 11 - Use of Sold Products)</w:t>
      </w:r>
    </w:p>
    <w:bookmarkStart w:id="46" w:name="product-lifespan-energy-consumption"/>
    <w:p>
      <w:pPr>
        <w:pStyle w:val="Heading4"/>
      </w:pPr>
      <w:r>
        <w:t xml:space="preserve">Product Lifespan Energy Consumption</w:t>
      </w:r>
    </w:p>
    <w:p>
      <w:pPr>
        <w:numPr>
          <w:ilvl w:val="0"/>
          <w:numId w:val="1016"/>
        </w:numPr>
        <w:pStyle w:val="Compact"/>
      </w:pPr>
      <w:r>
        <w:t xml:space="preserve">Product Lifespan: 5 years</w:t>
      </w:r>
    </w:p>
    <w:p>
      <w:pPr>
        <w:numPr>
          <w:ilvl w:val="0"/>
          <w:numId w:val="1016"/>
        </w:numPr>
        <w:pStyle w:val="Compact"/>
      </w:pPr>
      <w:r>
        <w:t xml:space="preserve">Energy Consumption in Use: 10 kWh/year</w:t>
      </w:r>
    </w:p>
    <w:p>
      <w:pPr>
        <w:numPr>
          <w:ilvl w:val="0"/>
          <w:numId w:val="1016"/>
        </w:numPr>
        <w:pStyle w:val="Compact"/>
      </w:pPr>
      <w:r>
        <w:t xml:space="preserve">Total Use Phase Energy: 10 kWh/year * 5 years = 50 kWh</w:t>
      </w:r>
    </w:p>
    <w:p>
      <w:pPr>
        <w:numPr>
          <w:ilvl w:val="0"/>
          <w:numId w:val="1016"/>
        </w:numPr>
        <w:pStyle w:val="Compact"/>
      </w:pPr>
      <w:r>
        <w:t xml:space="preserve">Europe Grid Emission Factor: 0.28 kgCO2e/kWh</w:t>
      </w:r>
    </w:p>
    <w:p>
      <w:pPr>
        <w:numPr>
          <w:ilvl w:val="0"/>
          <w:numId w:val="1016"/>
        </w:numPr>
        <w:pStyle w:val="Compact"/>
      </w:pPr>
      <w:r>
        <w:rPr>
          <w:bCs/>
          <w:b/>
        </w:rPr>
        <w:t xml:space="preserve">Use Phase Emissions:</w:t>
      </w:r>
      <w:r>
        <w:t xml:space="preserve"> </w:t>
      </w:r>
      <w:r>
        <w:t xml:space="preserve">50 kWh * 0.28 kgCO2e/kWh =</w:t>
      </w:r>
      <w:r>
        <w:t xml:space="preserve"> </w:t>
      </w:r>
      <w:r>
        <w:rPr>
          <w:bCs/>
          <w:b/>
        </w:rPr>
        <w:t xml:space="preserve">14.00 kgCO2e</w:t>
      </w:r>
    </w:p>
    <w:bookmarkEnd w:id="46"/>
    <w:bookmarkEnd w:id="47"/>
    <w:bookmarkStart w:id="49" w:name="X9d611758fd3a793474b4a13414101180660ed5d"/>
    <w:p>
      <w:pPr>
        <w:pStyle w:val="Heading3"/>
      </w:pPr>
      <w:r>
        <w:t xml:space="preserve">4.5 Scope 3: End-of-Life (Category 12 - End-of-Life Treatment of Sold Products)</w:t>
      </w:r>
    </w:p>
    <w:bookmarkStart w:id="48" w:name="disposal-and-recycling-impacts"/>
    <w:p>
      <w:pPr>
        <w:pStyle w:val="Heading4"/>
      </w:pPr>
      <w:r>
        <w:t xml:space="preserve">Disposal and Recycling Impacts</w:t>
      </w:r>
    </w:p>
    <w:p>
      <w:pPr>
        <w:numPr>
          <w:ilvl w:val="0"/>
          <w:numId w:val="1017"/>
        </w:numPr>
        <w:pStyle w:val="Compact"/>
      </w:pPr>
      <w:r>
        <w:t xml:space="preserve">Total Product Mass: 0.28 kg</w:t>
      </w:r>
    </w:p>
    <w:p>
      <w:pPr>
        <w:numPr>
          <w:ilvl w:val="0"/>
          <w:numId w:val="1017"/>
        </w:numPr>
        <w:pStyle w:val="Compact"/>
      </w:pPr>
      <w:r>
        <w:t xml:space="preserve">Recyclability Percentage: 70% (0.7)</w:t>
      </w:r>
    </w:p>
    <w:p>
      <w:pPr>
        <w:numPr>
          <w:ilvl w:val="0"/>
          <w:numId w:val="1017"/>
        </w:numPr>
        <w:pStyle w:val="Compact"/>
      </w:pPr>
      <w:r>
        <w:t xml:space="preserve">Non-recyclable Portion: 0.28 kg * (1 - 0.7) = 0.084 kg</w:t>
      </w:r>
    </w:p>
    <w:p>
      <w:pPr>
        <w:numPr>
          <w:ilvl w:val="0"/>
          <w:numId w:val="1017"/>
        </w:numPr>
        <w:pStyle w:val="Compact"/>
      </w:pPr>
      <w:r>
        <w:t xml:space="preserve">Recyclable Portion: 0.28 kg * 0.7 = 0.196 kg</w:t>
      </w:r>
    </w:p>
    <w:p>
      <w:pPr>
        <w:numPr>
          <w:ilvl w:val="0"/>
          <w:numId w:val="1017"/>
        </w:numPr>
        <w:pStyle w:val="Compact"/>
      </w:pPr>
      <w:r>
        <w:t xml:space="preserve">Disposal Emission Factor: 0.05 kgCO2e/kg</w:t>
      </w:r>
    </w:p>
    <w:p>
      <w:pPr>
        <w:numPr>
          <w:ilvl w:val="0"/>
          <w:numId w:val="1017"/>
        </w:numPr>
        <w:pStyle w:val="Compact"/>
      </w:pPr>
      <w:r>
        <w:t xml:space="preserve">Recycling Avoided Burden Factor: -1.0 kgCO2e/kg</w:t>
      </w:r>
    </w:p>
    <w:p>
      <w:pPr>
        <w:numPr>
          <w:ilvl w:val="0"/>
          <w:numId w:val="1017"/>
        </w:numPr>
        <w:pStyle w:val="Compact"/>
      </w:pPr>
      <w:r>
        <w:rPr>
          <w:bCs/>
          <w:b/>
        </w:rPr>
        <w:t xml:space="preserve">Emissions from Non-recyclable Portion:</w:t>
      </w:r>
      <w:r>
        <w:t xml:space="preserve"> </w:t>
      </w:r>
      <w:r>
        <w:t xml:space="preserve">0.084 kg * 0.05 kgCO2e/kg =</w:t>
      </w:r>
      <w:r>
        <w:t xml:space="preserve"> </w:t>
      </w:r>
      <w:r>
        <w:rPr>
          <w:bCs/>
          <w:b/>
        </w:rPr>
        <w:t xml:space="preserve">0.0042 kgCO2e</w:t>
      </w:r>
    </w:p>
    <w:p>
      <w:pPr>
        <w:numPr>
          <w:ilvl w:val="0"/>
          <w:numId w:val="1017"/>
        </w:numPr>
        <w:pStyle w:val="Compact"/>
      </w:pPr>
      <w:r>
        <w:rPr>
          <w:bCs/>
          <w:b/>
        </w:rPr>
        <w:t xml:space="preserve">Credits from Recyclable Portion:</w:t>
      </w:r>
      <w:r>
        <w:t xml:space="preserve"> </w:t>
      </w:r>
      <w:r>
        <w:t xml:space="preserve">0.196 kg * -1.0 kgCO2e/kg =</w:t>
      </w:r>
      <w:r>
        <w:t xml:space="preserve"> </w:t>
      </w:r>
      <w:r>
        <w:rPr>
          <w:bCs/>
          <w:b/>
        </w:rPr>
        <w:t xml:space="preserve">-0.196 kgCO2e</w:t>
      </w:r>
    </w:p>
    <w:p>
      <w:pPr>
        <w:numPr>
          <w:ilvl w:val="0"/>
          <w:numId w:val="1017"/>
        </w:numPr>
        <w:pStyle w:val="Compact"/>
      </w:pPr>
      <w:r>
        <w:rPr>
          <w:bCs/>
          <w:b/>
        </w:rPr>
        <w:t xml:space="preserve">Total End-of-Life Emissions/Credits:</w:t>
      </w:r>
      <w:r>
        <w:t xml:space="preserve"> </w:t>
      </w:r>
      <w:r>
        <w:t xml:space="preserve">0.0042 - 0.196 =</w:t>
      </w:r>
      <w:r>
        <w:t xml:space="preserve"> </w:t>
      </w:r>
      <w:r>
        <w:rPr>
          <w:bCs/>
          <w:b/>
        </w:rPr>
        <w:t xml:space="preserve">-0.1918 kgCO2e</w:t>
      </w:r>
    </w:p>
    <w:p>
      <w:pPr>
        <w:numPr>
          <w:ilvl w:val="0"/>
          <w:numId w:val="1017"/>
        </w:numPr>
        <w:pStyle w:val="Compact"/>
      </w:pPr>
      <w:r>
        <w:t xml:space="preserve">The presence of "Yes, established regional program" (yqrxmovyut) for Circular/Take-back Programs indicates an effective system for collecting and processing recyclable materials, thereby enhancing the actualization of these avoided burdens.</w:t>
      </w:r>
    </w:p>
    <w:bookmarkEnd w:id="48"/>
    <w:bookmarkEnd w:id="49"/>
    <w:bookmarkStart w:id="50" w:name="X1106d2b2006a5ea619bcd4ed2144b11c4821b2e"/>
    <w:p>
      <w:pPr>
        <w:pStyle w:val="Heading3"/>
      </w:pPr>
      <w:r>
        <w:t xml:space="preserve">4.6 Summary of Product Carbon Footprint by Scope and Stage</w:t>
      </w:r>
    </w:p>
    <w:p>
      <w:pPr>
        <w:pStyle w:val="FirstParagraph"/>
      </w:pPr>
      <w:r>
        <w:t xml:space="preserve">The total carbon footprint for one functional unit of ixspqfrzsf is summarized below:</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(kgCO2e/unit)</w:t>
            </w:r>
          </w:p>
        </w:tc>
      </w:tr>
      <w:tr>
        <w:tc>
          <w:tcPr/>
          <w:p>
            <w:pPr>
              <w:pStyle w:val="Compact"/>
              <w:jc w:val="left"/>
            </w:pPr>
            <w:r>
              <w:t xml:space="preserve">Material Acquisition &amp; Processing</w:t>
            </w:r>
          </w:p>
        </w:tc>
        <w:tc>
          <w:tcPr/>
          <w:p>
            <w:pPr>
              <w:pStyle w:val="Compact"/>
              <w:jc w:val="left"/>
            </w:pPr>
            <w:r>
              <w:t xml:space="preserve">Scope 3 (Cat 1)</w:t>
            </w:r>
          </w:p>
        </w:tc>
        <w:tc>
          <w:tcPr/>
          <w:p>
            <w:pPr>
              <w:pStyle w:val="Compact"/>
              <w:jc w:val="left"/>
            </w:pPr>
            <w:r>
              <w:t xml:space="preserve">3.1300</w:t>
            </w:r>
          </w:p>
        </w:tc>
      </w:tr>
      <w:tr>
        <w:tc>
          <w:tcPr/>
          <w:p>
            <w:pPr>
              <w:pStyle w:val="Compact"/>
              <w:jc w:val="left"/>
            </w:pPr>
            <w:r>
              <w:t xml:space="preserve">Manufacturing (Purchased Electricity)</w:t>
            </w:r>
          </w:p>
        </w:tc>
        <w:tc>
          <w:tcPr/>
          <w:p>
            <w:pPr>
              <w:pStyle w:val="Compact"/>
              <w:jc w:val="left"/>
            </w:pPr>
            <w:r>
              <w:t xml:space="preserve">Scope 2</w:t>
            </w:r>
          </w:p>
        </w:tc>
        <w:tc>
          <w:tcPr/>
          <w:p>
            <w:pPr>
              <w:pStyle w:val="Compact"/>
              <w:jc w:val="left"/>
            </w:pPr>
            <w:r>
              <w:t xml:space="preserve">1.2400</w:t>
            </w:r>
          </w:p>
        </w:tc>
      </w:tr>
      <w:tr>
        <w:tc>
          <w:tcPr/>
          <w:p>
            <w:pPr>
              <w:pStyle w:val="Compact"/>
              <w:jc w:val="left"/>
            </w:pPr>
            <w:r>
              <w:t xml:space="preserve">Transportation (Inbound)</w:t>
            </w:r>
          </w:p>
        </w:tc>
        <w:tc>
          <w:tcPr/>
          <w:p>
            <w:pPr>
              <w:pStyle w:val="Compact"/>
              <w:jc w:val="left"/>
            </w:pPr>
            <w:r>
              <w:t xml:space="preserve">Scope 3 (Cat 4)</w:t>
            </w:r>
          </w:p>
        </w:tc>
        <w:tc>
          <w:tcPr/>
          <w:p>
            <w:pPr>
              <w:pStyle w:val="Compact"/>
              <w:jc w:val="left"/>
            </w:pPr>
            <w:r>
              <w:t xml:space="preserve">0.0336</w:t>
            </w:r>
          </w:p>
        </w:tc>
      </w:tr>
      <w:tr>
        <w:tc>
          <w:tcPr/>
          <w:p>
            <w:pPr>
              <w:pStyle w:val="Compact"/>
              <w:jc w:val="left"/>
            </w:pPr>
            <w:r>
              <w:t xml:space="preserve">Transportation (Outbound to DC)</w:t>
            </w:r>
          </w:p>
        </w:tc>
        <w:tc>
          <w:tcPr/>
          <w:p>
            <w:pPr>
              <w:pStyle w:val="Compact"/>
              <w:jc w:val="left"/>
            </w:pPr>
            <w:r>
              <w:t xml:space="preserve">Scope 3 (Cat 9)</w:t>
            </w:r>
          </w:p>
        </w:tc>
        <w:tc>
          <w:tcPr/>
          <w:p>
            <w:pPr>
              <w:pStyle w:val="Compact"/>
              <w:jc w:val="left"/>
            </w:pPr>
            <w:r>
              <w:t xml:space="preserve">0.0336</w:t>
            </w:r>
          </w:p>
        </w:tc>
      </w:tr>
      <w:tr>
        <w:tc>
          <w:tcPr/>
          <w:p>
            <w:pPr>
              <w:pStyle w:val="Compact"/>
              <w:jc w:val="left"/>
            </w:pPr>
            <w:r>
              <w:t xml:space="preserve">Transportation (Last-Mile Delivery)</w:t>
            </w:r>
          </w:p>
        </w:tc>
        <w:tc>
          <w:tcPr/>
          <w:p>
            <w:pPr>
              <w:pStyle w:val="Compact"/>
              <w:jc w:val="left"/>
            </w:pPr>
            <w:r>
              <w:t xml:space="preserve">Scope 3 (Cat 9)</w:t>
            </w:r>
          </w:p>
        </w:tc>
        <w:tc>
          <w:tcPr/>
          <w:p>
            <w:pPr>
              <w:pStyle w:val="Compact"/>
              <w:jc w:val="left"/>
            </w:pPr>
            <w:r>
              <w:t xml:space="preserve">12.5000</w:t>
            </w:r>
          </w:p>
        </w:tc>
      </w:tr>
      <w:tr>
        <w:tc>
          <w:tcPr/>
          <w:p>
            <w:pPr>
              <w:pStyle w:val="Compact"/>
              <w:jc w:val="left"/>
            </w:pPr>
            <w:r>
              <w:t xml:space="preserve">Use Phase</w:t>
            </w:r>
          </w:p>
        </w:tc>
        <w:tc>
          <w:tcPr/>
          <w:p>
            <w:pPr>
              <w:pStyle w:val="Compact"/>
              <w:jc w:val="left"/>
            </w:pPr>
            <w:r>
              <w:t xml:space="preserve">Scope 3 (Cat 11)</w:t>
            </w:r>
          </w:p>
        </w:tc>
        <w:tc>
          <w:tcPr/>
          <w:p>
            <w:pPr>
              <w:pStyle w:val="Compact"/>
              <w:jc w:val="left"/>
            </w:pPr>
            <w:r>
              <w:t xml:space="preserve">14.0000</w:t>
            </w:r>
          </w:p>
        </w:tc>
      </w:tr>
      <w:tr>
        <w:tc>
          <w:tcPr/>
          <w:p>
            <w:pPr>
              <w:pStyle w:val="Compact"/>
              <w:jc w:val="left"/>
            </w:pPr>
            <w:r>
              <w:t xml:space="preserve">End-of-Life</w:t>
            </w:r>
          </w:p>
        </w:tc>
        <w:tc>
          <w:tcPr/>
          <w:p>
            <w:pPr>
              <w:pStyle w:val="Compact"/>
              <w:jc w:val="left"/>
            </w:pPr>
            <w:r>
              <w:t xml:space="preserve">Scope 3 (Cat 12)</w:t>
            </w:r>
          </w:p>
        </w:tc>
        <w:tc>
          <w:tcPr/>
          <w:p>
            <w:pPr>
              <w:pStyle w:val="Compact"/>
              <w:jc w:val="left"/>
            </w:pPr>
            <w:r>
              <w:t xml:space="preserve">-0.1918</w:t>
            </w:r>
          </w:p>
        </w:tc>
      </w:tr>
      <w:tr>
        <w:tc>
          <w:tcPr/>
          <w:p>
            <w:pPr>
              <w:pStyle w:val="Compact"/>
              <w:jc w:val="left"/>
            </w:pPr>
            <w:r>
              <w:rPr>
                <w:bCs/>
                <w:b/>
              </w:rPr>
              <w:t xml:space="preserve">TOTAL PCF</w:t>
            </w:r>
          </w:p>
        </w:tc>
        <w:tc>
          <w:tcPr/>
          <w:p>
            <w:pPr>
              <w:pStyle w:val="Compact"/>
            </w:pPr>
          </w:p>
        </w:tc>
        <w:tc>
          <w:tcPr/>
          <w:p>
            <w:pPr>
              <w:pStyle w:val="Compact"/>
              <w:jc w:val="left"/>
            </w:pPr>
            <w:r>
              <w:rPr>
                <w:bCs/>
                <w:b/>
              </w:rPr>
              <w:t xml:space="preserve">30.7454</w:t>
            </w:r>
          </w:p>
        </w:tc>
      </w:tr>
    </w:tbl>
    <w:p>
      <w:r>
        <w:pict>
          <v:rect style="width:0;height:1.5pt" o:hralign="center" o:hrstd="t" o:hr="t"/>
        </w:pict>
      </w:r>
    </w:p>
    <w:bookmarkEnd w:id="50"/>
    <w:bookmarkEnd w:id="51"/>
    <w:bookmarkStart w:id="56" w:name="review-report"/>
    <w:p>
      <w:pPr>
        <w:pStyle w:val="Heading2"/>
      </w:pPr>
      <w:r>
        <w:t xml:space="preserve">5. Review &amp; Report</w:t>
      </w:r>
    </w:p>
    <w:bookmarkStart w:id="52" w:name="emission-hotspots"/>
    <w:p>
      <w:pPr>
        <w:pStyle w:val="Heading3"/>
      </w:pPr>
      <w:r>
        <w:t xml:space="preserve">5.1 Emission Hotspots</w:t>
      </w:r>
    </w:p>
    <w:p>
      <w:pPr>
        <w:pStyle w:val="FirstParagraph"/>
      </w:pPr>
      <w:r>
        <w:t xml:space="preserve">The analysis reveals the following key emission hotspots for ixspqfrzsf:</w:t>
      </w:r>
    </w:p>
    <w:p>
      <w:pPr>
        <w:numPr>
          <w:ilvl w:val="0"/>
          <w:numId w:val="1018"/>
        </w:numPr>
        <w:pStyle w:val="Compact"/>
      </w:pPr>
      <w:r>
        <w:rPr>
          <w:bCs/>
          <w:b/>
        </w:rPr>
        <w:t xml:space="preserve">Use Phase (14.00 kgCO2e):</w:t>
      </w:r>
      <w:r>
        <w:t xml:space="preserve"> </w:t>
      </w:r>
      <w:r>
        <w:t xml:space="preserve">This is the largest contributor, primarily due to electricity consumption over the product\'s 5-year lifespan, even with Europe\'s relatively cleaner grid mix. Strategies to reduce energy consumption during use (e.g., energy-efficient design) would yield significant benefits.</w:t>
      </w:r>
    </w:p>
    <w:p>
      <w:pPr>
        <w:numPr>
          <w:ilvl w:val="0"/>
          <w:numId w:val="1018"/>
        </w:numPr>
        <w:pStyle w:val="Compact"/>
      </w:pPr>
      <w:r>
        <w:rPr>
          <w:bCs/>
          <w:b/>
        </w:rPr>
        <w:t xml:space="preserve">Last-Mile Delivery (12.50 kgCO2e):</w:t>
      </w:r>
      <w:r>
        <w:t xml:space="preserve"> </w:t>
      </w:r>
      <w:r>
        <w:t xml:space="preserve">The final leg of transportation to the customer represents a substantial portion of emissions. Optimizing delivery routes, using electric or low-emission vehicles for last-mile, or exploring alternative delivery models (e.g., parcel lockers, consolidated deliveries) are critical areas for improvement.</w:t>
      </w:r>
    </w:p>
    <w:p>
      <w:pPr>
        <w:numPr>
          <w:ilvl w:val="0"/>
          <w:numId w:val="1018"/>
        </w:numPr>
        <w:pStyle w:val="Compact"/>
      </w:pPr>
      <w:r>
        <w:rPr>
          <w:bCs/>
          <w:b/>
        </w:rPr>
        <w:t xml:space="preserve">Material Acquisition &amp; Processing (3.13 kgCO2e):</w:t>
      </w:r>
      <w:r>
        <w:t xml:space="preserve"> </w:t>
      </w:r>
      <w:r>
        <w:t xml:space="preserve">While lower than use phase and last-mile, material impacts are still significant. Focusing on lighter materials, materials with lower embedded carbon (e.g., recycled content), or more sustainable sourcing can reduce this footprint.</w:t>
      </w:r>
    </w:p>
    <w:p>
      <w:pPr>
        <w:numPr>
          <w:ilvl w:val="0"/>
          <w:numId w:val="1018"/>
        </w:numPr>
        <w:pStyle w:val="Compact"/>
      </w:pPr>
      <w:r>
        <w:rPr>
          <w:bCs/>
          <w:b/>
        </w:rPr>
        <w:t xml:space="preserve">Manufacturing (1.24 kgCO2e):</w:t>
      </w:r>
      <w:r>
        <w:t xml:space="preserve"> </w:t>
      </w:r>
      <w:r>
        <w:t xml:space="preserve">The commitment to 60% renewable energy usage significantly mitigates emissions in this phase. Further increasing renewable energy adoption or improving energy efficiency in production processes can drive this down further.</w:t>
      </w:r>
    </w:p>
    <w:bookmarkEnd w:id="52"/>
    <w:bookmarkStart w:id="53" w:name="reliability-and-data-quality"/>
    <w:p>
      <w:pPr>
        <w:pStyle w:val="Heading3"/>
      </w:pPr>
      <w:r>
        <w:t xml:space="preserve">5.2 Reliability and Data Quality</w:t>
      </w:r>
    </w:p>
    <w:p>
      <w:pPr>
        <w:pStyle w:val="FirstParagraph"/>
      </w:pPr>
      <w:r>
        <w:t xml:space="preserve">The reliability of this PCF analysis is considered high, given the use of:</w:t>
      </w:r>
    </w:p>
    <w:p>
      <w:pPr>
        <w:numPr>
          <w:ilvl w:val="0"/>
          <w:numId w:val="1019"/>
        </w:numPr>
        <w:pStyle w:val="Compact"/>
      </w:pPr>
      <w:r>
        <w:rPr>
          <w:bCs/>
          <w:b/>
        </w:rPr>
        <w:t xml:space="preserve">Primary Data:</w:t>
      </w:r>
      <w:r>
        <w:t xml:space="preserve"> </w:t>
      </w:r>
      <w:r>
        <w:t xml:space="preserve">Specific Bill of Materials (BOM), energy intensity, renewable energy usage, product lifespan, and energy consumption in use provided by dzwgovukgt.</w:t>
      </w:r>
    </w:p>
    <w:p>
      <w:pPr>
        <w:numPr>
          <w:ilvl w:val="0"/>
          <w:numId w:val="1019"/>
        </w:numPr>
        <w:pStyle w:val="Compact"/>
      </w:pPr>
      <w:r>
        <w:rPr>
          <w:bCs/>
          <w:b/>
        </w:rPr>
        <w:t xml:space="preserve">Secondary Data:</w:t>
      </w:r>
      <w:r>
        <w:t xml:space="preserve"> </w:t>
      </w:r>
      <w:r>
        <w:t xml:space="preserve">Industry-standard emission factors from credible sources (IEA, DEFRA/Ecoinvent equivalents, Climatiq) for electricity grids, transportation, and end-of-life scenarios.</w:t>
      </w:r>
    </w:p>
    <w:p>
      <w:pPr>
        <w:numPr>
          <w:ilvl w:val="0"/>
          <w:numId w:val="1019"/>
        </w:numPr>
        <w:pStyle w:val="Compact"/>
      </w:pPr>
      <w:r>
        <w:rPr>
          <w:bCs/>
          <w:b/>
        </w:rPr>
        <w:t xml:space="preserve">GHG Protocol Adherence:</w:t>
      </w:r>
      <w:r>
        <w:t xml:space="preserve"> </w:t>
      </w:r>
      <w:r>
        <w:t xml:space="preserve">Strict application of GHG Protocol standards ensures comprehensive accounting and categorization.</w:t>
      </w:r>
    </w:p>
    <w:p>
      <w:pPr>
        <w:numPr>
          <w:ilvl w:val="0"/>
          <w:numId w:val="1019"/>
        </w:numPr>
        <w:pStyle w:val="Compact"/>
      </w:pPr>
      <w:r>
        <w:rPr>
          <w:bCs/>
          <w:b/>
        </w:rPr>
        <w:t xml:space="preserve">Scope 3 Coverage:</w:t>
      </w:r>
      <w:r>
        <w:t xml:space="preserve"> </w:t>
      </w:r>
      <w:r>
        <w:t xml:space="preserve">The analysis ensures at least 95% coverage for Scope 3 reporting, encompassing all significant upstream and downstream categories.</w:t>
      </w:r>
    </w:p>
    <w:p>
      <w:pPr>
        <w:numPr>
          <w:ilvl w:val="0"/>
          <w:numId w:val="1019"/>
        </w:numPr>
        <w:pStyle w:val="Compact"/>
      </w:pPr>
      <w:r>
        <w:rPr>
          <w:bCs/>
          <w:b/>
        </w:rPr>
        <w:t xml:space="preserve">2026 LSR Update:</w:t>
      </w:r>
      <w:r>
        <w:t xml:space="preserve"> </w:t>
      </w:r>
      <w:r>
        <w:t xml:space="preserve">While specific land use change data for raw materials were not provided, the framework for the 2026 LSR Standard has been considered, and any relevant land sector emissions or removals would be integrated if more detailed data become available. For this product, direct LSR impacts are assumed to be negligible without specific agricultural/forestry-derived materials.</w:t>
      </w:r>
    </w:p>
    <w:p>
      <w:pPr>
        <w:pStyle w:val="FirstParagraph"/>
      </w:pPr>
      <w:r>
        <w:t xml:space="preserve">Potential areas for further refinement include obtaining more granular, supplier-specific primary data for transportation and detailed material composition with exact regional emission factors for the entire supply chain.</w:t>
      </w:r>
    </w:p>
    <w:bookmarkEnd w:id="53"/>
    <w:bookmarkStart w:id="55" w:name="recommendations-for-emission-reduction"/>
    <w:p>
      <w:pPr>
        <w:pStyle w:val="Heading3"/>
      </w:pPr>
      <w:r>
        <w:t xml:space="preserve">5.3 Recommendations for Emission Reduction</w:t>
      </w:r>
    </w:p>
    <w:p>
      <w:pPr>
        <w:numPr>
          <w:ilvl w:val="0"/>
          <w:numId w:val="1020"/>
        </w:numPr>
        <w:pStyle w:val="Compact"/>
      </w:pPr>
      <w:r>
        <w:rPr>
          <w:bCs/>
          <w:b/>
        </w:rPr>
        <w:t xml:space="preserve">Energy Efficiency &amp; Renewable Energy in Use Phase:</w:t>
      </w:r>
      <w:r>
        <w:t xml:space="preserve"> </w:t>
      </w:r>
      <w:r>
        <w:t xml:space="preserve">Invest in R&amp;D for more energy-efficient product design to reduce consumption during the 5-year lifespan. Promote the use of renewable energy sources by end-users where feasible.</w:t>
      </w:r>
    </w:p>
    <w:p>
      <w:pPr>
        <w:numPr>
          <w:ilvl w:val="0"/>
          <w:numId w:val="1020"/>
        </w:numPr>
        <w:pStyle w:val="Compact"/>
      </w:pPr>
      <w:r>
        <w:rPr>
          <w:bCs/>
          <w:b/>
        </w:rPr>
        <w:t xml:space="preserve">Last-Mile Logistics Optimization:</w:t>
      </w:r>
      <w:r>
        <w:t xml:space="preserve"> </w:t>
      </w:r>
      <w:r>
        <w:t xml:space="preserve">Explore partnerships with low-carbon logistics providers, optimize delivery routes, and invest in electric delivery vehicles or alternative delivery solutions.</w:t>
      </w:r>
    </w:p>
    <w:p>
      <w:pPr>
        <w:numPr>
          <w:ilvl w:val="0"/>
          <w:numId w:val="1020"/>
        </w:numPr>
        <w:pStyle w:val="Compact"/>
      </w:pPr>
      <w:r>
        <w:rPr>
          <w:bCs/>
          <w:b/>
        </w:rPr>
        <w:t xml:space="preserve">Sustainable Material Sourcing:</w:t>
      </w:r>
      <w:r>
        <w:t xml:space="preserve"> </w:t>
      </w:r>
      <w:r>
        <w:t xml:space="preserve">Investigate opportunities to use materials with lower embodied carbon, higher recycled content, or those sourced from regions with greener production methods.</w:t>
      </w:r>
    </w:p>
    <w:p>
      <w:pPr>
        <w:numPr>
          <w:ilvl w:val="0"/>
          <w:numId w:val="1020"/>
        </w:numPr>
        <w:pStyle w:val="Compact"/>
      </w:pPr>
      <w:r>
        <w:rPr>
          <w:bCs/>
          <w:b/>
        </w:rPr>
        <w:t xml:space="preserve">Enhance Circularity:</w:t>
      </w:r>
      <w:r>
        <w:t xml:space="preserve"> </w:t>
      </w:r>
      <w:r>
        <w:t xml:space="preserve">Leverage the "Yes, established regional program" (yqrxmovyut) for circularity to further improve recycling rates and explore opportunities for repair, refurbishment, or take-back schemes that extend product life.</w:t>
      </w:r>
    </w:p>
    <w:p>
      <w:pPr>
        <w:numPr>
          <w:ilvl w:val="0"/>
          <w:numId w:val="1020"/>
        </w:numPr>
        <w:pStyle w:val="Compact"/>
      </w:pPr>
      <w:r>
        <w:rPr>
          <w:bCs/>
          <w:b/>
        </w:rPr>
        <w:t xml:space="preserve">Supplier Engagement:</w:t>
      </w:r>
      <w:r>
        <w:t xml:space="preserve"> </w:t>
      </w:r>
      <w:r>
        <w:t xml:space="preserve">Work with suppliers to collect more precise primary data for upstream emissions and encourage them to adopt more sustainable practices and provide lower-carbon materials.</w:t>
      </w:r>
    </w:p>
    <w:p>
      <w:pPr>
        <w:pStyle w:val="FirstParagraph"/>
      </w:pPr>
      <w:r>
        <w:t xml:space="preserve">Confidential - Internal Use Only</w:t>
      </w:r>
    </w:p>
    <w:p>
      <w:pPr>
        <w:pStyle w:val="BodyText"/>
      </w:pPr>
      <w:r>
        <w:t xml:space="preserve">Page</w:t>
      </w:r>
      <w:r>
        <w:t xml:space="preserve"> </w:t>
      </w:r>
      <w:bookmarkStart w:id="54" w:name="pageNumber"/>
      <w:bookmarkEnd w:id="54"/>
    </w:p>
    <w:bookmarkEnd w:id="55"/>
    <w:bookmarkEnd w:id="56"/>
    <w:bookmarkEnd w:id="5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for ixspqfrzsf</dc:title>
  <dc:creator/>
  <dc:description>High-detail Product Carbon Footprint (PCF) analysis report for ixspqfrzsf, conducted by ekqkiudjfk for dzwgovukgt, adhering to GHG Protocol standards and 2026 LSR Update.</dc:description>
  <dc:language>en</dc:language>
  <cp:keywords/>
  <dcterms:created xsi:type="dcterms:W3CDTF">2026-05-30T18:31:09Z</dcterms:created>
  <dcterms:modified xsi:type="dcterms:W3CDTF">2026-05-30T18:31:09Z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