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ioofhimyqp</w:t>
      </w:r>
    </w:p>
    <w:bookmarkStart w:id="20" w:name="carboncalcpcf.com"/>
    <w:p>
      <w:pPr>
        <w:pStyle w:val="Heading1"/>
      </w:pPr>
      <w:r>
        <w:t xml:space="preserve">carboncalcpcf.com</w:t>
      </w:r>
    </w:p>
    <w:p>
      <w:pPr>
        <w:pStyle w:val="FirstParagraph"/>
      </w:pPr>
      <w:r>
        <w:t xml:space="preserve">Product Carbon Footprint Analysis Report</w:t>
      </w:r>
    </w:p>
    <w:bookmarkEnd w:id="20"/>
    <w:bookmarkStart w:id="21" w:name="product-ioofhimyqp"/>
    <w:p>
      <w:pPr>
        <w:pStyle w:val="Heading1"/>
      </w:pPr>
      <w:r>
        <w:t xml:space="preserve">Product: ioofhimyqp</w:t>
      </w:r>
    </w:p>
    <w:p>
      <w:pPr>
        <w:pStyle w:val="FirstParagraph"/>
      </w:pPr>
      <w:r>
        <w:rPr>
          <w:bCs/>
          <w:b/>
        </w:rPr>
        <w:t xml:space="preserve">Company Name:</w:t>
      </w:r>
      <w:r>
        <w:t xml:space="preserve"> </w:t>
      </w:r>
      <w:r>
        <w:t xml:space="preserve">uheqxltwuk</w:t>
      </w:r>
    </w:p>
    <w:p>
      <w:pPr>
        <w:pStyle w:val="BodyText"/>
      </w:pPr>
      <w:r>
        <w:rPr>
          <w:bCs/>
          <w:b/>
        </w:rPr>
        <w:t xml:space="preserve">Senior Sustainability Consultant:</w:t>
      </w:r>
      <w:r>
        <w:t xml:space="preserve"> </w:t>
      </w:r>
      <w:r>
        <w:t xml:space="preserve">togxendxii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parameters provided. Assumptions have been made for placeholder values to enable calculation and are clearly stated within the report.</w:t>
      </w:r>
    </w:p>
    <w:bookmarkEnd w:id="21"/>
    <w:bookmarkStart w:id="22" w:name="X678e5b347225dcbad2996cceaff086efb2064d8"/>
    <w:p>
      <w:pPr>
        <w:pStyle w:val="Heading1"/>
      </w:pPr>
      <w:r>
        <w:t xml:space="preserve">Product Carbon Footprint Analysis for ioofhimyqp</w:t>
      </w:r>
    </w:p>
    <w:p>
      <w:pPr>
        <w:pStyle w:val="FirstParagraph"/>
      </w:pPr>
      <w:r>
        <w:t xml:space="preserve">Generated Date: June 4,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"ioofhimyqp", manufactured by uheqxltwuk. The analysis was conducted by togxendxii, a Senior Sustainability Consultant specializing in GHG Protocol. Adhering to the GHG Protocol and incorporating the 2026 Land Sector and Removals (LSR) Standard, this assessment categorizes emissions across the product lifecycle, from material acquisition to end-of-life. The aim is to identify key emission hotspots and provide a reliable baseline for future decarbonization efforts. A particular focus was placed on achieving at least 95% coverage for Scope 3 emissions, as per 2026 requirements.</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foundation of this PCF analysis is built upon clearly defined parameters:</w:t>
      </w:r>
    </w:p>
    <w:p>
      <w:pPr>
        <w:numPr>
          <w:ilvl w:val="0"/>
          <w:numId w:val="1001"/>
        </w:numPr>
        <w:pStyle w:val="Compact"/>
      </w:pPr>
      <w:r>
        <w:rPr>
          <w:bCs/>
          <w:b/>
        </w:rPr>
        <w:t xml:space="preserve">Functional Unit:</w:t>
      </w:r>
      <w:r>
        <w:t xml:space="preserve"> </w:t>
      </w:r>
      <w:r>
        <w:t xml:space="preserve">1.0 unit of ioofhimyqp.</w:t>
      </w:r>
    </w:p>
    <w:p>
      <w:pPr>
        <w:numPr>
          <w:ilvl w:val="0"/>
          <w:numId w:val="1001"/>
        </w:numPr>
        <w:pStyle w:val="Compact"/>
      </w:pPr>
      <w:r>
        <w:rPr>
          <w:bCs/>
          <w:b/>
        </w:rPr>
        <w:t xml:space="preserve">System Boundary:</w:t>
      </w:r>
      <w:r>
        <w:t xml:space="preserve"> </w:t>
      </w:r>
      <w:r>
        <w:t xml:space="preserve">Factory-gate, encompassing all processes from raw material extraction to the product leaving the manufacturing facility. This includes upstream material acquisition and manufacturing, and direct emissions from production. Downstream emissions (transport to customer, use phase, end-of-life) are also included in the analysis as per the request, expanding beyond a strict factory-gate definition for comprehensive Scope 3 coverage.</w:t>
      </w:r>
    </w:p>
    <w:p>
      <w:pPr>
        <w:numPr>
          <w:ilvl w:val="0"/>
          <w:numId w:val="1001"/>
        </w:numPr>
        <w:pStyle w:val="Compact"/>
      </w:pPr>
      <w:r>
        <w:rPr>
          <w:bCs/>
          <w:b/>
        </w:rPr>
        <w:t xml:space="preserve">Geographic Scope:</w:t>
      </w:r>
      <w:r>
        <w:t xml:space="preserve"> </w:t>
      </w:r>
      <w:r>
        <w:t xml:space="preserve">Final production occurs in China, with a supply chain focus on Europe. Downstream usage and end-of-life are considered globally, with region-specific emission factors applied where possible, or global averages assumed.</w:t>
      </w:r>
    </w:p>
    <w:p>
      <w:pPr>
        <w:numPr>
          <w:ilvl w:val="0"/>
          <w:numId w:val="1001"/>
        </w:numPr>
        <w:pStyle w:val="Compact"/>
      </w:pPr>
      <w:r>
        <w:rPr>
          <w:bCs/>
          <w:b/>
        </w:rPr>
        <w:t xml:space="preserve">Accounting Standard:</w:t>
      </w:r>
      <w:r>
        <w:t xml:space="preserve"> </w:t>
      </w:r>
      <w:r>
        <w:t xml:space="preserve">GHG Protocol, ensuring categorization of emissions into Scope 1 (direct), Scope 2 (purchased energy), and Scope 3 (value chain).</w:t>
      </w:r>
    </w:p>
    <w:p>
      <w:pPr>
        <w:numPr>
          <w:ilvl w:val="0"/>
          <w:numId w:val="1001"/>
        </w:numPr>
        <w:pStyle w:val="Compact"/>
      </w:pPr>
      <w:r>
        <w:rPr>
          <w:bCs/>
          <w:b/>
        </w:rPr>
        <w:t xml:space="preserve">Allocation:</w:t>
      </w:r>
      <w:r>
        <w:t xml:space="preserve"> </w:t>
      </w:r>
      <w:r>
        <w:t xml:space="preserve">All environmental impacts are allocated solely to the functional unit of the product ioofhimyqp. Co-product or recycling allocation follows the "avoided burden" approach for end-of-life scenarios.</w:t>
      </w:r>
    </w:p>
    <w:p>
      <w:r>
        <w:pict>
          <v:rect style="width:0;height:1.5pt" o:hralign="center" o:hrstd="t" o:hr="t"/>
        </w:pict>
      </w:r>
    </w:p>
    <w:bookmarkEnd w:id="24"/>
    <w:bookmarkStart w:id="30" w:name="lifecycle-mapping-and-3.-data-collection"/>
    <w:p>
      <w:pPr>
        <w:pStyle w:val="Heading2"/>
      </w:pPr>
      <w:r>
        <w:t xml:space="preserve">2. Lifecycle Mapping and 3. Data Collection</w:t>
      </w:r>
    </w:p>
    <w:p>
      <w:pPr>
        <w:pStyle w:val="FirstParagraph"/>
      </w:pPr>
      <w:r>
        <w:t xml:space="preserve">The lifecycle of ioofhimyqp has been mapped into several key stages, and data collected for each:</w:t>
      </w:r>
    </w:p>
    <w:bookmarkStart w:id="25" w:name="X1198c8af25dd1a2ebffa686809674f976343a37"/>
    <w:p>
      <w:pPr>
        <w:pStyle w:val="Heading3"/>
      </w:pPr>
      <w:r>
        <w:t xml:space="preserve">2.1. Material Acquisition &amp; Pre-processing (Scope 3 - Upstream)</w:t>
      </w:r>
    </w:p>
    <w:p>
      <w:pPr>
        <w:pStyle w:val="FirstParagraph"/>
      </w:pPr>
      <w:r>
        <w:t xml:space="preserve">The following Detailed Bill of Materials (BOM) for ulxkwlhv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bl>
    <w:p>
      <w:pPr>
        <w:pStyle w:val="BodyText"/>
      </w:pPr>
      <w:r>
        <w:t xml:space="preserve">Total material-related carbon footprint (pre-calculated): 2.8 kgCO2e.</w:t>
      </w:r>
    </w:p>
    <w:bookmarkEnd w:id="25"/>
    <w:bookmarkStart w:id="26" w:name="manufacturing-production-scope-1-2"/>
    <w:p>
      <w:pPr>
        <w:pStyle w:val="Heading3"/>
      </w:pPr>
      <w:r>
        <w:t xml:space="preserve">2.2. Manufacturing / Production (Scope 1 &amp; 2)</w:t>
      </w:r>
    </w:p>
    <w:p>
      <w:pPr>
        <w:numPr>
          <w:ilvl w:val="0"/>
          <w:numId w:val="1002"/>
        </w:numPr>
        <w:pStyle w:val="Compact"/>
      </w:pPr>
      <w:r>
        <w:rPr>
          <w:bCs/>
          <w:b/>
        </w:rPr>
        <w:t xml:space="preserve">Energy Intensity (kWh/unit):</w:t>
      </w:r>
      <w:r>
        <w:t xml:space="preserve"> </w:t>
      </w:r>
      <w:r>
        <w:t xml:space="preserve">mnjukolvet (assumed 10 kWh/unit for calculation purposes).</w:t>
      </w:r>
    </w:p>
    <w:p>
      <w:pPr>
        <w:numPr>
          <w:ilvl w:val="0"/>
          <w:numId w:val="1002"/>
        </w:numPr>
        <w:pStyle w:val="Compact"/>
      </w:pPr>
      <w:r>
        <w:rPr>
          <w:bCs/>
          <w:b/>
        </w:rPr>
        <w:t xml:space="preserve">Renewable Energy Usage:</w:t>
      </w:r>
      <w:r>
        <w:t xml:space="preserve"> </w:t>
      </w:r>
      <w:r>
        <w:t xml:space="preserve">sswszxngdx (assumed 75% for calculation purposes). Therefore, 25% of energy is from non-renewable sources.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China Electricity Grid Emission Factor (2023 National Average):</w:t>
      </w:r>
      <w:r>
        <w:t xml:space="preserve"> </w:t>
      </w:r>
      <w:r>
        <w:t xml:space="preserve">0.6205 kgCO₂e/kWh.</w:t>
      </w:r>
    </w:p>
    <w:p>
      <w:pPr>
        <w:numPr>
          <w:ilvl w:val="0"/>
          <w:numId w:val="1002"/>
        </w:numPr>
        <w:pStyle w:val="Compact"/>
      </w:pPr>
      <w:r>
        <w:rPr>
          <w:bCs/>
          <w:b/>
        </w:rPr>
        <w:t xml:space="preserve">Scope 1:</w:t>
      </w:r>
      <w:r>
        <w:t xml:space="preserve"> </w:t>
      </w:r>
      <w:r>
        <w:t xml:space="preserve">No direct process emissions from fuel combustion on site are reported for ioofhimyqp within the "factory_gate" boundary beyond what\'s covered by purchased electricity.</w:t>
      </w:r>
    </w:p>
    <w:bookmarkEnd w:id="26"/>
    <w:bookmarkStart w:id="27" w:name="Xb28e6b746c55ccee7c13ebe725ade644fd176e6"/>
    <w:p>
      <w:pPr>
        <w:pStyle w:val="Heading3"/>
      </w:pPr>
      <w:r>
        <w:t xml:space="preserve">2.3. Transportation &amp; Distribution (Scope 3 - Upstream &amp; Downstream)</w:t>
      </w:r>
    </w:p>
    <w:p>
      <w:pPr>
        <w:numPr>
          <w:ilvl w:val="0"/>
          <w:numId w:val="1003"/>
        </w:numPr>
        <w:pStyle w:val="Compact"/>
      </w:pPr>
      <w:r>
        <w:rPr>
          <w:bCs/>
          <w:b/>
        </w:rPr>
        <w:t xml:space="preserve">Transport Mode (Primary):</w:t>
      </w:r>
      <w:r>
        <w:t xml:space="preserve"> </w:t>
      </w:r>
      <w:r>
        <w:t xml:space="preserve">Select Mode (assumed Road Freight - Heavy Truck for calculation).</w:t>
      </w:r>
    </w:p>
    <w:p>
      <w:pPr>
        <w:numPr>
          <w:ilvl w:val="0"/>
          <w:numId w:val="1003"/>
        </w:numPr>
        <w:pStyle w:val="Compact"/>
      </w:pPr>
      <w:r>
        <w:rPr>
          <w:bCs/>
          <w:b/>
        </w:rPr>
        <w:t xml:space="preserve">Transport Distance (Primary):</w:t>
      </w:r>
      <w:r>
        <w:t xml:space="preserve"> </w:t>
      </w:r>
      <w:r>
        <w:t xml:space="preserve">powwmhzzqx (assumed 1500 km for calculation).</w:t>
      </w:r>
    </w:p>
    <w:p>
      <w:pPr>
        <w:numPr>
          <w:ilvl w:val="0"/>
          <w:numId w:val="1003"/>
        </w:numPr>
        <w:pStyle w:val="Compact"/>
      </w:pPr>
      <w:r>
        <w:rPr>
          <w:bCs/>
          <w:b/>
        </w:rPr>
        <w:t xml:space="preserve">Road Freight Emission Factor (HGV &gt;20t, Europe):</w:t>
      </w:r>
      <w:r>
        <w:t xml:space="preserve"> </w:t>
      </w:r>
      <w:r>
        <w:t xml:space="preserve">0.092 kgCO2e/tonne-km.</w:t>
      </w:r>
    </w:p>
    <w:p>
      <w:pPr>
        <w:numPr>
          <w:ilvl w:val="0"/>
          <w:numId w:val="1003"/>
        </w:numPr>
        <w:pStyle w:val="Compact"/>
      </w:pPr>
      <w:r>
        <w:rPr>
          <w:bCs/>
          <w:b/>
        </w:rPr>
        <w:t xml:space="preserve">Product Weight (for transport):</w:t>
      </w:r>
      <w:r>
        <w:t xml:space="preserve"> </w:t>
      </w:r>
      <w:r>
        <w:t xml:space="preserve">Approximately 0.65 kg (sum of plastic and copper from BOM, assuming 0.05 kg for PCB for transport calculations) = 0.00065 tonnes.</w:t>
      </w:r>
    </w:p>
    <w:p>
      <w:pPr>
        <w:numPr>
          <w:ilvl w:val="0"/>
          <w:numId w:val="1003"/>
        </w:numPr>
        <w:pStyle w:val="Compact"/>
      </w:pPr>
      <w:r>
        <w:rPr>
          <w:bCs/>
          <w:b/>
        </w:rPr>
        <w:t xml:space="preserve">Last-Mile Delivery Channel:</w:t>
      </w:r>
      <w:r>
        <w:t xml:space="preserve"> </w:t>
      </w:r>
      <w:r>
        <w:t xml:space="preserve">Delivery Type (assumed Van Delivery for calculation).</w:t>
      </w:r>
    </w:p>
    <w:p>
      <w:pPr>
        <w:numPr>
          <w:ilvl w:val="0"/>
          <w:numId w:val="1003"/>
        </w:numPr>
        <w:pStyle w:val="Compact"/>
      </w:pPr>
      <w:r>
        <w:rPr>
          <w:bCs/>
          <w:b/>
        </w:rPr>
        <w:t xml:space="preserve">Transport Distance (Last-Mile):</w:t>
      </w:r>
      <w:r>
        <w:t xml:space="preserve"> </w:t>
      </w:r>
      <w:r>
        <w:t xml:space="preserve">powwmhzzqx (assumed 50 km for calculation).</w:t>
      </w:r>
    </w:p>
    <w:p>
      <w:pPr>
        <w:numPr>
          <w:ilvl w:val="0"/>
          <w:numId w:val="1003"/>
        </w:numPr>
        <w:pStyle w:val="Compact"/>
      </w:pPr>
      <w:r>
        <w:rPr>
          <w:bCs/>
          <w:b/>
        </w:rPr>
        <w:t xml:space="preserve">Van Delivery Emission Factor (Average van, UK/Europe):</w:t>
      </w:r>
      <w:r>
        <w:t xml:space="preserve"> </w:t>
      </w:r>
      <w:r>
        <w:t xml:space="preserve">0.24934 kgCO2e/km (derived from UK BEIS data, used as a proxy for Europe).</w:t>
      </w:r>
    </w:p>
    <w:bookmarkEnd w:id="27"/>
    <w:bookmarkStart w:id="28" w:name="use-phase-scope-3---downstream"/>
    <w:p>
      <w:pPr>
        <w:pStyle w:val="Heading3"/>
      </w:pPr>
      <w:r>
        <w:t xml:space="preserve">2.4. Use Phase (Scope 3 - Downstream)</w:t>
      </w:r>
    </w:p>
    <w:p>
      <w:pPr>
        <w:numPr>
          <w:ilvl w:val="0"/>
          <w:numId w:val="1004"/>
        </w:numPr>
        <w:pStyle w:val="Compact"/>
      </w:pPr>
      <w:r>
        <w:rPr>
          <w:bCs/>
          <w:b/>
        </w:rPr>
        <w:t xml:space="preserve">Product Lifespan:</w:t>
      </w:r>
      <w:r>
        <w:t xml:space="preserve"> </w:t>
      </w:r>
      <w:r>
        <w:t xml:space="preserve">xfsdhoywzh (assumed 5 years for calculation).</w:t>
      </w:r>
    </w:p>
    <w:p>
      <w:pPr>
        <w:numPr>
          <w:ilvl w:val="0"/>
          <w:numId w:val="1004"/>
        </w:numPr>
        <w:pStyle w:val="Compact"/>
      </w:pPr>
      <w:r>
        <w:rPr>
          <w:bCs/>
          <w:b/>
        </w:rPr>
        <w:t xml:space="preserve">Energy Consumption in Use:</w:t>
      </w:r>
      <w:r>
        <w:t xml:space="preserve"> </w:t>
      </w:r>
      <w:r>
        <w:t xml:space="preserve">wfldhuxvul (assumed 20 kWh/year for calculation).</w:t>
      </w:r>
    </w:p>
    <w:p>
      <w:pPr>
        <w:numPr>
          <w:ilvl w:val="0"/>
          <w:numId w:val="1004"/>
        </w:numPr>
        <w:pStyle w:val="Compact"/>
      </w:pPr>
      <w:r>
        <w:rPr>
          <w:bCs/>
          <w:b/>
        </w:rPr>
        <w:t xml:space="preserve">Assumed Global Average Electricity Emission Factor (for use phase):</w:t>
      </w:r>
      <w:r>
        <w:t xml:space="preserve"> </w:t>
      </w:r>
      <w:r>
        <w:t xml:space="preserve">0.5 kgCO2e/kWh (estimated for calculation due to global use scenario, higher than many European grids, lower than some coal-heavy grids).</w:t>
      </w:r>
    </w:p>
    <w:bookmarkEnd w:id="28"/>
    <w:bookmarkStart w:id="29" w:name="end-of-life-scope-3---downstream"/>
    <w:p>
      <w:pPr>
        <w:pStyle w:val="Heading3"/>
      </w:pPr>
      <w:r>
        <w:t xml:space="preserve">2.5. End-of-Life (Scope 3 - Downstream)</w:t>
      </w:r>
    </w:p>
    <w:p>
      <w:pPr>
        <w:numPr>
          <w:ilvl w:val="0"/>
          <w:numId w:val="1005"/>
        </w:numPr>
        <w:pStyle w:val="Compact"/>
      </w:pPr>
      <w:r>
        <w:rPr>
          <w:bCs/>
          <w:b/>
        </w:rPr>
        <w:t xml:space="preserve">Recyclability Percentage:</w:t>
      </w:r>
      <w:r>
        <w:t xml:space="preserve"> </w:t>
      </w:r>
      <w:r>
        <w:t xml:space="preserve">yvdhjjhmdf (assumed 80% for calculation).</w:t>
      </w:r>
    </w:p>
    <w:p>
      <w:pPr>
        <w:numPr>
          <w:ilvl w:val="0"/>
          <w:numId w:val="1005"/>
        </w:numPr>
        <w:pStyle w:val="Compact"/>
      </w:pPr>
      <w:r>
        <w:rPr>
          <w:bCs/>
          <w:b/>
        </w:rPr>
        <w:t xml:space="preserve">Circular/Take-back Programs:</w:t>
      </w:r>
      <w:r>
        <w:t xml:space="preserve"> </w:t>
      </w:r>
      <w:r>
        <w:t xml:space="preserve">doyrlqypqj (assumed "Yes, active take-back program for key components" for qualitative impact).</w:t>
      </w:r>
    </w:p>
    <w:p>
      <w:pPr>
        <w:numPr>
          <w:ilvl w:val="0"/>
          <w:numId w:val="1005"/>
        </w:numPr>
        <w:pStyle w:val="Compact"/>
      </w:pPr>
      <w:r>
        <w:rPr>
          <w:bCs/>
          <w:b/>
        </w:rPr>
        <w:t xml:space="preserve">Avoided Emissions from Recycling:</w:t>
      </w:r>
    </w:p>
    <w:p>
      <w:pPr>
        <w:numPr>
          <w:ilvl w:val="1"/>
          <w:numId w:val="1006"/>
        </w:numPr>
        <w:pStyle w:val="Compact"/>
      </w:pPr>
      <w:r>
        <w:t xml:space="preserve">Plastics (Mixed): -1.2 kgCO2e/kg (emission reduction factor).</w:t>
      </w:r>
    </w:p>
    <w:p>
      <w:pPr>
        <w:numPr>
          <w:ilvl w:val="1"/>
          <w:numId w:val="1006"/>
        </w:numPr>
        <w:pStyle w:val="Compact"/>
      </w:pPr>
      <w:r>
        <w:t xml:space="preserve">Metals (General): -3.0 kgCO2e/kg (conservative assumed avoided emission factor based on significant energy savings compared to virgin production, e.g., Aluminium avoids ~9 kgCO2/kg, Steel ~1.5 kgCO2/kg).</w:t>
      </w:r>
    </w:p>
    <w:p>
      <w:r>
        <w:pict>
          <v:rect style="width:0;height:1.5pt" o:hralign="center" o:hrstd="t" o:hr="t"/>
        </w:pict>
      </w:r>
    </w:p>
    <w:bookmarkEnd w:id="29"/>
    <w:bookmarkEnd w:id="30"/>
    <w:bookmarkStart w:id="37" w:name="emissions-calculation"/>
    <w:p>
      <w:pPr>
        <w:pStyle w:val="Heading2"/>
      </w:pPr>
      <w:r>
        <w:t xml:space="preserve">4. Emissions Calculation</w:t>
      </w:r>
    </w:p>
    <w:p>
      <w:pPr>
        <w:pStyle w:val="FirstParagraph"/>
      </w:pPr>
      <w:r>
        <w:t xml:space="preserve">Emissions are calculated based on activity data multiplied by appropriate emission factors, categorized according to the GHG Protocol.</w:t>
      </w:r>
    </w:p>
    <w:bookmarkStart w:id="31" w:name="scope-1-emissions-direct-emissions"/>
    <w:p>
      <w:pPr>
        <w:pStyle w:val="Heading3"/>
      </w:pPr>
      <w:r>
        <w:t xml:space="preserve">4.1. Scope 1 Emissions (Direct Emissions)</w:t>
      </w:r>
    </w:p>
    <w:p>
      <w:pPr>
        <w:pStyle w:val="FirstParagraph"/>
      </w:pPr>
      <w:r>
        <w:t xml:space="preserve">Given the "factory_gate" system boundary and absence of specific on-site fuel combustion data beyond purchased electricity, direct Scope 1 emissions from the manufacturing process are considered negligible for this product\'s PCF. If any specific on-site combustion for process heat were present and not accounted for in Scope 2, it would be allocated here.</w:t>
      </w:r>
    </w:p>
    <w:p>
      <w:pPr>
        <w:pStyle w:val="BodyText"/>
      </w:pPr>
      <w:r>
        <w:rPr>
          <w:bCs/>
          <w:b/>
        </w:rPr>
        <w:t xml:space="preserve">Total Scope 1 Emissions: 0.00 kgCO2e</w:t>
      </w:r>
    </w:p>
    <w:bookmarkEnd w:id="31"/>
    <w:bookmarkStart w:id="32" w:name="Xdcb69c89a2d5b7d56bbdc01f79a116e1def7079"/>
    <w:p>
      <w:pPr>
        <w:pStyle w:val="Heading3"/>
      </w:pPr>
      <w:r>
        <w:t xml:space="preserve">4.2. Scope 2 Emissions (Purchased Electricity for Production)</w:t>
      </w:r>
    </w:p>
    <w:p>
      <w:pPr>
        <w:numPr>
          <w:ilvl w:val="0"/>
          <w:numId w:val="1007"/>
        </w:numPr>
        <w:pStyle w:val="Compact"/>
      </w:pPr>
      <w:r>
        <w:t xml:space="preserve">Total energy intensity for production: 10 kWh/unit (mnjukolvet).</w:t>
      </w:r>
    </w:p>
    <w:p>
      <w:pPr>
        <w:numPr>
          <w:ilvl w:val="0"/>
          <w:numId w:val="1007"/>
        </w:numPr>
        <w:pStyle w:val="Compact"/>
      </w:pPr>
      <w:r>
        <w:t xml:space="preserve">Non-renewable energy portion: 10 kWh/unit * (1 - 75%/100) = 10 kWh * 0.25 = 2.5 kWh/unit.</w:t>
      </w:r>
    </w:p>
    <w:p>
      <w:pPr>
        <w:numPr>
          <w:ilvl w:val="0"/>
          <w:numId w:val="1007"/>
        </w:numPr>
        <w:pStyle w:val="Compact"/>
      </w:pPr>
      <w:r>
        <w:t xml:space="preserve">Emissions from purchased non-renewable electricity: 2.5 kWh/unit * 0.6205 kgCO₂e/kWh (China grid EF) = 1.55 kgCO2e.</w:t>
      </w:r>
    </w:p>
    <w:p>
      <w:pPr>
        <w:pStyle w:val="FirstParagraph"/>
      </w:pPr>
      <w:r>
        <w:rPr>
          <w:bCs/>
          <w:b/>
        </w:rPr>
        <w:t xml:space="preserve">Total Scope 2 Emissions: 1.55 kgCO2e</w:t>
      </w:r>
    </w:p>
    <w:bookmarkEnd w:id="32"/>
    <w:bookmarkStart w:id="35" w:name="scope-3-emissions-value-chain"/>
    <w:p>
      <w:pPr>
        <w:pStyle w:val="Heading3"/>
      </w:pPr>
      <w:r>
        <w:t xml:space="preserve">4.3. Scope 3 Emissions (Value Chain)</w:t>
      </w:r>
    </w:p>
    <w:bookmarkStart w:id="33" w:name="upstream-emissions"/>
    <w:p>
      <w:pPr>
        <w:pStyle w:val="Heading4"/>
      </w:pPr>
      <w:r>
        <w:t xml:space="preserve">4.3.1. Upstream Emissions</w:t>
      </w:r>
    </w:p>
    <w:p>
      <w:pPr>
        <w:pStyle w:val="FirstParagraph"/>
      </w:pPr>
      <w:r>
        <w:rPr>
          <w:bCs/>
          <w:b/>
        </w:rPr>
        <w:t xml:space="preserve">A. Materials Acquisition &amp; Pre-processing:</w:t>
      </w:r>
    </w:p>
    <w:p>
      <w:pPr>
        <w:pStyle w:val="BodyText"/>
      </w:pPr>
      <w:r>
        <w:t xml:space="preserve">Based on the provided BOM data (ulxkwlhv), the total carbon already includes material acquisition and pre-processing impacts.</w:t>
      </w:r>
    </w:p>
    <w:p>
      <w:pPr>
        <w:numPr>
          <w:ilvl w:val="0"/>
          <w:numId w:val="1008"/>
        </w:numPr>
        <w:pStyle w:val="Compact"/>
      </w:pPr>
      <w:r>
        <w:t xml:space="preserve">Plastic Casing: 1.25 kgCO2e</w:t>
      </w:r>
    </w:p>
    <w:p>
      <w:pPr>
        <w:numPr>
          <w:ilvl w:val="0"/>
          <w:numId w:val="1008"/>
        </w:numPr>
        <w:pStyle w:val="Compact"/>
      </w:pPr>
      <w:r>
        <w:t xml:space="preserve">Copper Wire: 0.80 kgCO2e</w:t>
      </w:r>
    </w:p>
    <w:p>
      <w:pPr>
        <w:numPr>
          <w:ilvl w:val="0"/>
          <w:numId w:val="1008"/>
        </w:numPr>
        <w:pStyle w:val="Compact"/>
      </w:pPr>
      <w:r>
        <w:t xml:space="preserve">Printed Circuit Board: 0.75 kgCO2e</w:t>
      </w:r>
    </w:p>
    <w:p>
      <w:pPr>
        <w:pStyle w:val="FirstParagraph"/>
      </w:pPr>
      <w:r>
        <w:rPr>
          <w:bCs/>
          <w:b/>
        </w:rPr>
        <w:t xml:space="preserve">Subtotal Materials: 2.80 kgCO2e</w:t>
      </w:r>
    </w:p>
    <w:p>
      <w:pPr>
        <w:pStyle w:val="BodyText"/>
      </w:pPr>
      <w:r>
        <w:rPr>
          <w:bCs/>
          <w:b/>
        </w:rPr>
        <w:t xml:space="preserve">B. Transportation (to factory gate):</w:t>
      </w:r>
    </w:p>
    <w:p>
      <w:pPr>
        <w:numPr>
          <w:ilvl w:val="0"/>
          <w:numId w:val="1009"/>
        </w:numPr>
        <w:pStyle w:val="Compact"/>
      </w:pPr>
      <w:r>
        <w:t xml:space="preserve">Product Weight: 0.00065 tonnes.</w:t>
      </w:r>
    </w:p>
    <w:p>
      <w:pPr>
        <w:numPr>
          <w:ilvl w:val="0"/>
          <w:numId w:val="1009"/>
        </w:numPr>
        <w:pStyle w:val="Compact"/>
      </w:pPr>
      <w:r>
        <w:t xml:space="preserve">Primary Transport Distance: 1500 km (powwmhzzqx).</w:t>
      </w:r>
    </w:p>
    <w:p>
      <w:pPr>
        <w:numPr>
          <w:ilvl w:val="0"/>
          <w:numId w:val="1009"/>
        </w:numPr>
        <w:pStyle w:val="Compact"/>
      </w:pPr>
      <w:r>
        <w:t xml:space="preserve">Primary Transport Emissions: 0.00065 tonnes * 1500 km * 0.092 kgCO2e/tonne-km = 0.0897 kgCO2e.</w:t>
      </w:r>
    </w:p>
    <w:p>
      <w:pPr>
        <w:pStyle w:val="FirstParagraph"/>
      </w:pPr>
      <w:r>
        <w:rPr>
          <w:bCs/>
          <w:b/>
        </w:rPr>
        <w:t xml:space="preserve">Subtotal Upstream Transport: 0.09 kgCO2e</w:t>
      </w:r>
    </w:p>
    <w:p>
      <w:pPr>
        <w:pStyle w:val="BodyText"/>
      </w:pPr>
      <w:r>
        <w:rPr>
          <w:bCs/>
          <w:b/>
        </w:rPr>
        <w:t xml:space="preserve">Total Upstream Scope 3 Emissions: 2.80 kgCO2e (Materials) + 0.09 kgCO2e (Transport) = 2.89 kgCO2e</w:t>
      </w:r>
    </w:p>
    <w:bookmarkEnd w:id="33"/>
    <w:bookmarkStart w:id="34" w:name="downstream-emissions"/>
    <w:p>
      <w:pPr>
        <w:pStyle w:val="Heading4"/>
      </w:pPr>
      <w:r>
        <w:t xml:space="preserve">4.3.2. Downstream Emissions</w:t>
      </w:r>
    </w:p>
    <w:p>
      <w:pPr>
        <w:pStyle w:val="FirstParagraph"/>
      </w:pPr>
      <w:r>
        <w:rPr>
          <w:bCs/>
          <w:b/>
        </w:rPr>
        <w:t xml:space="preserve">A. Transportation (from factory gate to customer - Last-Mile):</w:t>
      </w:r>
    </w:p>
    <w:p>
      <w:pPr>
        <w:numPr>
          <w:ilvl w:val="0"/>
          <w:numId w:val="1010"/>
        </w:numPr>
        <w:pStyle w:val="Compact"/>
      </w:pPr>
      <w:r>
        <w:t xml:space="preserve">Last-Mile Delivery Distance: 50 km (powwmhzzqx).</w:t>
      </w:r>
    </w:p>
    <w:p>
      <w:pPr>
        <w:numPr>
          <w:ilvl w:val="0"/>
          <w:numId w:val="1010"/>
        </w:numPr>
        <w:pStyle w:val="Compact"/>
      </w:pPr>
      <w:r>
        <w:t xml:space="preserve">Last-Mile Delivery Emissions: 50 km * 0.24934 kgCO2e/km = 12.47 kgCO2e.</w:t>
      </w:r>
    </w:p>
    <w:p>
      <w:pPr>
        <w:pStyle w:val="FirstParagraph"/>
      </w:pPr>
      <w:r>
        <w:rPr>
          <w:bCs/>
          <w:b/>
        </w:rPr>
        <w:t xml:space="preserve">Subtotal Downstream Transport: 12.47 kgCO2e</w:t>
      </w:r>
    </w:p>
    <w:p>
      <w:pPr>
        <w:pStyle w:val="BodyText"/>
      </w:pPr>
      <w:r>
        <w:rPr>
          <w:bCs/>
          <w:b/>
        </w:rPr>
        <w:t xml:space="preserve">B. Use Phase Emissions:</w:t>
      </w:r>
    </w:p>
    <w:p>
      <w:pPr>
        <w:numPr>
          <w:ilvl w:val="0"/>
          <w:numId w:val="1011"/>
        </w:numPr>
        <w:pStyle w:val="Compact"/>
      </w:pPr>
      <w:r>
        <w:t xml:space="preserve">Product Lifespan: 5 years (xfsdhoywzh).</w:t>
      </w:r>
    </w:p>
    <w:p>
      <w:pPr>
        <w:numPr>
          <w:ilvl w:val="0"/>
          <w:numId w:val="1011"/>
        </w:numPr>
        <w:pStyle w:val="Compact"/>
      </w:pPr>
      <w:r>
        <w:t xml:space="preserve">Annual Energy Consumption: 20 kWh/year (wfldhuxvul).</w:t>
      </w:r>
    </w:p>
    <w:p>
      <w:pPr>
        <w:numPr>
          <w:ilvl w:val="0"/>
          <w:numId w:val="1011"/>
        </w:numPr>
        <w:pStyle w:val="Compact"/>
      </w:pPr>
      <w:r>
        <w:t xml:space="preserve">Total Energy Consumption over lifespan: 5 years * 20 kWh/year = 100 kWh.</w:t>
      </w:r>
    </w:p>
    <w:p>
      <w:pPr>
        <w:numPr>
          <w:ilvl w:val="0"/>
          <w:numId w:val="1011"/>
        </w:numPr>
        <w:pStyle w:val="Compact"/>
      </w:pPr>
      <w:r>
        <w:t xml:space="preserve">Use Phase Emissions: 100 kWh * 0.5 kgCO2e/kWh (assumed global average) = 50.00 kgCO2e.</w:t>
      </w:r>
    </w:p>
    <w:p>
      <w:pPr>
        <w:pStyle w:val="FirstParagraph"/>
      </w:pPr>
      <w:r>
        <w:rPr>
          <w:bCs/>
          <w:b/>
        </w:rPr>
        <w:t xml:space="preserve">Subtotal Use Phase: 50.00 kgCO2e</w:t>
      </w:r>
    </w:p>
    <w:p>
      <w:pPr>
        <w:pStyle w:val="BodyText"/>
      </w:pPr>
      <w:r>
        <w:rPr>
          <w:bCs/>
          <w:b/>
        </w:rPr>
        <w:t xml:space="preserve">C. End-of-Life (EoL) Emissions:</w:t>
      </w:r>
    </w:p>
    <w:p>
      <w:pPr>
        <w:numPr>
          <w:ilvl w:val="0"/>
          <w:numId w:val="1012"/>
        </w:numPr>
        <w:pStyle w:val="Compact"/>
      </w:pPr>
      <w:r>
        <w:t xml:space="preserve">Recyclability Percentage: 80% (yvdhjjhmdf).</w:t>
      </w:r>
    </w:p>
    <w:p>
      <w:pPr>
        <w:numPr>
          <w:ilvl w:val="0"/>
          <w:numId w:val="1012"/>
        </w:numPr>
        <w:pStyle w:val="Compact"/>
      </w:pPr>
      <w:r>
        <w:t xml:space="preserve">Total Material Weight (Plastics + Metals): 0.5 kg + 0.1 kg = 0.6 kg.</w:t>
      </w:r>
    </w:p>
    <w:p>
      <w:pPr>
        <w:numPr>
          <w:ilvl w:val="0"/>
          <w:numId w:val="1012"/>
        </w:numPr>
        <w:pStyle w:val="Compact"/>
      </w:pPr>
      <w:r>
        <w:t xml:space="preserve">Recycled Material Weight: 0.6 kg * 80% = 0.48 kg.</w:t>
      </w:r>
    </w:p>
    <w:p>
      <w:pPr>
        <w:numPr>
          <w:ilvl w:val="0"/>
          <w:numId w:val="1012"/>
        </w:numPr>
        <w:pStyle w:val="Compact"/>
      </w:pPr>
      <w:r>
        <w:t xml:space="preserve">Assuming 0.4 kg of plastics and 0.08 kg of metals are recycled.</w:t>
      </w:r>
    </w:p>
    <w:p>
      <w:pPr>
        <w:numPr>
          <w:ilvl w:val="0"/>
          <w:numId w:val="1012"/>
        </w:numPr>
        <w:pStyle w:val="Compact"/>
      </w:pPr>
      <w:r>
        <w:t xml:space="preserve">Avoided Emissions from Plastics Recycling: 0.4 kg * (-1.2 kgCO2e/kg) = -0.48 kgCO2e.</w:t>
      </w:r>
    </w:p>
    <w:p>
      <w:pPr>
        <w:numPr>
          <w:ilvl w:val="0"/>
          <w:numId w:val="1012"/>
        </w:numPr>
        <w:pStyle w:val="Compact"/>
      </w:pPr>
      <w:r>
        <w:t xml:space="preserve">Avoided Emissions from Metals Recycling: 0.08 kg * (-3.0 kgCO2e/kg) = -0.24 kgCO2e.</w:t>
      </w:r>
    </w:p>
    <w:p>
      <w:pPr>
        <w:numPr>
          <w:ilvl w:val="0"/>
          <w:numId w:val="1012"/>
        </w:numPr>
        <w:pStyle w:val="Compact"/>
      </w:pPr>
      <w:r>
        <w:t xml:space="preserve">Net avoided emissions from recycling: -0.48 kgCO2e + (-0.24 kgCO2e) = -0.72 kgCO2e.</w:t>
      </w:r>
    </w:p>
    <w:p>
      <w:pPr>
        <w:numPr>
          <w:ilvl w:val="0"/>
          <w:numId w:val="1012"/>
        </w:numPr>
        <w:pStyle w:val="Compact"/>
      </w:pPr>
      <w:r>
        <w:t xml:space="preserve">Emissions from residual disposal (20% of materials): 0.12 kg (assuming landfill at approx. 0.033 kgCO2e/kg for plastics, and negligible for metals in landfill). For simplicity, we assume disposal of the remaining 20% does not contribute significantly or is offset by the avoided emissions, prioritizing the recycling benefit.</w:t>
      </w:r>
    </w:p>
    <w:p>
      <w:pPr>
        <w:numPr>
          <w:ilvl w:val="0"/>
          <w:numId w:val="1012"/>
        </w:numPr>
        <w:pStyle w:val="Compact"/>
      </w:pPr>
      <w:r>
        <w:t xml:space="preserve">Circular/Take-back Programs (doyrlqypqj): The presence of active take-back programs (Yes) further enhances the circularity and potentially reduces overall EoL impacts, though not directly quantifiable here without specific program data.</w:t>
      </w:r>
    </w:p>
    <w:p>
      <w:pPr>
        <w:pStyle w:val="FirstParagraph"/>
      </w:pPr>
      <w:r>
        <w:rPr>
          <w:bCs/>
          <w:b/>
        </w:rPr>
        <w:t xml:space="preserve">Subtotal End-of-Life: -0.72 kgCO2e (Net Avoided Emissions)</w:t>
      </w:r>
    </w:p>
    <w:p>
      <w:pPr>
        <w:pStyle w:val="BodyText"/>
      </w:pPr>
      <w:r>
        <w:rPr>
          <w:bCs/>
          <w:b/>
        </w:rPr>
        <w:t xml:space="preserve">Total Downstream Scope 3 Emissions: 12.47 kgCO2e (Transport) + 50.00 kgCO2e (Use Phase) - 0.72 kgCO2e (EoL) = 61.75 kgCO2e</w:t>
      </w:r>
    </w:p>
    <w:p>
      <w:pPr>
        <w:pStyle w:val="BodyText"/>
      </w:pPr>
      <w:r>
        <w:rPr>
          <w:bCs/>
          <w:b/>
        </w:rPr>
        <w:t xml:space="preserve">Total Scope 3 Emissions: 2.89 kgCO2e (Upstream) + 61.75 kgCO2e (Downstream) = 64.64 kgCO2e</w:t>
      </w:r>
    </w:p>
    <w:p>
      <w:pPr>
        <w:pStyle w:val="BodyText"/>
      </w:pPr>
      <w:r>
        <w:rPr>
          <w:bCs/>
          <w:b/>
        </w:rPr>
        <w:t xml:space="preserve">Scope 3 Compliance:</w:t>
      </w:r>
      <w:r>
        <w:t xml:space="preserve"> </w:t>
      </w:r>
      <w:r>
        <w:t xml:space="preserve">The detailed breakdown across materials, transport, use, and end-of-life ensures a comprehensive coverage of the value chain. This robust approach is designed to meet or exceed the 95% coverage requirement for Scope 3 reporting in 2026.</w:t>
      </w:r>
    </w:p>
    <w:bookmarkEnd w:id="34"/>
    <w:bookmarkEnd w:id="35"/>
    <w:bookmarkStart w:id="36"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Lifecycle Stage</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1.55</w:t>
            </w:r>
          </w:p>
        </w:tc>
      </w:tr>
      <w:tr>
        <w:tc>
          <w:tcPr>
            <w:vMerge w:val="restart"/>
          </w:tcPr>
          <w:p>
            <w:pPr>
              <w:pStyle w:val="Compact"/>
              <w:jc w:val="left"/>
            </w:pPr>
            <w:r>
              <w:t xml:space="preserve">Scope 3</w:t>
            </w:r>
          </w:p>
        </w:tc>
        <w:tc>
          <w:tcPr/>
          <w:p>
            <w:pPr>
              <w:pStyle w:val="Compact"/>
              <w:jc w:val="left"/>
            </w:pPr>
            <w:r>
              <w:t xml:space="preserve">Materials Acquisition &amp; Pre-processing (Upstream)</w:t>
            </w:r>
          </w:p>
        </w:tc>
        <w:tc>
          <w:tcPr/>
          <w:p>
            <w:pPr>
              <w:pStyle w:val="Compact"/>
              <w:jc w:val="left"/>
            </w:pPr>
            <w:r>
              <w:t xml:space="preserve">2.80</w:t>
            </w:r>
          </w:p>
        </w:tc>
      </w:tr>
      <w:tr>
        <w:tc>
          <w:tcPr>
            <w:gridSpan w:val="1"/>
            <w:vMerge w:val="continue"/>
          </w:tcPr>
          <w:p>
            <w:pPr/>
          </w:p>
        </w:tc>
        <w:tc>
          <w:tcPr/>
          <w:p>
            <w:pPr>
              <w:pStyle w:val="Compact"/>
              <w:jc w:val="left"/>
            </w:pPr>
            <w:r>
              <w:t xml:space="preserve">Transportation to Factory (Upstream)</w:t>
            </w:r>
          </w:p>
        </w:tc>
        <w:tc>
          <w:tcPr/>
          <w:p>
            <w:pPr>
              <w:pStyle w:val="Compact"/>
              <w:jc w:val="left"/>
            </w:pPr>
            <w:r>
              <w:t xml:space="preserve">0.09</w:t>
            </w:r>
          </w:p>
        </w:tc>
      </w:tr>
      <w:tr>
        <w:tc>
          <w:tcPr>
            <w:gridSpan w:val="1"/>
            <w:vMerge w:val="continue"/>
          </w:tcPr>
          <w:p>
            <w:pPr/>
          </w:p>
        </w:tc>
        <w:tc>
          <w:tcPr/>
          <w:p>
            <w:pPr>
              <w:pStyle w:val="Compact"/>
              <w:jc w:val="left"/>
            </w:pPr>
            <w:r>
              <w:t xml:space="preserve">Transportation from Factory (Downstream)</w:t>
            </w:r>
          </w:p>
        </w:tc>
        <w:tc>
          <w:tcPr/>
          <w:p>
            <w:pPr>
              <w:pStyle w:val="Compact"/>
              <w:jc w:val="left"/>
            </w:pPr>
            <w:r>
              <w:t xml:space="preserve">12.47</w:t>
            </w:r>
          </w:p>
        </w:tc>
      </w:tr>
      <w:tr>
        <w:tc>
          <w:tcPr>
            <w:gridSpan w:val="1"/>
            <w:vMerge w:val="continue"/>
          </w:tcPr>
          <w:p>
            <w:pPr/>
          </w:p>
        </w:tc>
        <w:tc>
          <w:tcPr/>
          <w:p>
            <w:pPr>
              <w:pStyle w:val="Compact"/>
              <w:jc w:val="left"/>
            </w:pPr>
            <w:r>
              <w:t xml:space="preserve">Use Phase (Downstream)</w:t>
            </w:r>
          </w:p>
        </w:tc>
        <w:tc>
          <w:tcPr/>
          <w:p>
            <w:pPr>
              <w:pStyle w:val="Compact"/>
              <w:jc w:val="left"/>
            </w:pPr>
            <w:r>
              <w:t xml:space="preserve">50.00</w:t>
            </w:r>
          </w:p>
        </w:tc>
      </w:tr>
      <w:tr>
        <w:tc>
          <w:tcPr/>
          <w:p>
            <w:pPr>
              <w:pStyle w:val="Compact"/>
              <w:jc w:val="left"/>
            </w:pPr>
            <w:r>
              <w:t xml:space="preserve">Scope 3 (Net Avoided)</w:t>
            </w:r>
          </w:p>
        </w:tc>
        <w:tc>
          <w:tcPr/>
          <w:p>
            <w:pPr>
              <w:pStyle w:val="Compact"/>
              <w:jc w:val="left"/>
            </w:pPr>
            <w:r>
              <w:t xml:space="preserve">End-of-Life (Downstream)</w:t>
            </w:r>
          </w:p>
        </w:tc>
        <w:tc>
          <w:tcPr/>
          <w:p>
            <w:pPr>
              <w:pStyle w:val="Compact"/>
              <w:jc w:val="left"/>
            </w:pPr>
            <w:r>
              <w:t xml:space="preserve">-0.72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66.19</w:t>
            </w:r>
          </w:p>
        </w:tc>
      </w:tr>
    </w:tbl>
    <w:p>
      <w:r>
        <w:pict>
          <v:rect style="width:0;height:1.5pt" o:hralign="center" o:hrstd="t" o:hr="t"/>
        </w:pict>
      </w:r>
    </w:p>
    <w:bookmarkEnd w:id="36"/>
    <w:bookmarkEnd w:id="37"/>
    <w:bookmarkStart w:id="40" w:name="review-report"/>
    <w:p>
      <w:pPr>
        <w:pStyle w:val="Heading2"/>
      </w:pPr>
      <w:r>
        <w:t xml:space="preserve">5. Review &amp; Report</w:t>
      </w:r>
    </w:p>
    <w:bookmarkStart w:id="38" w:name="hotspots-identification"/>
    <w:p>
      <w:pPr>
        <w:pStyle w:val="Heading3"/>
      </w:pPr>
      <w:r>
        <w:t xml:space="preserve">5.1. Hotspots Identification</w:t>
      </w:r>
    </w:p>
    <w:p>
      <w:pPr>
        <w:pStyle w:val="FirstParagraph"/>
      </w:pPr>
      <w:r>
        <w:t xml:space="preserve">Based on the calculations, the primary emission hotspots for ioofhimyqp are:</w:t>
      </w:r>
    </w:p>
    <w:p>
      <w:pPr>
        <w:numPr>
          <w:ilvl w:val="0"/>
          <w:numId w:val="1013"/>
        </w:numPr>
        <w:pStyle w:val="Compact"/>
      </w:pPr>
      <w:r>
        <w:rPr>
          <w:bCs/>
          <w:b/>
        </w:rPr>
        <w:t xml:space="preserve">Use Phase (50.00 kgCO2e):</w:t>
      </w:r>
      <w:r>
        <w:t xml:space="preserve"> </w:t>
      </w:r>
      <w:r>
        <w:t xml:space="preserve">This stage represents the largest portion of the PCF, primarily due to the energy consumption of the product over its lifespan. This suggests that improving energy efficiency during use or sourcing cleaner energy for end-users could significantly reduce the overall footprint.</w:t>
      </w:r>
    </w:p>
    <w:p>
      <w:pPr>
        <w:numPr>
          <w:ilvl w:val="0"/>
          <w:numId w:val="1013"/>
        </w:numPr>
        <w:pStyle w:val="Compact"/>
      </w:pPr>
      <w:r>
        <w:rPr>
          <w:bCs/>
          <w:b/>
        </w:rPr>
        <w:t xml:space="preserve">Downstream Transportation (12.47 kgCO2e):</w:t>
      </w:r>
      <w:r>
        <w:t xml:space="preserve"> </w:t>
      </w:r>
      <w:r>
        <w:t xml:space="preserve">Last-mile delivery contributes significantly, highlighting the impact of distribution logistics. Optimizing routes, using lower-emission vehicles, or more localized distribution could reduce this impact.</w:t>
      </w:r>
    </w:p>
    <w:p>
      <w:pPr>
        <w:numPr>
          <w:ilvl w:val="0"/>
          <w:numId w:val="1013"/>
        </w:numPr>
        <w:pStyle w:val="Compact"/>
      </w:pPr>
      <w:r>
        <w:rPr>
          <w:bCs/>
          <w:b/>
        </w:rPr>
        <w:t xml:space="preserve">Materials Acquisition (2.80 kgCO2e):</w:t>
      </w:r>
      <w:r>
        <w:t xml:space="preserve"> </w:t>
      </w:r>
      <w:r>
        <w:t xml:space="preserve">While smaller than the use phase, material production still represents a notable upstream impact. Focusing on materials with lower inherent carbon footprints or increasing recycled content beyond current levels would be beneficial.</w:t>
      </w:r>
    </w:p>
    <w:p>
      <w:pPr>
        <w:numPr>
          <w:ilvl w:val="0"/>
          <w:numId w:val="1013"/>
        </w:numPr>
        <w:pStyle w:val="Compact"/>
      </w:pPr>
      <w:r>
        <w:rPr>
          <w:bCs/>
          <w:b/>
        </w:rPr>
        <w:t xml:space="preserve">Production Energy (1.55 kgCO2e):</w:t>
      </w:r>
      <w:r>
        <w:t xml:space="preserve"> </w:t>
      </w:r>
      <w:r>
        <w:t xml:space="preserve">Despite 75% renewable energy usage, the remaining non-renewable portion and China\'s grid intensity still contribute to the footprint. Further increasing renewable energy sourcing or optimizing production efficiency could reduce this.</w:t>
      </w:r>
    </w:p>
    <w:bookmarkEnd w:id="38"/>
    <w:bookmarkStart w:id="39" w:name="reliability-and-limitations"/>
    <w:p>
      <w:pPr>
        <w:pStyle w:val="Heading3"/>
      </w:pPr>
      <w:r>
        <w:t xml:space="preserve">5.2. Reliability and Limitations</w:t>
      </w:r>
    </w:p>
    <w:p>
      <w:pPr>
        <w:pStyle w:val="FirstParagraph"/>
      </w:pPr>
      <w:r>
        <w:t xml:space="preserve">This report provides a high-detail analysis based on the provided parameters and industry-standard emission factors. Key considerations for reliability include:</w:t>
      </w:r>
    </w:p>
    <w:p>
      <w:pPr>
        <w:numPr>
          <w:ilvl w:val="0"/>
          <w:numId w:val="1014"/>
        </w:numPr>
        <w:pStyle w:val="Compact"/>
      </w:pPr>
      <w:r>
        <w:rPr>
          <w:bCs/>
          <w:b/>
        </w:rPr>
        <w:t xml:space="preserve">Data Quality:</w:t>
      </w:r>
      <w:r>
        <w:t xml:space="preserve"> </w:t>
      </w:r>
      <w:r>
        <w:t xml:space="preserve">The accuracy of the PCF is highly dependent on the precision of the provided BOM, transport distances, and energy data. Placeholder values were assumed for calculations where specific numerical inputs were not provided for parameters like `powwmhzzqx`, `sswszxngdx`, `mnjukolvet`, `xfsdhoywzh`, `wfldhuxvul`, `yvdhjjhmdf`, `Select Mode`, and `Delivery Type`. While reasonable assumptions were made for demonstration, real-world values would yield more precise results.</w:t>
      </w:r>
    </w:p>
    <w:p>
      <w:pPr>
        <w:numPr>
          <w:ilvl w:val="0"/>
          <w:numId w:val="1014"/>
        </w:numPr>
        <w:pStyle w:val="Compact"/>
      </w:pPr>
      <w:r>
        <w:rPr>
          <w:bCs/>
          <w:b/>
        </w:rPr>
        <w:t xml:space="preserve">Emission Factors:</w:t>
      </w:r>
      <w:r>
        <w:t xml:space="preserve"> </w:t>
      </w:r>
      <w:r>
        <w:t xml:space="preserve">Industry-standard emission factors (e.g., from national databases, GLEC) were used. These represent averages and may not perfectly reflect the specific conditions of every supplier or process.</w:t>
      </w:r>
    </w:p>
    <w:p>
      <w:pPr>
        <w:numPr>
          <w:ilvl w:val="0"/>
          <w:numId w:val="1014"/>
        </w:numPr>
        <w:pStyle w:val="Compact"/>
      </w:pPr>
      <w:r>
        <w:rPr>
          <w:bCs/>
          <w:b/>
        </w:rPr>
        <w:t xml:space="preserve">System Boundary:</w:t>
      </w:r>
      <w:r>
        <w:t xml:space="preserve"> </w:t>
      </w:r>
      <w:r>
        <w:t xml:space="preserve">The "factory_gate" boundary was expanded to include downstream impacts for comprehensive Scope 3 coverage.</w:t>
      </w:r>
    </w:p>
    <w:p>
      <w:pPr>
        <w:numPr>
          <w:ilvl w:val="0"/>
          <w:numId w:val="1014"/>
        </w:numPr>
        <w:pStyle w:val="Compact"/>
      </w:pPr>
      <w:r>
        <w:rPr>
          <w:bCs/>
          <w:b/>
        </w:rPr>
        <w:t xml:space="preserve">2026 LSR Update:</w:t>
      </w:r>
      <w:r>
        <w:t xml:space="preserve"> </w:t>
      </w:r>
      <w:r>
        <w:t xml:space="preserve">The Land Sector and Removals (LSR) Standard for land use and carbon removals has been acknowledged. Given the product type and available data, specific LSR calculations are not detailed here but the framework is understood for future integration with more specific land-related activity data.</w:t>
      </w:r>
    </w:p>
    <w:p>
      <w:pPr>
        <w:numPr>
          <w:ilvl w:val="0"/>
          <w:numId w:val="1014"/>
        </w:numPr>
        <w:pStyle w:val="Compact"/>
      </w:pPr>
      <w:r>
        <w:rPr>
          <w:bCs/>
          <w:b/>
        </w:rPr>
        <w:t xml:space="preserve">Scope 3 Coverage:</w:t>
      </w:r>
      <w:r>
        <w:t xml:space="preserve"> </w:t>
      </w:r>
      <w:r>
        <w:t xml:space="preserve">Efforts were made to ensure at least 95% coverage for Scope 3 reporting by detailing upstream and downstream elements.</w:t>
      </w:r>
    </w:p>
    <w:p>
      <w:pPr>
        <w:pStyle w:val="FirstParagraph"/>
      </w:pPr>
      <w:r>
        <w:t xml:space="preserve">Further refinements could include primary data collection from specific suppliers, detailed energy audits, and specific end-user geographic data for the use phase.</w:t>
      </w:r>
    </w:p>
    <w:p>
      <w:r>
        <w:pict>
          <v:rect style="width:0;height:1.5pt" o:hralign="center" o:hrstd="t" o:hr="t"/>
        </w:pict>
      </w:r>
    </w:p>
    <w:p>
      <w:pPr>
        <w:pStyle w:val="FirstParagraph"/>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ioofhimyqp</dc:title>
  <dc:creator/>
  <dc:description>High-detail Product Carbon Footprint (PCF) analysis report for ioofhimyqp, adhering to GHG Protocol and 2026 LSR update, performed by Senior Sustainability Consultant togxendxii for uheqxltwuk.</dc:description>
  <dc:language>en</dc:language>
  <cp:keywords/>
  <dcterms:created xsi:type="dcterms:W3CDTF">2026-07-15T00:22:25Z</dcterms:created>
  <dcterms:modified xsi:type="dcterms:W3CDTF">2026-07-15T00:22:25Z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