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hrrzviphev</w:t>
      </w:r>
      <w:r>
        <w:t xml:space="preserve"> </w:t>
      </w:r>
      <w:r>
        <w:t xml:space="preserve">-</w:t>
      </w:r>
      <w:r>
        <w:t xml:space="preserve"> </w:t>
      </w:r>
      <w:r>
        <w:t xml:space="preserve">risyqxvxyo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w:t>
      </w:r>
      <w:r>
        <w:br/>
      </w:r>
      <w:r>
        <w:t xml:space="preserve">hrrzviphev</w:t>
      </w:r>
    </w:p>
    <w:p>
      <w:pPr>
        <w:pStyle w:val="BodyText"/>
      </w:pPr>
      <w:r>
        <w:t xml:space="preserve">**Company Name:** risyqxvxyo</w:t>
      </w:r>
    </w:p>
    <w:p>
      <w:pPr>
        <w:pStyle w:val="BodyText"/>
      </w:pPr>
      <w:r>
        <w:t xml:space="preserve">**Accounting Standard:** GHG Protocol</w:t>
      </w:r>
    </w:p>
    <w:p>
      <w:pPr>
        <w:pStyle w:val="BodyText"/>
      </w:pPr>
      <w:r>
        <w:t xml:space="preserve">**Senior Sustainability Consultant:** eomdvtwsju</w:t>
      </w:r>
    </w:p>
    <w:p>
      <w:pPr>
        <w:pStyle w:val="BodyText"/>
      </w:pPr>
      <w:r>
        <w:t xml:space="preserve">*Disclaimer: This report is generated based on available data and industry standards, providing an estimate of the product\'s carbon footprint. Accuracy is dependent on the completeness and quality of input data.*</w:t>
      </w:r>
    </w:p>
    <w:bookmarkEnd w:id="20"/>
    <w:p>
      <w:pPr>
        <w:pStyle w:val="BodyText"/>
      </w:pPr>
      <w:r>
        <w:t xml:space="preserve">Product Carbon Footprint Analysis for hrrzviphev | Generated Date: May 20, 2026</w:t>
      </w:r>
    </w:p>
    <w:bookmarkStart w:id="44" w:name="X7df835c02ea1557ca6108838d60a4c9fc868211"/>
    <w:p>
      <w:pPr>
        <w:pStyle w:val="Heading1"/>
      </w:pPr>
      <w:r>
        <w:t xml:space="preserve">Product Carbon Footprint Analysis for hrrzviphev</w:t>
      </w:r>
    </w:p>
    <w:p>
      <w:pPr>
        <w:pStyle w:val="FirstParagraph"/>
      </w:pPr>
      <w:r>
        <w:t xml:space="preserve">This report presents a high-detail Product Carbon Footprint (PCF) analysis for the product hrrzviphev, manufactured by risyqxvxyo. The analysis adheres strictly to the Greenhouse Gas (GHG) Protocol standards, providing a comprehensive assessment of greenhouse gas emissions across the product\'s lifecycle. Conducted by eomdvtwsju, a Senior Sustainability Consultant specializing in GHG Protocol, this report aims to identify emission hotspots and inform strategic sustainability initiatives.</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report quantifies the greenhouse gas (GHG) emissions associated with the product hrrzviphev from risyqxvxyo, following the GHG Protocol methodology. The analysis covers the entire lifecycle, from raw material extraction and processing, through manufacturing, transportation, product use, and end-of-life treatment. The total carbon footprint for a functional unit of 1.0 unit of hrrzviphev is estimated to be [Calculated Total PCF] kg CO2e. Key emission hotspots have been identified in the materials acquisition and manufacturing phases, as well as the energy consumption during the product\'s use phase. Recommendations for reduction are provided to support risyqxvxyo\'s sustainability goals.</w:t>
      </w:r>
    </w:p>
    <w:p>
      <w:r>
        <w:pict>
          <v:rect style="width:0;height:1.5pt" o:hralign="center" o:hrstd="t" o:hr="t"/>
        </w:pict>
      </w:r>
    </w:p>
    <w:bookmarkEnd w:id="21"/>
    <w:bookmarkStart w:id="29" w:name="methodology-and-scope-definition"/>
    <w:p>
      <w:pPr>
        <w:pStyle w:val="Heading2"/>
      </w:pPr>
      <w:r>
        <w:t xml:space="preserve">2. Methodology and Scope Definition</w:t>
      </w:r>
    </w:p>
    <w:p>
      <w:pPr>
        <w:pStyle w:val="FirstParagraph"/>
      </w:pPr>
      <w:r>
        <w:t xml:space="preserve">The Product Carbon Footprint (PCF) analysis for hrrzviphev follows a structured five-step methodology in accordance with the GHG Protocol Product Standard.</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analysis is defined as 1.0 unit of hrrzviphev. This unit serves as the reference basis for quantifying and comparing emissions.</w:t>
      </w:r>
    </w:p>
    <w:p>
      <w:pPr>
        <w:numPr>
          <w:ilvl w:val="0"/>
          <w:numId w:val="1001"/>
        </w:numPr>
        <w:pStyle w:val="Compact"/>
      </w:pPr>
      <w:r>
        <w:rPr>
          <w:bCs/>
          <w:b/>
        </w:rPr>
        <w:t xml:space="preserve">System Boundary:</w:t>
      </w:r>
      <w:r>
        <w:t xml:space="preserve"> </w:t>
      </w:r>
      <w:r>
        <w:t xml:space="preserve">The system boundary is set as "factory_gate." This cradle-to-gate approach includes all emissions from raw material extraction, processing, and manufacturing, up to the point the finished product leaves the production facility. Downstream emissions from transportation, use phase, and end-of-life are also included to provide a comprehensive cradle-to-grave assessment.</w:t>
      </w:r>
    </w:p>
    <w:p>
      <w:pPr>
        <w:numPr>
          <w:ilvl w:val="0"/>
          <w:numId w:val="1001"/>
        </w:numPr>
        <w:pStyle w:val="Compact"/>
      </w:pPr>
      <w:r>
        <w:rPr>
          <w:bCs/>
          <w:b/>
        </w:rPr>
        <w:t xml:space="preserve">Geographic Scope:</w:t>
      </w:r>
      <w:r>
        <w:t xml:space="preserve"> </w:t>
      </w:r>
      <w:r>
        <w:t xml:space="preserve">The final production country for hrrzviphev is China. The supply chain focus is primarily Europe-focused for upstream material sourcing and transportation to the production facility in China. Downstream distribution and use are considered global, with end-of-life scenarios reflecting typical practices in major consumer markets.</w:t>
      </w:r>
    </w:p>
    <w:p>
      <w:pPr>
        <w:numPr>
          <w:ilvl w:val="0"/>
          <w:numId w:val="1001"/>
        </w:numPr>
        <w:pStyle w:val="Compact"/>
      </w:pPr>
      <w:r>
        <w:rPr>
          <w:bCs/>
          <w:b/>
        </w:rPr>
        <w:t xml:space="preserve">Allocation:</w:t>
      </w:r>
      <w:r>
        <w:t xml:space="preserve"> </w:t>
      </w:r>
      <w:r>
        <w:t xml:space="preserve">Emissions are allocated directly to the functional unit (1.0 unit of hrrzviphev) based on mass, energy consumption, and relevant activity data. Co-product allocation is considered where applicable, following GHG Protocol guidance.</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electricity, steam, heating, and cooling),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part of the GHG Protocol\'s 2026 updates, is conceptually applied to account for land use and carbon removals. While specific land use data for hrrzviphev\'s supply chain is not directly provided in the parameters, the principles of assessing land-based GHG emissions and removals are considered within the broader framework, particularly for agricultural or forestry-derived materials if applicable within the generic BOM.</w:t>
      </w:r>
    </w:p>
    <w:p>
      <w:pPr>
        <w:numPr>
          <w:ilvl w:val="0"/>
          <w:numId w:val="1001"/>
        </w:numPr>
        <w:pStyle w:val="Compact"/>
      </w:pPr>
      <w:r>
        <w:rPr>
          <w:bCs/>
          <w:b/>
        </w:rPr>
        <w:t xml:space="preserve">Scope 3 Compliance:</w:t>
      </w:r>
      <w:r>
        <w:t xml:space="preserve"> </w:t>
      </w:r>
      <w:r>
        <w:t xml:space="preserve">As per 2026 GHG Protocol requirements, at least 95% coverage for all required Scope 3 emissions categories is ensured. This requires thorough mapping of upstream and downstream value chain activities.</w:t>
      </w:r>
    </w:p>
    <w:bookmarkEnd w:id="22"/>
    <w:bookmarkStart w:id="28" w:name="Xbecd5f4a1a090598b604faa8d30886f3ebc4d8a"/>
    <w:p>
      <w:pPr>
        <w:pStyle w:val="Heading3"/>
      </w:pPr>
      <w:r>
        <w:t xml:space="preserve">2.2. Map Lifecycle (LCI Inventory Stages) and Data Collection Strategy</w:t>
      </w:r>
    </w:p>
    <w:p>
      <w:pPr>
        <w:pStyle w:val="FirstParagraph"/>
      </w:pPr>
      <w:r>
        <w:t xml:space="preserve">The lifecycle of hrrzviphev is mapped across several stages to identify all relevant emission sources. Data collection involves both primary and secondary data points to ensure accuracy and completeness.</w:t>
      </w:r>
    </w:p>
    <w:bookmarkStart w:id="23" w:name="X8dad6632704ad586b4df956e29e4e1f361d7c4f"/>
    <w:p>
      <w:pPr>
        <w:pStyle w:val="Heading4"/>
      </w:pPr>
      <w:r>
        <w:t xml:space="preserve">Detailed Bill of Materials (BOM) Data (lidryokl) - Scope 3 Upstream (Category 1: Purchased Goods and Services)</w:t>
      </w:r>
    </w:p>
    <w:p>
      <w:pPr>
        <w:pStyle w:val="FirstParagraph"/>
      </w:pPr>
      <w:r>
        <w:t xml:space="preserve">The provided Detailed Bill of Materials (BOM) for hrrzviphev (`lidryokl`) is crucial for high-accuracy material impact calculation. Illustrative data is used below to demonstrate the calculation methodology as specific BOM values were not provided. These values are used instead of default estimates for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Casting</w:t>
            </w:r>
          </w:p>
        </w:tc>
        <w:tc>
          <w:tcPr/>
          <w:p>
            <w:pPr>
              <w:pStyle w:val="Compact"/>
              <w:jc w:val="left"/>
            </w:pPr>
            <w:r>
              <w:t xml:space="preserve">Metal</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P002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E003</w:t>
            </w:r>
          </w:p>
        </w:tc>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Assembly, Soldering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C005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Cell Manufacturing,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1.00</w:t>
            </w:r>
          </w:p>
        </w:tc>
      </w:tr>
      <w:tr>
        <w:tc>
          <w:tcPr>
            <w:gridSpan w:val="7"/>
          </w:tcPr>
          <w:p>
            <w:pPr>
              <w:pStyle w:val="Compact"/>
              <w:jc w:val="right"/>
            </w:pPr>
            <w:r>
              <w:t xml:space="preserve">Total Material Impact:</w:t>
            </w:r>
          </w:p>
        </w:tc>
        <w:tc>
          <w:tcPr/>
          <w:p>
            <w:pPr>
              <w:pStyle w:val="Compact"/>
              <w:jc w:val="left"/>
            </w:pPr>
            <w:r>
              <w:t xml:space="preserve">8.60</w:t>
            </w:r>
          </w:p>
        </w:tc>
      </w:tr>
    </w:tbl>
    <w:p>
      <w:pPr>
        <w:pStyle w:val="BodyText"/>
      </w:pPr>
      <w:r>
        <w:t xml:space="preserve">*Note: Emission factors for materials are illustrative, based on typical industry ranges (e.g., Ecoinvent/DEFRA data for primary aluminum, ABS plastic, and electronics manufacturing).*</w:t>
      </w:r>
    </w:p>
    <w:bookmarkEnd w:id="23"/>
    <w:bookmarkStart w:id="24" w:name="Xcb99944712ff231b92494938f163d877544ada1"/>
    <w:p>
      <w:pPr>
        <w:pStyle w:val="Heading4"/>
      </w:pPr>
      <w:r>
        <w:t xml:space="preserve">Energy Inputs for Production (China) - Scope 2 &amp; Scope 3 Upstream (Category 3: Fuel- and Energy-Related Activities)</w:t>
      </w:r>
    </w:p>
    <w:p>
      <w:pPr>
        <w:numPr>
          <w:ilvl w:val="0"/>
          <w:numId w:val="1002"/>
        </w:numPr>
        <w:pStyle w:val="Compact"/>
      </w:pPr>
      <w:r>
        <w:rPr>
          <w:bCs/>
          <w:b/>
        </w:rPr>
        <w:t xml:space="preserve">Renewable Energy Usage (iyoqkelggw):</w:t>
      </w:r>
      <w:r>
        <w:t xml:space="preserve"> </w:t>
      </w:r>
      <w:r>
        <w:t xml:space="preserve">60% of the energy consumed in the production phase is from renewable sources.</w:t>
      </w:r>
    </w:p>
    <w:p>
      <w:pPr>
        <w:numPr>
          <w:ilvl w:val="0"/>
          <w:numId w:val="1002"/>
        </w:numPr>
        <w:pStyle w:val="Compact"/>
      </w:pPr>
      <w:r>
        <w:rPr>
          <w:bCs/>
          <w:b/>
        </w:rPr>
        <w:t xml:space="preserve">Energy Intensity (kWh/unit) (dnxdvohjvl):</w:t>
      </w:r>
      <w:r>
        <w:t xml:space="preserve"> </w:t>
      </w:r>
      <w:r>
        <w:t xml:space="preserve">Production requires 15 kWh/unit.</w:t>
      </w:r>
    </w:p>
    <w:p>
      <w:pPr>
        <w:numPr>
          <w:ilvl w:val="0"/>
          <w:numId w:val="1002"/>
        </w:numPr>
        <w:pStyle w:val="Compact"/>
      </w:pPr>
      <w:r>
        <w:rPr>
          <w:bCs/>
          <w:b/>
        </w:rPr>
        <w:t xml:space="preserve">Non-Renewable Energy:</w:t>
      </w:r>
      <w:r>
        <w:t xml:space="preserve"> </w:t>
      </w:r>
      <w:r>
        <w:t xml:space="preserve">40% of 15 kWh = 6 kWh/unit. Using China\'s national average electricity carbon footprint factor of approximately 0.6205 kg CO2e/kWh for 2023.</w:t>
      </w:r>
    </w:p>
    <w:bookmarkEnd w:id="24"/>
    <w:bookmarkStart w:id="25" w:name="X41322736ee369a8a3b12e1debe617315949c6fa"/>
    <w:p>
      <w:pPr>
        <w:pStyle w:val="Heading4"/>
      </w:pPr>
      <w:r>
        <w:t xml:space="preserve">Transport Logistics - Scope 3 Upstream (Category 4: Upstream Transportation and Distribution) &amp; Downstream (Category 9: Downstream Transportation and Distribution)</w:t>
      </w:r>
    </w:p>
    <w:p>
      <w:pPr>
        <w:pStyle w:val="FirstParagraph"/>
      </w:pPr>
      <w:r>
        <w:t xml:space="preserve">Specific logistics data is incorporated into the supply chain analysis:</w:t>
      </w:r>
    </w:p>
    <w:p>
      <w:pPr>
        <w:numPr>
          <w:ilvl w:val="0"/>
          <w:numId w:val="1003"/>
        </w:numPr>
        <w:pStyle w:val="Compact"/>
      </w:pPr>
      <w:r>
        <w:rPr>
          <w:bCs/>
          <w:b/>
        </w:rPr>
        <w:t xml:space="preserve">Transport Mode:</w:t>
      </w:r>
      <w:r>
        <w:t xml:space="preserve"> </w:t>
      </w:r>
      <w:r>
        <w:t xml:space="preserve">`Select Mode` (Assumed: Road Freight)</w:t>
      </w:r>
    </w:p>
    <w:p>
      <w:pPr>
        <w:numPr>
          <w:ilvl w:val="0"/>
          <w:numId w:val="1003"/>
        </w:numPr>
        <w:pStyle w:val="Compact"/>
      </w:pPr>
      <w:r>
        <w:rPr>
          <w:bCs/>
          <w:b/>
        </w:rPr>
        <w:t xml:space="preserve">Transport Distance:</w:t>
      </w:r>
      <w:r>
        <w:t xml:space="preserve"> </w:t>
      </w:r>
      <w:r>
        <w:t xml:space="preserve">`tjywedgelm` (Assumed: 2000 km)</w:t>
      </w:r>
    </w:p>
    <w:p>
      <w:pPr>
        <w:numPr>
          <w:ilvl w:val="0"/>
          <w:numId w:val="1003"/>
        </w:numPr>
        <w:pStyle w:val="Compact"/>
      </w:pPr>
      <w:r>
        <w:rPr>
          <w:bCs/>
          <w:b/>
        </w:rPr>
        <w:t xml:space="preserve">Last-Mile Delivery Channel:</w:t>
      </w:r>
      <w:r>
        <w:t xml:space="preserve"> </w:t>
      </w:r>
      <w:r>
        <w:t xml:space="preserve">`Delivery Type` (Assumed: Standard Parcel Delivery)</w:t>
      </w:r>
    </w:p>
    <w:bookmarkEnd w:id="25"/>
    <w:bookmarkStart w:id="26" w:name="Xd983f235850491b261b6185fe2c666d8055dce6"/>
    <w:p>
      <w:pPr>
        <w:pStyle w:val="Heading4"/>
      </w:pPr>
      <w:r>
        <w:t xml:space="preserve">Use Phase - Scope 3 Downstream (Category 11: Use of Sold Products)</w:t>
      </w:r>
    </w:p>
    <w:p>
      <w:pPr>
        <w:numPr>
          <w:ilvl w:val="0"/>
          <w:numId w:val="1004"/>
        </w:numPr>
        <w:pStyle w:val="Compact"/>
      </w:pPr>
      <w:r>
        <w:rPr>
          <w:bCs/>
          <w:b/>
        </w:rPr>
        <w:t xml:space="preserve">Product Lifespan (hdexvtznzf):</w:t>
      </w:r>
      <w:r>
        <w:t xml:space="preserve"> </w:t>
      </w:r>
      <w:r>
        <w:t xml:space="preserve">5 years</w:t>
      </w:r>
    </w:p>
    <w:p>
      <w:pPr>
        <w:numPr>
          <w:ilvl w:val="0"/>
          <w:numId w:val="1004"/>
        </w:numPr>
        <w:pStyle w:val="Compact"/>
      </w:pPr>
      <w:r>
        <w:rPr>
          <w:bCs/>
          <w:b/>
        </w:rPr>
        <w:t xml:space="preserve">Energy Consumption in Use (devntrmzhu):</w:t>
      </w:r>
      <w:r>
        <w:t xml:space="preserve"> </w:t>
      </w:r>
      <w:r>
        <w:t xml:space="preserve">10 kWh/year</w:t>
      </w:r>
    </w:p>
    <w:bookmarkEnd w:id="26"/>
    <w:bookmarkStart w:id="27" w:name="X3672607e21ac1847b6c0669dd02b02c21385fdb"/>
    <w:p>
      <w:pPr>
        <w:pStyle w:val="Heading4"/>
      </w:pPr>
      <w:r>
        <w:t xml:space="preserve">End-of-Life (EoL) Scenarios - Scope 3 Downstream (Category 12: End-of-Life Treatment of Sold Products)</w:t>
      </w:r>
    </w:p>
    <w:p>
      <w:pPr>
        <w:numPr>
          <w:ilvl w:val="0"/>
          <w:numId w:val="1005"/>
        </w:numPr>
        <w:pStyle w:val="Compact"/>
      </w:pPr>
      <w:r>
        <w:rPr>
          <w:bCs/>
          <w:b/>
        </w:rPr>
        <w:t xml:space="preserve">Recyclability Percentage (fwdtezxnqy):</w:t>
      </w:r>
      <w:r>
        <w:t xml:space="preserve"> </w:t>
      </w:r>
      <w:r>
        <w:t xml:space="preserve">70%</w:t>
      </w:r>
    </w:p>
    <w:p>
      <w:pPr>
        <w:numPr>
          <w:ilvl w:val="0"/>
          <w:numId w:val="1005"/>
        </w:numPr>
        <w:pStyle w:val="Compact"/>
      </w:pPr>
      <w:r>
        <w:rPr>
          <w:bCs/>
          <w:b/>
        </w:rPr>
        <w:t xml:space="preserve">Circular/Take-back Programs (eoohpelhfk):</w:t>
      </w:r>
      <w:r>
        <w:t xml:space="preserve"> </w:t>
      </w:r>
      <w:r>
        <w:t xml:space="preserve">Yes, regional take-back program.</w:t>
      </w:r>
    </w:p>
    <w:p>
      <w:r>
        <w:pict>
          <v:rect style="width:0;height:1.5pt" o:hralign="center" o:hrstd="t" o:hr="t"/>
        </w:pict>
      </w:r>
    </w:p>
    <w:bookmarkEnd w:id="27"/>
    <w:bookmarkEnd w:id="28"/>
    <w:bookmarkEnd w:id="29"/>
    <w:bookmarkStart w:id="35" w:name="X2c62247db19834934c44c209ad423fe06ba5c64"/>
    <w:p>
      <w:pPr>
        <w:pStyle w:val="Heading2"/>
      </w:pPr>
      <w:r>
        <w:t xml:space="preserve">3. Calculation of Emissions (Activity * Emission Factor = CO2e)</w:t>
      </w:r>
    </w:p>
    <w:p>
      <w:pPr>
        <w:pStyle w:val="FirstParagraph"/>
      </w:pPr>
      <w:r>
        <w:t xml:space="preserve">Emissions are calculated for each stage of the product\'s lifecycle, categorized according to the GHG Protocol. Industry-standard emission factors from databases such as Ecoinvent and DEFRA are used for these calculations.</w:t>
      </w:r>
    </w:p>
    <w:bookmarkStart w:id="30" w:name="Xece81468615bd62c11c978e3a42b9915af71be1"/>
    <w:p>
      <w:pPr>
        <w:pStyle w:val="Heading3"/>
      </w:pPr>
      <w:r>
        <w:t xml:space="preserve">3.1. Materials Acquisition and Production (Scope 3 - Category 1)</w:t>
      </w:r>
    </w:p>
    <w:p>
      <w:pPr>
        <w:pStyle w:val="FirstParagraph"/>
      </w:pPr>
      <w:r>
        <w:t xml:space="preserve">Based on the illustrative BOM, the total emissions from purchased goods and services are calculated as the sum of "Total Carbon" from each material.</w:t>
      </w:r>
    </w:p>
    <w:p>
      <w:pPr>
        <w:pStyle w:val="BodyText"/>
      </w:pPr>
      <w:r>
        <w:rPr>
          <w:bCs/>
          <w:b/>
        </w:rPr>
        <w:t xml:space="preserve">Total Material Impact: 8.60 kg CO2e</w:t>
      </w:r>
    </w:p>
    <w:bookmarkEnd w:id="30"/>
    <w:bookmarkStart w:id="31" w:name="X766417c46a4141bb34af9777f9933f7a670a0c3"/>
    <w:p>
      <w:pPr>
        <w:pStyle w:val="Heading3"/>
      </w:pPr>
      <w:r>
        <w:t xml:space="preserve">3.2. Manufacturing Emissions (Scope 1, Scope 2, Scope 3 - Category 3)</w:t>
      </w:r>
    </w:p>
    <w:p>
      <w:pPr>
        <w:pStyle w:val="FirstParagraph"/>
      </w:pPr>
      <w:r>
        <w:t xml:space="preserve">For the production facility in China:</w:t>
      </w:r>
    </w:p>
    <w:p>
      <w:pPr>
        <w:numPr>
          <w:ilvl w:val="0"/>
          <w:numId w:val="1006"/>
        </w:numPr>
        <w:pStyle w:val="Compact"/>
      </w:pPr>
      <w:r>
        <w:rPr>
          <w:bCs/>
          <w:b/>
        </w:rPr>
        <w:t xml:space="preserve">Direct Emissions (Scope 1):</w:t>
      </w:r>
      <w:r>
        <w:t xml:space="preserve"> </w:t>
      </w:r>
      <w:r>
        <w:t xml:space="preserve">This report assumes that significant direct fossil fuel combustion on-site is minimal for the production process itself, or accounted for within the energy intensity. If risyqxvxyo has company-owned vehicles or on-site fossil fuel consumption (e.g., for heating or specific processes), these would be included here. For illustrative purposes, we assume negligible Scope 1 emissions at the factory gate for product assembly beyond what\'s embedded in purchased energy.</w:t>
      </w:r>
    </w:p>
    <w:p>
      <w:pPr>
        <w:numPr>
          <w:ilvl w:val="0"/>
          <w:numId w:val="1006"/>
        </w:numPr>
        <w:pStyle w:val="Compact"/>
      </w:pPr>
      <w:r>
        <w:rPr>
          <w:bCs/>
          <w:b/>
        </w:rPr>
        <w:t xml:space="preserve">Purchased Energy Emissions (Scope 2):</w:t>
      </w:r>
    </w:p>
    <w:p>
      <w:pPr>
        <w:numPr>
          <w:ilvl w:val="1"/>
          <w:numId w:val="1007"/>
        </w:numPr>
        <w:pStyle w:val="Compact"/>
      </w:pPr>
      <w:r>
        <w:t xml:space="preserve">Total Energy Intensity: 15 kWh/unit (`dnxdvohjvl`)</w:t>
      </w:r>
    </w:p>
    <w:p>
      <w:pPr>
        <w:numPr>
          <w:ilvl w:val="1"/>
          <w:numId w:val="1007"/>
        </w:numPr>
        <w:pStyle w:val="Compact"/>
      </w:pPr>
      <w:r>
        <w:t xml:space="preserve">Renewable Energy Usage: 60% (`iyoqkelggw`)</w:t>
      </w:r>
    </w:p>
    <w:p>
      <w:pPr>
        <w:numPr>
          <w:ilvl w:val="1"/>
          <w:numId w:val="1007"/>
        </w:numPr>
        <w:pStyle w:val="Compact"/>
      </w:pPr>
      <w:r>
        <w:t xml:space="preserve">Non-Renewable Energy Usage: 40% (1 - 0.60) = 0.40</w:t>
      </w:r>
    </w:p>
    <w:p>
      <w:pPr>
        <w:numPr>
          <w:ilvl w:val="1"/>
          <w:numId w:val="1007"/>
        </w:numPr>
        <w:pStyle w:val="Compact"/>
      </w:pPr>
      <w:r>
        <w:t xml:space="preserve">Non-Renewable Energy Consumption: 15 kWh/unit * 0.40 = 6 kWh/unit</w:t>
      </w:r>
    </w:p>
    <w:p>
      <w:pPr>
        <w:numPr>
          <w:ilvl w:val="1"/>
          <w:numId w:val="1007"/>
        </w:numPr>
        <w:pStyle w:val="Compact"/>
      </w:pPr>
      <w:r>
        <w:t xml:space="preserve">China Grid Emission Factor (2023 average): 0.6205 kg CO2e/kWh</w:t>
      </w:r>
    </w:p>
    <w:p>
      <w:pPr>
        <w:numPr>
          <w:ilvl w:val="1"/>
          <w:numId w:val="1007"/>
        </w:numPr>
        <w:pStyle w:val="Compact"/>
      </w:pPr>
      <w:r>
        <w:rPr>
          <w:bCs/>
          <w:b/>
        </w:rPr>
        <w:t xml:space="preserve">Scope 2 Emissions:</w:t>
      </w:r>
      <w:r>
        <w:t xml:space="preserve"> </w:t>
      </w:r>
      <w:r>
        <w:t xml:space="preserve">6 kWh/unit * 0.6205 kg CO2e/kWh =</w:t>
      </w:r>
      <w:r>
        <w:t xml:space="preserve"> </w:t>
      </w:r>
      <w:r>
        <w:rPr>
          <w:bCs/>
          <w:b/>
        </w:rPr>
        <w:t xml:space="preserve">3.723 kg CO2e/unit</w:t>
      </w:r>
    </w:p>
    <w:p>
      <w:pPr>
        <w:numPr>
          <w:ilvl w:val="0"/>
          <w:numId w:val="1006"/>
        </w:numPr>
        <w:pStyle w:val="Compact"/>
      </w:pPr>
      <w:r>
        <w:rPr>
          <w:bCs/>
          <w:b/>
        </w:rPr>
        <w:t xml:space="preserve">Fuel- and Energy-Related Activities Not Included in Scope 1 or Scope 2 (Scope 3 - Category 3):</w:t>
      </w:r>
      <w:r>
        <w:t xml:space="preserve"> </w:t>
      </w:r>
      <w:r>
        <w:t xml:space="preserve">These typically include emissions from the upstream production of purchased fuels and electricity (e.g., transmission and distribution losses). For simplicity and as primary data is not given, these are implicitly covered within the grid emission factor for China, which often includes some upstream aspects.</w:t>
      </w:r>
    </w:p>
    <w:p>
      <w:pPr>
        <w:pStyle w:val="FirstParagraph"/>
      </w:pPr>
      <w:r>
        <w:rPr>
          <w:bCs/>
          <w:b/>
        </w:rPr>
        <w:t xml:space="preserve">Total Manufacturing Emissions (Scope 2): 3.723 kg CO2e/unit</w:t>
      </w:r>
    </w:p>
    <w:bookmarkEnd w:id="31"/>
    <w:bookmarkStart w:id="32" w:name="Xcbdec04044bb8f5ef1f6127c6f5f05bd2307833"/>
    <w:p>
      <w:pPr>
        <w:pStyle w:val="Heading3"/>
      </w:pPr>
      <w:r>
        <w:t xml:space="preserve">3.3. Transportation and Distribution (Scope 3 - Category 4 &amp; 9)</w:t>
      </w:r>
    </w:p>
    <w:p>
      <w:pPr>
        <w:pStyle w:val="FirstParagraph"/>
      </w:pPr>
      <w:r>
        <w:t xml:space="preserve">Transportation emissions are calculated for both upstream (to factory) and downstream (from factory to customer).</w:t>
      </w:r>
    </w:p>
    <w:p>
      <w:pPr>
        <w:numPr>
          <w:ilvl w:val="0"/>
          <w:numId w:val="1008"/>
        </w:numPr>
        <w:pStyle w:val="Compact"/>
      </w:pPr>
      <w:r>
        <w:rPr>
          <w:bCs/>
          <w:b/>
        </w:rPr>
        <w:t xml:space="preserve">Upstream Transportation (e.g., materials from Europe to China factory):</w:t>
      </w:r>
    </w:p>
    <w:p>
      <w:pPr>
        <w:numPr>
          <w:ilvl w:val="1"/>
          <w:numId w:val="1009"/>
        </w:numPr>
        <w:pStyle w:val="Compact"/>
      </w:pPr>
      <w:r>
        <w:t xml:space="preserve">Total estimated mass of components: Sum of Qty from BOM = 0.5 + 0.8 + 0.1 + 0.2 + 0.05 = 1.65 kg</w:t>
      </w:r>
    </w:p>
    <w:p>
      <w:pPr>
        <w:numPr>
          <w:ilvl w:val="1"/>
          <w:numId w:val="1009"/>
        </w:numPr>
        <w:pStyle w:val="Compact"/>
      </w:pPr>
      <w:r>
        <w:t xml:space="preserve">Transport Mode: Road Freight (`Select Mode`)</w:t>
      </w:r>
    </w:p>
    <w:p>
      <w:pPr>
        <w:numPr>
          <w:ilvl w:val="1"/>
          <w:numId w:val="1009"/>
        </w:numPr>
        <w:pStyle w:val="Compact"/>
      </w:pPr>
      <w:r>
        <w:t xml:space="preserve">Transport Distance: 2000 km (`tjywedgelm`)</w:t>
      </w:r>
    </w:p>
    <w:p>
      <w:pPr>
        <w:numPr>
          <w:ilvl w:val="1"/>
          <w:numId w:val="1009"/>
        </w:numPr>
        <w:pStyle w:val="Compact"/>
      </w:pPr>
      <w:r>
        <w:t xml:space="preserve">Illustrative Road Freight Emission Factor: 0.09 kg CO2e/tonne-km (mid-range from various sources, e.g., 62g CO2/tonne-km or 0.112 kg/tonne-km)</w:t>
      </w:r>
    </w:p>
    <w:p>
      <w:pPr>
        <w:numPr>
          <w:ilvl w:val="1"/>
          <w:numId w:val="1009"/>
        </w:numPr>
        <w:pStyle w:val="Compact"/>
      </w:pPr>
      <w:r>
        <w:rPr>
          <w:bCs/>
          <w:b/>
        </w:rPr>
        <w:t xml:space="preserve">Upstream Transport Emissions:</w:t>
      </w:r>
      <w:r>
        <w:t xml:space="preserve"> </w:t>
      </w:r>
      <w:r>
        <w:t xml:space="preserve">(1.65 kg / 1000 kg/tonne) * 2000 km * 0.09 kg CO2e/tonne-km =</w:t>
      </w:r>
      <w:r>
        <w:t xml:space="preserve"> </w:t>
      </w:r>
      <w:r>
        <w:rPr>
          <w:bCs/>
          <w:b/>
        </w:rPr>
        <w:t xml:space="preserve">0.297 kg CO2e/unit</w:t>
      </w:r>
    </w:p>
    <w:p>
      <w:pPr>
        <w:numPr>
          <w:ilvl w:val="0"/>
          <w:numId w:val="1008"/>
        </w:numPr>
        <w:pStyle w:val="Compact"/>
      </w:pPr>
      <w:r>
        <w:rPr>
          <w:bCs/>
          <w:b/>
        </w:rPr>
        <w:t xml:space="preserve">Downstream Transportation (from China factory to European customer, including last-mile):</w:t>
      </w:r>
    </w:p>
    <w:p>
      <w:pPr>
        <w:numPr>
          <w:ilvl w:val="1"/>
          <w:numId w:val="1010"/>
        </w:numPr>
        <w:pStyle w:val="Compact"/>
      </w:pPr>
      <w:r>
        <w:t xml:space="preserve">Product weight: Assume 1.65 kg (same as material input for simplicity, actual product might vary)</w:t>
      </w:r>
    </w:p>
    <w:p>
      <w:pPr>
        <w:numPr>
          <w:ilvl w:val="1"/>
          <w:numId w:val="1010"/>
        </w:numPr>
        <w:pStyle w:val="Compact"/>
      </w:pPr>
      <w:r>
        <w:t xml:space="preserve">Main Transport Distance (e.g., factory to distribution hub): 1000 km (illustrative)</w:t>
      </w:r>
    </w:p>
    <w:p>
      <w:pPr>
        <w:numPr>
          <w:ilvl w:val="1"/>
          <w:numId w:val="1010"/>
        </w:numPr>
        <w:pStyle w:val="Compact"/>
      </w:pPr>
      <w:r>
        <w:t xml:space="preserve">Main Transport Mode: Road Freight (Assumed)</w:t>
      </w:r>
    </w:p>
    <w:p>
      <w:pPr>
        <w:numPr>
          <w:ilvl w:val="1"/>
          <w:numId w:val="1010"/>
        </w:numPr>
        <w:pStyle w:val="Compact"/>
      </w:pPr>
      <w:r>
        <w:t xml:space="preserve">Main Transport Emission: (1.65 kg / 1000 kg/tonne) * 1000 km * 0.09 kg CO2e/tonne-km = 0.1485 kg CO2e</w:t>
      </w:r>
    </w:p>
    <w:p>
      <w:pPr>
        <w:numPr>
          <w:ilvl w:val="1"/>
          <w:numId w:val="1010"/>
        </w:numPr>
        <w:pStyle w:val="Compact"/>
      </w:pPr>
      <w:r>
        <w:t xml:space="preserve">Last-Mile Delivery Channel: Standard Parcel Delivery (`Delivery Type`)</w:t>
      </w:r>
    </w:p>
    <w:p>
      <w:pPr>
        <w:numPr>
          <w:ilvl w:val="1"/>
          <w:numId w:val="1010"/>
        </w:numPr>
        <w:pStyle w:val="Compact"/>
      </w:pPr>
      <w:r>
        <w:t xml:space="preserve">Illustrative Last-Mile Emission Factor: 0.23 kg CO2e/package for pickup and delivery (from a study for 500-mile journey, which is approx. 800km). For simplicity, we use a single value for the last mile.</w:t>
      </w:r>
    </w:p>
    <w:p>
      <w:pPr>
        <w:numPr>
          <w:ilvl w:val="1"/>
          <w:numId w:val="1010"/>
        </w:numPr>
        <w:pStyle w:val="Compact"/>
      </w:pPr>
      <w:r>
        <w:rPr>
          <w:bCs/>
          <w:b/>
        </w:rPr>
        <w:t xml:space="preserve">Downstream Transport Emissions:</w:t>
      </w:r>
      <w:r>
        <w:t xml:space="preserve"> </w:t>
      </w:r>
      <w:r>
        <w:t xml:space="preserve">0.1485 kg CO2e + 0.23 kg CO2e =</w:t>
      </w:r>
      <w:r>
        <w:t xml:space="preserve"> </w:t>
      </w:r>
      <w:r>
        <w:rPr>
          <w:bCs/>
          <w:b/>
        </w:rPr>
        <w:t xml:space="preserve">0.3785 kg CO2e/unit</w:t>
      </w:r>
    </w:p>
    <w:p>
      <w:pPr>
        <w:pStyle w:val="FirstParagraph"/>
      </w:pPr>
      <w:r>
        <w:rPr>
          <w:bCs/>
          <w:b/>
        </w:rPr>
        <w:t xml:space="preserve">Total Transportation &amp; Distribution Emissions: 0.297 kg CO2e/unit (Upstream) + 0.3785 kg CO2e/unit (Downstream) = 0.6755 kg CO2e/unit</w:t>
      </w:r>
    </w:p>
    <w:bookmarkEnd w:id="32"/>
    <w:bookmarkStart w:id="33" w:name="X177f50a0d33781b62ef7832d150662b457066d1"/>
    <w:p>
      <w:pPr>
        <w:pStyle w:val="Heading3"/>
      </w:pPr>
      <w:r>
        <w:t xml:space="preserve">3.4. Use Phase Emissions (Scope 3 - Category 11)</w:t>
      </w:r>
    </w:p>
    <w:p>
      <w:pPr>
        <w:pStyle w:val="FirstParagraph"/>
      </w:pPr>
      <w:r>
        <w:t xml:space="preserve">Emissions from energy consumption during the product\'s lifespan.</w:t>
      </w:r>
    </w:p>
    <w:p>
      <w:pPr>
        <w:numPr>
          <w:ilvl w:val="0"/>
          <w:numId w:val="1011"/>
        </w:numPr>
        <w:pStyle w:val="Compact"/>
      </w:pPr>
      <w:r>
        <w:t xml:space="preserve">Product Lifespan: 5 years (`hdexvtznzf`)</w:t>
      </w:r>
    </w:p>
    <w:p>
      <w:pPr>
        <w:numPr>
          <w:ilvl w:val="0"/>
          <w:numId w:val="1011"/>
        </w:numPr>
        <w:pStyle w:val="Compact"/>
      </w:pPr>
      <w:r>
        <w:t xml:space="preserve">Energy Consumption in Use: 10 kWh/year (`devntrmzhu`)</w:t>
      </w:r>
    </w:p>
    <w:p>
      <w:pPr>
        <w:numPr>
          <w:ilvl w:val="0"/>
          <w:numId w:val="1011"/>
        </w:numPr>
        <w:pStyle w:val="Compact"/>
      </w:pPr>
      <w:r>
        <w:t xml:space="preserve">Total Energy Consumption over Lifespan: 10 kWh/year * 5 years = 50 kWh/unit</w:t>
      </w:r>
    </w:p>
    <w:p>
      <w:pPr>
        <w:numPr>
          <w:ilvl w:val="0"/>
          <w:numId w:val="1011"/>
        </w:numPr>
        <w:pStyle w:val="Compact"/>
      </w:pPr>
      <w:r>
        <w:t xml:space="preserve">Average Global Grid Emission Factor for Use Phase: For simplicity, we\'ll use a conservative global average or a typical consumer grid mix emission factor, e.g., 0.4 kg CO2e/kWh (highly variable by region).</w:t>
      </w:r>
    </w:p>
    <w:p>
      <w:pPr>
        <w:numPr>
          <w:ilvl w:val="0"/>
          <w:numId w:val="1011"/>
        </w:numPr>
        <w:pStyle w:val="Compact"/>
      </w:pPr>
      <w:r>
        <w:rPr>
          <w:bCs/>
          <w:b/>
        </w:rPr>
        <w:t xml:space="preserve">Use Phase Emissions:</w:t>
      </w:r>
      <w:r>
        <w:t xml:space="preserve"> </w:t>
      </w:r>
      <w:r>
        <w:t xml:space="preserve">50 kWh/unit * 0.4 kg CO2e/kWh =</w:t>
      </w:r>
      <w:r>
        <w:t xml:space="preserve"> </w:t>
      </w:r>
      <w:r>
        <w:rPr>
          <w:bCs/>
          <w:b/>
        </w:rPr>
        <w:t xml:space="preserve">20.0 kg CO2e/unit</w:t>
      </w:r>
    </w:p>
    <w:p>
      <w:pPr>
        <w:pStyle w:val="FirstParagraph"/>
      </w:pPr>
      <w:r>
        <w:rPr>
          <w:bCs/>
          <w:b/>
        </w:rPr>
        <w:t xml:space="preserve">Total Use Phase Emissions: 20.0 kg CO2e/unit</w:t>
      </w:r>
    </w:p>
    <w:bookmarkEnd w:id="33"/>
    <w:bookmarkStart w:id="34" w:name="Xc4efcc4de42713936182f6115e420fc73654e87"/>
    <w:p>
      <w:pPr>
        <w:pStyle w:val="Heading3"/>
      </w:pPr>
      <w:r>
        <w:t xml:space="preserve">3.5. End-of-Life (EoL) Emissions (Scope 3 - Category 12)</w:t>
      </w:r>
    </w:p>
    <w:p>
      <w:pPr>
        <w:pStyle w:val="FirstParagraph"/>
      </w:pPr>
      <w:r>
        <w:t xml:space="preserve">EoL scenarios are incorporated to reflect circular economy impacts.</w:t>
      </w:r>
    </w:p>
    <w:p>
      <w:pPr>
        <w:numPr>
          <w:ilvl w:val="0"/>
          <w:numId w:val="1012"/>
        </w:numPr>
        <w:pStyle w:val="Compact"/>
      </w:pPr>
      <w:r>
        <w:t xml:space="preserve">Product weight at EoL: Assume 1.65 kg</w:t>
      </w:r>
    </w:p>
    <w:p>
      <w:pPr>
        <w:numPr>
          <w:ilvl w:val="0"/>
          <w:numId w:val="1012"/>
        </w:numPr>
        <w:pStyle w:val="Compact"/>
      </w:pPr>
      <w:r>
        <w:t xml:space="preserve">Recyclability Percentage: 70% (`fwdtezxnqy`)</w:t>
      </w:r>
    </w:p>
    <w:p>
      <w:pPr>
        <w:numPr>
          <w:ilvl w:val="0"/>
          <w:numId w:val="1012"/>
        </w:numPr>
        <w:pStyle w:val="Compact"/>
      </w:pPr>
      <w:r>
        <w:t xml:space="preserve">Disposal to Landfill/Incineration: 100% - 70% = 30%</w:t>
      </w:r>
    </w:p>
    <w:p>
      <w:pPr>
        <w:numPr>
          <w:ilvl w:val="0"/>
          <w:numId w:val="1012"/>
        </w:numPr>
        <w:pStyle w:val="Compact"/>
      </w:pPr>
      <w:r>
        <w:t xml:space="preserve">Circular/Take-back Programs: Yes, regional take-back program (`eoohpelhfk`) - This implies collected material is directed to recycling, reducing landfill.</w:t>
      </w:r>
    </w:p>
    <w:p>
      <w:pPr>
        <w:numPr>
          <w:ilvl w:val="0"/>
          <w:numId w:val="1012"/>
        </w:numPr>
        <w:pStyle w:val="Compact"/>
      </w:pPr>
      <w:r>
        <w:t xml:space="preserve">Illustrative EoL Emission Factors:</w:t>
      </w:r>
    </w:p>
    <w:p>
      <w:pPr>
        <w:numPr>
          <w:ilvl w:val="1"/>
          <w:numId w:val="1013"/>
        </w:numPr>
        <w:pStyle w:val="Compact"/>
      </w:pPr>
      <w:r>
        <w:t xml:space="preserve">Recycling (avoided emissions/credits or processing emissions): -0.05 kg CO2e/kg (credit for displacement of virgin material)</w:t>
      </w:r>
    </w:p>
    <w:p>
      <w:pPr>
        <w:numPr>
          <w:ilvl w:val="1"/>
          <w:numId w:val="1013"/>
        </w:numPr>
        <w:pStyle w:val="Compact"/>
      </w:pPr>
      <w:r>
        <w:t xml:space="preserve">Landfill: 1.2 kg CO2e/kg (for non-recyclable portion)</w:t>
      </w:r>
    </w:p>
    <w:p>
      <w:pPr>
        <w:numPr>
          <w:ilvl w:val="0"/>
          <w:numId w:val="1012"/>
        </w:numPr>
        <w:pStyle w:val="Compact"/>
      </w:pPr>
      <w:r>
        <w:t xml:space="preserve">Recycled Portion Emissions/Credits: 1.65 kg * 0.70 * -0.05 kg CO2e/kg = -0.05775 kg CO2e</w:t>
      </w:r>
    </w:p>
    <w:p>
      <w:pPr>
        <w:numPr>
          <w:ilvl w:val="0"/>
          <w:numId w:val="1012"/>
        </w:numPr>
        <w:pStyle w:val="Compact"/>
      </w:pPr>
      <w:r>
        <w:t xml:space="preserve">Disposal Portion Emissions (Landfill): 1.65 kg * 0.30 * 1.2 kg CO2e/kg = 0.594 kg CO2e</w:t>
      </w:r>
    </w:p>
    <w:p>
      <w:pPr>
        <w:numPr>
          <w:ilvl w:val="0"/>
          <w:numId w:val="1012"/>
        </w:numPr>
        <w:pStyle w:val="Compact"/>
      </w:pPr>
      <w:r>
        <w:rPr>
          <w:bCs/>
          <w:b/>
        </w:rPr>
        <w:t xml:space="preserve">Net End-of-Life Emissions:</w:t>
      </w:r>
      <w:r>
        <w:t xml:space="preserve"> </w:t>
      </w:r>
      <w:r>
        <w:t xml:space="preserve">0.594 kg CO2e - 0.05775 kg CO2e =</w:t>
      </w:r>
      <w:r>
        <w:t xml:space="preserve"> </w:t>
      </w:r>
      <w:r>
        <w:rPr>
          <w:bCs/>
          <w:b/>
        </w:rPr>
        <w:t xml:space="preserve">0.53625 kg CO2e/unit</w:t>
      </w:r>
    </w:p>
    <w:p>
      <w:pPr>
        <w:pStyle w:val="FirstParagraph"/>
      </w:pPr>
      <w:r>
        <w:rPr>
          <w:bCs/>
          <w:b/>
        </w:rPr>
        <w:t xml:space="preserve">Total End-of-Life Emissions: 0.53625 kg CO2e/unit</w:t>
      </w:r>
    </w:p>
    <w:p>
      <w:r>
        <w:pict>
          <v:rect style="width:0;height:1.5pt" o:hralign="center" o:hrstd="t" o:hr="t"/>
        </w:pict>
      </w:r>
    </w:p>
    <w:bookmarkEnd w:id="34"/>
    <w:bookmarkEnd w:id="35"/>
    <w:bookmarkStart w:id="37" w:name="summary-of-product-carbon-footprint-pcf"/>
    <w:p>
      <w:pPr>
        <w:pStyle w:val="Heading2"/>
      </w:pPr>
      <w:r>
        <w:t xml:space="preserve">4. Summary of Product Carbon Footprint (PCF)</w:t>
      </w:r>
    </w:p>
    <w:p>
      <w:pPr>
        <w:pStyle w:val="FirstParagraph"/>
      </w:pPr>
      <w:r>
        <w:t xml:space="preserve">The total Product Carbon Footprint for one functional unit of hrrzviphev is calculated by summing emissions across all lifecycle stages and relevant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Production (from BOM)</w:t>
            </w:r>
          </w:p>
        </w:tc>
        <w:tc>
          <w:tcPr/>
          <w:p>
            <w:pPr>
              <w:pStyle w:val="Compact"/>
              <w:jc w:val="left"/>
            </w:pPr>
            <w:r>
              <w:t xml:space="preserve">Scope 3 (Category 1)</w:t>
            </w:r>
          </w:p>
        </w:tc>
        <w:tc>
          <w:tcPr/>
          <w:p>
            <w:pPr>
              <w:pStyle w:val="Compact"/>
              <w:jc w:val="left"/>
            </w:pPr>
            <w:r>
              <w:t xml:space="preserve">8.600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3.723</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0.297</w:t>
            </w:r>
          </w:p>
        </w:tc>
      </w:tr>
      <w:tr>
        <w:tc>
          <w:tcPr/>
          <w:p>
            <w:pPr>
              <w:pStyle w:val="Compact"/>
              <w:jc w:val="left"/>
            </w:pPr>
            <w:r>
              <w:t xml:space="preserve">Downstream Transportation &amp; Last-Mile</w:t>
            </w:r>
          </w:p>
        </w:tc>
        <w:tc>
          <w:tcPr/>
          <w:p>
            <w:pPr>
              <w:pStyle w:val="Compact"/>
              <w:jc w:val="left"/>
            </w:pPr>
            <w:r>
              <w:t xml:space="preserve">Scope 3 (Category 9)</w:t>
            </w:r>
          </w:p>
        </w:tc>
        <w:tc>
          <w:tcPr/>
          <w:p>
            <w:pPr>
              <w:pStyle w:val="Compact"/>
              <w:jc w:val="left"/>
            </w:pPr>
            <w:r>
              <w:t xml:space="preserve">0.3785</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20.000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0.53625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33.53475</w:t>
            </w:r>
          </w:p>
        </w:tc>
      </w:tr>
    </w:tbl>
    <w:p>
      <w:pPr>
        <w:pStyle w:val="BodyText"/>
      </w:pPr>
      <w:r>
        <w:t xml:space="preserve">**Total Product Carbon Footprint for 1.0 unit of hrrzviphev: 33.53 kg CO2e**</w:t>
      </w:r>
    </w:p>
    <w:bookmarkStart w:id="36" w:name="ghg-protocol-scope-breakdown"/>
    <w:p>
      <w:pPr>
        <w:pStyle w:val="Heading3"/>
      </w:pPr>
      <w:r>
        <w:t xml:space="preserve">4.1. GHG Protocol Scope Breakdown</w:t>
      </w:r>
    </w:p>
    <w:p>
      <w:pPr>
        <w:numPr>
          <w:ilvl w:val="0"/>
          <w:numId w:val="1014"/>
        </w:numPr>
        <w:pStyle w:val="Compact"/>
      </w:pPr>
      <w:r>
        <w:rPr>
          <w:bCs/>
          <w:b/>
        </w:rPr>
        <w:t xml:space="preserve">Scope 1 Emissions:</w:t>
      </w:r>
      <w:r>
        <w:t xml:space="preserve"> </w:t>
      </w:r>
      <w:r>
        <w:t xml:space="preserve">Assumed negligible or implicitly covered within Scope 2/3 for this \'factory_gate\' boundary with a focus on product rather than corporate operations. If risyqxvxyo operates direct combustion on-site, those would be quantified here.</w:t>
      </w:r>
    </w:p>
    <w:p>
      <w:pPr>
        <w:numPr>
          <w:ilvl w:val="0"/>
          <w:numId w:val="1014"/>
        </w:numPr>
        <w:pStyle w:val="Compact"/>
      </w:pPr>
      <w:r>
        <w:rPr>
          <w:bCs/>
          <w:b/>
        </w:rPr>
        <w:t xml:space="preserve">Scope 2 Emissions:</w:t>
      </w:r>
      <w:r>
        <w:t xml:space="preserve"> </w:t>
      </w:r>
      <w:r>
        <w:t xml:space="preserve">3.723 kg CO2e (from purchased electricity for manufacturing)</w:t>
      </w:r>
    </w:p>
    <w:p>
      <w:pPr>
        <w:numPr>
          <w:ilvl w:val="0"/>
          <w:numId w:val="1014"/>
        </w:numPr>
        <w:pStyle w:val="Compact"/>
      </w:pPr>
      <w:r>
        <w:rPr>
          <w:bCs/>
          <w:b/>
        </w:rPr>
        <w:t xml:space="preserve">Scope 3 Emissions:</w:t>
      </w:r>
      <w:r>
        <w:t xml:space="preserve"> </w:t>
      </w:r>
      <w:r>
        <w:t xml:space="preserve">8.600 (Materials) + 0.297 (Upstream Transport) + 0.3785 (Downstream Transport) + 20.000 (Use Phase) + 0.53625 (End-of-Life) =</w:t>
      </w:r>
      <w:r>
        <w:t xml:space="preserve"> </w:t>
      </w:r>
      <w:r>
        <w:rPr>
          <w:bCs/>
          <w:b/>
        </w:rPr>
        <w:t xml:space="preserve">29.81175 kg CO2e</w:t>
      </w:r>
    </w:p>
    <w:p>
      <w:pPr>
        <w:pStyle w:val="FirstParagraph"/>
      </w:pPr>
      <w:r>
        <w:t xml:space="preserve">Total Scope 3 emissions represent approximately 88.9% of the overall PCF. This percentage is a strong indication that the 2026 requirement for at least 95% coverage for Scope 3 emissions needs rigorous data collection for all 15 categories, ensuring that no material categories are excluded. The current analysis demonstrates the methodology and includes the most impactful Scope 3 categories based on the provided parameters. Further investigation into other Scope 3 categories (e.g., business travel, employee commuting, capital goods, upstream leased assets) would be required to achieve full 95% coverage.</w:t>
      </w:r>
    </w:p>
    <w:p>
      <w:r>
        <w:pict>
          <v:rect style="width:0;height:1.5pt" o:hralign="center" o:hrstd="t" o:hr="t"/>
        </w:pict>
      </w:r>
    </w:p>
    <w:bookmarkEnd w:id="36"/>
    <w:bookmarkEnd w:id="37"/>
    <w:bookmarkStart w:id="43"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The analysis reveals the following major emission hotspots for hrrzviphev:</w:t>
      </w:r>
    </w:p>
    <w:p>
      <w:pPr>
        <w:numPr>
          <w:ilvl w:val="0"/>
          <w:numId w:val="1015"/>
        </w:numPr>
        <w:pStyle w:val="Compact"/>
      </w:pPr>
      <w:r>
        <w:rPr>
          <w:bCs/>
          <w:b/>
        </w:rPr>
        <w:t xml:space="preserve">Use Phase (20.0 kg CO2e):</w:t>
      </w:r>
      <w:r>
        <w:t xml:space="preserve"> </w:t>
      </w:r>
      <w:r>
        <w:t xml:space="preserve">This is the most significant contributor, accounting for approximately 59.6% of the total PCF. The energy consumption during the product\'s 5-year lifespan drives this impact.</w:t>
      </w:r>
    </w:p>
    <w:p>
      <w:pPr>
        <w:numPr>
          <w:ilvl w:val="0"/>
          <w:numId w:val="1015"/>
        </w:numPr>
        <w:pStyle w:val="Compact"/>
      </w:pPr>
      <w:r>
        <w:rPr>
          <w:bCs/>
          <w:b/>
        </w:rPr>
        <w:t xml:space="preserve">Materials Acquisition &amp; Production (8.60 kg CO2e):</w:t>
      </w:r>
      <w:r>
        <w:t xml:space="preserve"> </w:t>
      </w:r>
      <w:r>
        <w:t xml:space="preserve">Raw material extraction and processing, particularly for high-impact materials like aluminium and complex electronic components, represent the second largest hotspot (approx. 25.6% of total PCF).</w:t>
      </w:r>
    </w:p>
    <w:p>
      <w:pPr>
        <w:numPr>
          <w:ilvl w:val="0"/>
          <w:numId w:val="1015"/>
        </w:numPr>
        <w:pStyle w:val="Compact"/>
      </w:pPr>
      <w:r>
        <w:rPr>
          <w:bCs/>
          <w:b/>
        </w:rPr>
        <w:t xml:space="preserve">Manufacturing (Scope 2) (3.723 kg CO2e):</w:t>
      </w:r>
      <w:r>
        <w:t xml:space="preserve"> </w:t>
      </w:r>
      <w:r>
        <w:t xml:space="preserve">Purchased electricity for production, even with 60% renewable energy usage, still contributes significantly due to China\'s grid mix for the non-renewable portion. This accounts for about 11.1% of the total PCF.</w:t>
      </w:r>
    </w:p>
    <w:bookmarkEnd w:id="38"/>
    <w:bookmarkStart w:id="42" w:name="data-reliability-and-recommendations"/>
    <w:p>
      <w:pPr>
        <w:pStyle w:val="Heading3"/>
      </w:pPr>
      <w:r>
        <w:t xml:space="preserve">5.2. Data Reliability and Recommendations</w:t>
      </w:r>
    </w:p>
    <w:p>
      <w:pPr>
        <w:pStyle w:val="FirstParagraph"/>
      </w:pPr>
      <w:r>
        <w:t xml:space="preserve">The reliability of this PCF analysis is contingent upon the accuracy and completeness of the input data.</w:t>
      </w:r>
    </w:p>
    <w:p>
      <w:pPr>
        <w:numPr>
          <w:ilvl w:val="0"/>
          <w:numId w:val="1016"/>
        </w:numPr>
        <w:pStyle w:val="Compact"/>
      </w:pPr>
      <w:r>
        <w:rPr>
          <w:bCs/>
          <w:b/>
        </w:rPr>
        <w:t xml:space="preserve">Primary Data:</w:t>
      </w:r>
      <w:r>
        <w:t xml:space="preserve"> </w:t>
      </w:r>
      <w:r>
        <w:t xml:space="preserve">The use of a detailed Bill of Materials (`lidryokl`) for material inputs and specific energy consumption data (`dnxdvohjvl`, `iyoqkelggw`) enhances the accuracy of the manufacturing and materials phase. Specific transport distances (`tjywedgelm`) and modes (`Select Mode`, `Delivery Type`) also contribute to higher data quality.</w:t>
      </w:r>
    </w:p>
    <w:p>
      <w:pPr>
        <w:numPr>
          <w:ilvl w:val="0"/>
          <w:numId w:val="1016"/>
        </w:numPr>
        <w:pStyle w:val="Compact"/>
      </w:pPr>
      <w:r>
        <w:rPr>
          <w:bCs/>
          <w:b/>
        </w:rPr>
        <w:t xml:space="preserve">Secondary Data:</w:t>
      </w:r>
      <w:r>
        <w:t xml:space="preserve"> </w:t>
      </w:r>
      <w:r>
        <w:t xml:space="preserve">Industry-standard emission factors (e.g., Ecoinvent, DEFRA) are used where primary data is unavailable or impractical to collect.</w:t>
      </w:r>
    </w:p>
    <w:p>
      <w:pPr>
        <w:numPr>
          <w:ilvl w:val="0"/>
          <w:numId w:val="1016"/>
        </w:numPr>
        <w:pStyle w:val="Compact"/>
      </w:pPr>
      <w:r>
        <w:rPr>
          <w:bCs/>
          <w:b/>
        </w:rPr>
        <w:t xml:space="preserve">LSR Standard Application:</w:t>
      </w:r>
      <w:r>
        <w:t xml:space="preserve"> </w:t>
      </w:r>
      <w:r>
        <w:t xml:space="preserve">While specific land-use change data was not provided, the conceptual integration of the 2026 GHG Protocol Land Sector and Removals (LSR) Standard ensures future readiness for accounting for land-based emissions and removals as more granular data becomes available.</w:t>
      </w:r>
    </w:p>
    <w:p>
      <w:pPr>
        <w:numPr>
          <w:ilvl w:val="0"/>
          <w:numId w:val="1016"/>
        </w:numPr>
        <w:pStyle w:val="Compact"/>
      </w:pPr>
      <w:r>
        <w:rPr>
          <w:bCs/>
          <w:b/>
        </w:rPr>
        <w:t xml:space="preserve">Scope 3 Coverage:</w:t>
      </w:r>
      <w:r>
        <w:t xml:space="preserve"> </w:t>
      </w:r>
      <w:r>
        <w:t xml:space="preserve">The calculated Scope 3 coverage of approximately 88.9% indicates a strong effort to include key value chain emissions. To achieve the 2026 requirement of at least 95% coverage, risyqxvxyo should systematically identify and quantify all remaining Scope 3 categories, even those perceived as less material, and clearly justify any exclusions. Furthermore, disaggregating Scope 3 emissions by data type (e.g., supplier-specific, average-data, spend-based) and disclosing verification status will be crucial for 2026 compliance.</w:t>
      </w:r>
    </w:p>
    <w:bookmarkStart w:id="41" w:name="recommendations-for-emission-reduction"/>
    <w:p>
      <w:pPr>
        <w:pStyle w:val="Heading4"/>
      </w:pPr>
      <w:r>
        <w:t xml:space="preserve">Recommendations for Emission Reduction:</w:t>
      </w:r>
    </w:p>
    <w:p>
      <w:pPr>
        <w:numPr>
          <w:ilvl w:val="0"/>
          <w:numId w:val="1017"/>
        </w:numPr>
        <w:pStyle w:val="Compact"/>
      </w:pPr>
      <w:r>
        <w:rPr>
          <w:bCs/>
          <w:b/>
        </w:rPr>
        <w:t xml:space="preserve">Optimize Use Phase:</w:t>
      </w:r>
      <w:r>
        <w:t xml:space="preserve"> </w:t>
      </w:r>
      <w:r>
        <w:t xml:space="preserve">Invest in R&amp;D to improve the energy efficiency of hrrzviphev during its operational lifespan. Explore alternative power sources or lower-energy components.</w:t>
      </w:r>
    </w:p>
    <w:p>
      <w:pPr>
        <w:numPr>
          <w:ilvl w:val="0"/>
          <w:numId w:val="1017"/>
        </w:numPr>
        <w:pStyle w:val="Compact"/>
      </w:pPr>
      <w:r>
        <w:rPr>
          <w:bCs/>
          <w:b/>
        </w:rPr>
        <w:t xml:space="preserve">Sustainable Material Sourcing:</w:t>
      </w:r>
      <w:r>
        <w:t xml:space="preserve"> </w:t>
      </w:r>
      <w:r>
        <w:t xml:space="preserve">Prioritize materials with lower embedded carbon, explore recycled content, and engage with suppliers to reduce upstream manufacturing emissions.</w:t>
      </w:r>
    </w:p>
    <w:p>
      <w:pPr>
        <w:numPr>
          <w:ilvl w:val="0"/>
          <w:numId w:val="1017"/>
        </w:numPr>
        <w:pStyle w:val="Compact"/>
      </w:pPr>
      <w:r>
        <w:rPr>
          <w:bCs/>
          <w:b/>
        </w:rPr>
        <w:t xml:space="preserve">Increase Renewable Energy in Production:</w:t>
      </w:r>
      <w:r>
        <w:t xml:space="preserve"> </w:t>
      </w:r>
      <w:r>
        <w:t xml:space="preserve">While 60% renewable energy is commendable, increasing this percentage further at the China production facility would directly reduce Scope 2 emissions.</w:t>
      </w:r>
    </w:p>
    <w:p>
      <w:pPr>
        <w:numPr>
          <w:ilvl w:val="0"/>
          <w:numId w:val="1017"/>
        </w:numPr>
        <w:pStyle w:val="Compact"/>
      </w:pPr>
      <w:r>
        <w:rPr>
          <w:bCs/>
          <w:b/>
        </w:rPr>
        <w:t xml:space="preserve">Logistics Optimization:</w:t>
      </w:r>
      <w:r>
        <w:t xml:space="preserve"> </w:t>
      </w:r>
      <w:r>
        <w:t xml:space="preserve">Continuously optimize transport routes, consolidate shipments, and explore lower-emission transport modes where feasible (e.g., rail or sea over road/air for longer distances).</w:t>
      </w:r>
    </w:p>
    <w:p>
      <w:pPr>
        <w:numPr>
          <w:ilvl w:val="0"/>
          <w:numId w:val="1017"/>
        </w:numPr>
        <w:pStyle w:val="Compact"/>
      </w:pPr>
      <w:r>
        <w:rPr>
          <w:bCs/>
          <w:b/>
        </w:rPr>
        <w:t xml:space="preserve">Enhance Circularity:</w:t>
      </w:r>
      <w:r>
        <w:t xml:space="preserve"> </w:t>
      </w:r>
      <w:r>
        <w:t xml:space="preserve">Leverage the existing "regional take-back program" (`eoohpelhfk`) to maximize material recovery and explore product redesign for easier disassembly and recycling.</w:t>
      </w:r>
    </w:p>
    <w:p>
      <w:r>
        <w:pict>
          <v:rect style="width:0;height:1.5pt" o:hralign="center" o:hrstd="t" o:hr="t"/>
        </w:pict>
      </w:r>
    </w:p>
    <w:p>
      <w:pPr>
        <w:pStyle w:val="FirstParagraph"/>
      </w:pPr>
      <w:r>
        <w:t xml:space="preserve">Confidential - Internal Use Only | Page</w:t>
      </w:r>
      <w:r>
        <w:t xml:space="preserve"> </w:t>
      </w:r>
      <w:bookmarkStart w:id="39" w:name="pageNumber"/>
      <w:bookmarkEnd w:id="39"/>
      <w:r>
        <w:t xml:space="preserve"> </w:t>
      </w:r>
      <w:r>
        <w:t xml:space="preserve">of</w:t>
      </w:r>
      <w:r>
        <w:t xml:space="preserve"> </w:t>
      </w:r>
      <w:bookmarkStart w:id="40" w:name="totalPages"/>
      <w:bookmarkEnd w:id="40"/>
    </w:p>
    <w:bookmarkEnd w:id="41"/>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hrrzviphev - risyqxvxyo</dc:title>
  <dc:creator/>
  <dc:description>Detailed Product Carbon Footprint (PCF) analysis report for hrrzviphev by risyqxvxyo, conducted by Senior Sustainability Consultant eomdvtwsju, adhering to GHG Protocol standards and 2026 revisions.</dc:description>
  <dc:language>en</dc:language>
  <cp:keywords/>
  <dcterms:created xsi:type="dcterms:W3CDTF">2026-05-30T16:02:33Z</dcterms:created>
  <dcterms:modified xsi:type="dcterms:W3CDTF">2026-05-30T16:02:33Z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