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guhijmlmvw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For Product:</w:t>
      </w:r>
      <w:r>
        <w:t xml:space="preserve"> </w:t>
      </w:r>
      <w:r>
        <w:t xml:space="preserve">guhijmlmvw</w:t>
      </w:r>
    </w:p>
    <w:p>
      <w:pPr>
        <w:pStyle w:val="BodyText"/>
      </w:pPr>
      <w:r>
        <w:rPr>
          <w:bCs/>
          <w:b/>
        </w:rPr>
        <w:t xml:space="preserve">Company Name:</w:t>
      </w:r>
      <w:r>
        <w:t xml:space="preserve"> </w:t>
      </w:r>
      <w:r>
        <w:t xml:space="preserve">vnqhtrfenm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vmmrzlsdtq</w:t>
      </w:r>
    </w:p>
    <w:p>
      <w:pPr>
        <w:pStyle w:val="BodyText"/>
      </w:pPr>
      <w:r>
        <w:t xml:space="preserve">This report is generated based on available data and industry standards, incorporating specific parameters provided. Assumptions have been made for placeholder values to enable detailed analysis.</w:t>
      </w:r>
    </w:p>
    <w:bookmarkEnd w:id="20"/>
    <w:bookmarkStart w:id="49" w:name="Xd419dda2c6ab3a355f2471767720c37d774d984"/>
    <w:p>
      <w:pPr>
        <w:pStyle w:val="Heading1"/>
      </w:pPr>
      <w:r>
        <w:t xml:space="preserve">Product Carbon Footprint Analysis for guhijmlmvw</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guhijmlmvw</w:t>
      </w:r>
      <w:r>
        <w:t xml:space="preserve">, manufactured by</w:t>
      </w:r>
      <w:r>
        <w:t xml:space="preserve"> </w:t>
      </w:r>
      <w:r>
        <w:rPr>
          <w:bCs/>
          <w:b/>
        </w:rPr>
        <w:t xml:space="preserve">vnqhtrfenm</w:t>
      </w:r>
      <w:r>
        <w:t xml:space="preserve">. The analysis, conducted by Senior Sustainability Consultant</w:t>
      </w:r>
      <w:r>
        <w:t xml:space="preserve"> </w:t>
      </w:r>
      <w:r>
        <w:rPr>
          <w:bCs/>
          <w:b/>
        </w:rPr>
        <w:t xml:space="preserve">vmmrzlsdtq</w:t>
      </w:r>
      <w:r>
        <w:t xml:space="preserve">, adheres strictly to the GHG Protocol\'s Product Life Cycle Accounting and Reporting Standard. It incorporates key updates relevant to 2026, including the Land Sector and Removals (LSR) Standard and enhanced Scope 3 reporting requirements for 95% coverage. The total Product Carbon Footprint for one functional unit of guhijmlmvw is calculated to be approximately</w:t>
      </w:r>
      <w:r>
        <w:t xml:space="preserve"> </w:t>
      </w:r>
      <w:r>
        <w:rPr>
          <w:bCs/>
          <w:b/>
        </w:rPr>
        <w:t xml:space="preserve">21.71 kg CO2e</w:t>
      </w:r>
      <w:r>
        <w:t xml:space="preserve">. The primary hotspots identified are the use phase and material acquisition, followed by production energy and transportation.</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objective of this Product Carbon Footprint (PCF) analysis is to quantify the greenhouse gas (GHG) emissions associated with the entire lifecycle of one functional unit of the product</w:t>
      </w:r>
      <w:r>
        <w:t xml:space="preserve"> </w:t>
      </w:r>
      <w:r>
        <w:rPr>
          <w:bCs/>
          <w:b/>
        </w:rPr>
        <w:t xml:space="preserve">guhijmlmvw</w:t>
      </w:r>
      <w:r>
        <w:t xml:space="preserve">, as per the requirements of</w:t>
      </w:r>
      <w:r>
        <w:t xml:space="preserve"> </w:t>
      </w:r>
      <w:r>
        <w:rPr>
          <w:bCs/>
          <w:b/>
        </w:rPr>
        <w:t xml:space="preserve">vnqhtrfenm</w:t>
      </w:r>
      <w:r>
        <w:t xml:space="preserve">. This assessment follows the Greenhouse Gas Protocol\'s Product Life Cycle Accounting and Reporting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guhijmlmvw</w:t>
      </w:r>
    </w:p>
    <w:p>
      <w:pPr>
        <w:numPr>
          <w:ilvl w:val="0"/>
          <w:numId w:val="1001"/>
        </w:numPr>
        <w:pStyle w:val="Compact"/>
      </w:pPr>
      <w:r>
        <w:t xml:space="preserve">This unit serves as the reference basis for all quantified environmental impacts, allowing for consistent comparison and analysis.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(factory_gate) with inclusion of Use Phase and End-of-Life (EoL). This boundary encompasses all activities from raw material extraction, through manufacturing, to the point where the finished product leaves the factory gate, and further extends to cover the emissions generated during the product\'s usage phase and its eventual end-of-life treatment.</w:t>
      </w:r>
    </w:p>
    <w:p>
      <w:pPr>
        <w:numPr>
          <w:ilvl w:val="0"/>
          <w:numId w:val="1002"/>
        </w:numPr>
        <w:pStyle w:val="Compact"/>
      </w:pPr>
      <w:r>
        <w:t xml:space="preserve">Emissions are categorized into Scope 1 (direct emissions), Scope 2 (indirect emissions from purchased energy), and Scope 3 (all other indirect emissions across the value chain) as defined by the GHG Protocol.</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Europe and/or significant transport routes to and from Europe).</w:t>
      </w:r>
    </w:p>
    <w:bookmarkEnd w:id="24"/>
    <w:bookmarkStart w:id="25" w:name="allocation"/>
    <w:p>
      <w:pPr>
        <w:pStyle w:val="Heading3"/>
      </w:pPr>
      <w:r>
        <w:t xml:space="preserve">1.4 Allocation</w:t>
      </w:r>
    </w:p>
    <w:p>
      <w:pPr>
        <w:numPr>
          <w:ilvl w:val="0"/>
          <w:numId w:val="1004"/>
        </w:numPr>
        <w:pStyle w:val="Compact"/>
      </w:pPr>
      <w:r>
        <w:t xml:space="preserve">Since no co-products or by-products are explicitly defined, a direct allocation approach is assumed for all inputs and outputs directly attributable to the production of one unit of guhijmlmvw.</w:t>
      </w:r>
    </w:p>
    <w:p>
      <w:r>
        <w:pict>
          <v:rect style="width:0;height:1.5pt" o:hralign="center" o:hrstd="t" o:hr="t"/>
        </w:pict>
      </w:r>
    </w:p>
    <w:bookmarkEnd w:id="25"/>
    <w:bookmarkEnd w:id="26"/>
    <w:bookmarkStart w:id="37" w:name="assumptions-and-data-collection"/>
    <w:p>
      <w:pPr>
        <w:pStyle w:val="Heading2"/>
      </w:pPr>
      <w:r>
        <w:t xml:space="preserve">2. Assumptions and Data Collection</w:t>
      </w:r>
    </w:p>
    <w:p>
      <w:pPr>
        <w:pStyle w:val="FirstParagraph"/>
      </w:pPr>
      <w:r>
        <w:t xml:space="preserve">To perform a high-detail analysis, specific data points for materials, energy, and logistics were provided. Where specific values were presented as placeholders (e.g., "nkgurfih," "Select Mode"), reasonable, industry-standard assumptions have been made to enable quantification. These assumptions are detailed below and are crucial for interpreting the results.</w:t>
      </w:r>
    </w:p>
    <w:bookmarkStart w:id="27" w:name="assumptions-for-placeholder-parameters"/>
    <w:p>
      <w:pPr>
        <w:pStyle w:val="Heading3"/>
      </w:pPr>
      <w:r>
        <w:t xml:space="preserve">2.1 Assumptions for Placeholder Parameters</w:t>
      </w:r>
    </w:p>
    <w:p>
      <w:pPr>
        <w:numPr>
          <w:ilvl w:val="0"/>
          <w:numId w:val="1005"/>
        </w:numPr>
        <w:pStyle w:val="Compact"/>
      </w:pPr>
      <w:r>
        <w:rPr>
          <w:bCs/>
          <w:b/>
        </w:rPr>
        <w:t xml:space="preserve">Detailed Bill of Materials (BOM) - `nkgurfih`:</w:t>
      </w:r>
      <w:r>
        <w:t xml:space="preserve"> </w:t>
      </w:r>
      <w:r>
        <w:t xml:space="preserve">The placeholder `nkgurfih` has been interpreted as a reference to a detailed BOM structured with ID, Description, Category, Process, Qty, Unit, Emission Factor, and Total Carbon for each item. Since no explicit data string was provided for `nkgurfih` in the specified format, the following illustrative BOM data (in kg CO2e/unit) has been generated to demonstrate the calculation process:</w:t>
      </w:r>
    </w:p>
    <w:p>
      <w:pPr>
        <w:numPr>
          <w:ilvl w:val="1"/>
          <w:numId w:val="1006"/>
        </w:numPr>
        <w:pStyle w:val="Compact"/>
      </w:pPr>
      <w:r>
        <w:t xml:space="preserve">Steel Casing: 0.8 kg, Total Carbon: 2.0 kg CO2e</w:t>
      </w:r>
    </w:p>
    <w:p>
      <w:pPr>
        <w:numPr>
          <w:ilvl w:val="1"/>
          <w:numId w:val="1006"/>
        </w:numPr>
        <w:pStyle w:val="Compact"/>
      </w:pPr>
      <w:r>
        <w:t xml:space="preserve">Plastic Enclosure: 0.5 kg, Total Carbon: 1.6 kg CO2e</w:t>
      </w:r>
    </w:p>
    <w:p>
      <w:pPr>
        <w:numPr>
          <w:ilvl w:val="1"/>
          <w:numId w:val="1006"/>
        </w:numPr>
        <w:pStyle w:val="Compact"/>
      </w:pPr>
      <w:r>
        <w:t xml:space="preserve">Circuit Board (PCBA): 0.1 unit, Total Carbon: 1.5 kg CO2e</w:t>
      </w:r>
    </w:p>
    <w:p>
      <w:pPr>
        <w:numPr>
          <w:ilvl w:val="1"/>
          <w:numId w:val="1006"/>
        </w:numPr>
        <w:pStyle w:val="Compact"/>
      </w:pPr>
      <w:r>
        <w:t xml:space="preserve">Lithium-ion Battery: 0.05 kg, Total Carbon: 1.0 kg CO2e</w:t>
      </w:r>
    </w:p>
    <w:p>
      <w:pPr>
        <w:numPr>
          <w:ilvl w:val="1"/>
          <w:numId w:val="1006"/>
        </w:numPr>
        <w:pStyle w:val="Compact"/>
      </w:pPr>
      <w:r>
        <w:t xml:space="preserve">User Manual: 0.02 kg, Total Carbon: 0.024 kg CO2e</w:t>
      </w:r>
    </w:p>
    <w:p>
      <w:pPr>
        <w:numPr>
          <w:ilvl w:val="1"/>
          <w:numId w:val="1006"/>
        </w:numPr>
        <w:pStyle w:val="Compact"/>
      </w:pPr>
      <w:r>
        <w:t xml:space="preserve">Corrugated Box Packaging: 0.15 kg, Total Carbon: 0.27 kg CO2e</w:t>
      </w:r>
    </w:p>
    <w:p>
      <w:pPr>
        <w:numPr>
          <w:ilvl w:val="0"/>
          <w:numId w:val="1005"/>
        </w:numPr>
        <w:pStyle w:val="Compact"/>
      </w:pPr>
      <w:r>
        <w:rPr>
          <w:bCs/>
          <w:b/>
        </w:rPr>
        <w:t xml:space="preserve">Transport Mode - `Select Mode`:</w:t>
      </w:r>
      <w:r>
        <w:t xml:space="preserve"> </w:t>
      </w:r>
      <w:r>
        <w:t xml:space="preserve">Assumed to be "Road freight (Heavy Goods Vehicle, Euro VI, diesel)" for upstream transport to the factory in China.</w:t>
      </w:r>
    </w:p>
    <w:p>
      <w:pPr>
        <w:numPr>
          <w:ilvl w:val="0"/>
          <w:numId w:val="1005"/>
        </w:numPr>
        <w:pStyle w:val="Compact"/>
      </w:pPr>
      <w:r>
        <w:rPr>
          <w:bCs/>
          <w:b/>
        </w:rPr>
        <w:t xml:space="preserve">Transport Distance - `gxkquwunnu`:</w:t>
      </w:r>
      <w:r>
        <w:t xml:space="preserve"> </w:t>
      </w:r>
      <w:r>
        <w:t xml:space="preserve">Assumed to be 8,000 km for the primary upstream transport of materials. This is a representative distance for long-haul logistics originating from Europe and arriving in China.</w:t>
      </w:r>
    </w:p>
    <w:p>
      <w:pPr>
        <w:numPr>
          <w:ilvl w:val="0"/>
          <w:numId w:val="1005"/>
        </w:numPr>
        <w:pStyle w:val="Compact"/>
      </w:pPr>
      <w:r>
        <w:rPr>
          <w:bCs/>
          <w:b/>
        </w:rPr>
        <w:t xml:space="preserve">Last-Mile Delivery Channel - `Delivery Type`:</w:t>
      </w:r>
      <w:r>
        <w:t xml:space="preserve"> </w:t>
      </w:r>
      <w:r>
        <w:t xml:space="preserve">Assumed to be "Parcel delivery by light commercial vehicle (diesel)" for downstream transport to the end-consumer.</w:t>
      </w:r>
    </w:p>
    <w:p>
      <w:pPr>
        <w:numPr>
          <w:ilvl w:val="0"/>
          <w:numId w:val="1005"/>
        </w:numPr>
        <w:pStyle w:val="Compact"/>
      </w:pPr>
      <w:r>
        <w:rPr>
          <w:bCs/>
          <w:b/>
        </w:rPr>
        <w:t xml:space="preserve">Last-Mile Delivery Distance:</w:t>
      </w:r>
      <w:r>
        <w:t xml:space="preserve"> </w:t>
      </w:r>
      <w:r>
        <w:t xml:space="preserve">Assumed to be 500 km.</w:t>
      </w:r>
    </w:p>
    <w:p>
      <w:pPr>
        <w:numPr>
          <w:ilvl w:val="0"/>
          <w:numId w:val="1005"/>
        </w:numPr>
        <w:pStyle w:val="Compact"/>
      </w:pPr>
      <w:r>
        <w:rPr>
          <w:bCs/>
          <w:b/>
        </w:rPr>
        <w:t xml:space="preserve">Renewable Energy Usage - `inyldtxudq`:</w:t>
      </w:r>
      <w:r>
        <w:t xml:space="preserve"> </w:t>
      </w:r>
      <w:r>
        <w:t xml:space="preserve">Assumed to be 60% renewable electricity used in the production facility.</w:t>
      </w:r>
    </w:p>
    <w:p>
      <w:pPr>
        <w:numPr>
          <w:ilvl w:val="0"/>
          <w:numId w:val="1005"/>
        </w:numPr>
        <w:pStyle w:val="Compact"/>
      </w:pPr>
      <w:r>
        <w:rPr>
          <w:bCs/>
          <w:b/>
        </w:rPr>
        <w:t xml:space="preserve">Energy Intensity (kWh/unit) - `hglnuqlxex`:</w:t>
      </w:r>
      <w:r>
        <w:t xml:space="preserve"> </w:t>
      </w:r>
      <w:r>
        <w:t xml:space="preserve">Assumed to be 15 kWh per unit of product during the manufacturing phase.</w:t>
      </w:r>
    </w:p>
    <w:p>
      <w:pPr>
        <w:numPr>
          <w:ilvl w:val="0"/>
          <w:numId w:val="1005"/>
        </w:numPr>
        <w:pStyle w:val="Compact"/>
      </w:pPr>
      <w:r>
        <w:rPr>
          <w:bCs/>
          <w:b/>
        </w:rPr>
        <w:t xml:space="preserve">Product Lifespan - `yrqmevwkxm`:</w:t>
      </w:r>
      <w:r>
        <w:t xml:space="preserve"> </w:t>
      </w:r>
      <w:r>
        <w:t xml:space="preserve">Assumed to be 7 years for the product\'s active use phase.</w:t>
      </w:r>
    </w:p>
    <w:p>
      <w:pPr>
        <w:numPr>
          <w:ilvl w:val="0"/>
          <w:numId w:val="1005"/>
        </w:numPr>
        <w:pStyle w:val="Compact"/>
      </w:pPr>
      <w:r>
        <w:rPr>
          <w:bCs/>
          <w:b/>
        </w:rPr>
        <w:t xml:space="preserve">Energy Consumption in Use - `dlvexjvomf`:</w:t>
      </w:r>
      <w:r>
        <w:t xml:space="preserve"> </w:t>
      </w:r>
      <w:r>
        <w:t xml:space="preserve">Assumed to be 5 kWh per year during the product\'s use phase.</w:t>
      </w:r>
    </w:p>
    <w:p>
      <w:pPr>
        <w:numPr>
          <w:ilvl w:val="0"/>
          <w:numId w:val="1005"/>
        </w:numPr>
        <w:pStyle w:val="Compact"/>
      </w:pPr>
      <w:r>
        <w:rPr>
          <w:bCs/>
          <w:b/>
        </w:rPr>
        <w:t xml:space="preserve">Recyclability Percentage - `fuivsfjrtk`:</w:t>
      </w:r>
      <w:r>
        <w:t xml:space="preserve"> </w:t>
      </w:r>
      <w:r>
        <w:t xml:space="preserve">Assumed to be 80% for the product at its end-of-life.</w:t>
      </w:r>
    </w:p>
    <w:p>
      <w:pPr>
        <w:numPr>
          <w:ilvl w:val="0"/>
          <w:numId w:val="1005"/>
        </w:numPr>
        <w:pStyle w:val="Compact"/>
      </w:pPr>
      <w:r>
        <w:rPr>
          <w:bCs/>
          <w:b/>
        </w:rPr>
        <w:t xml:space="preserve">Circular/Take-back Programs - `rdxpedztdt`:</w:t>
      </w:r>
      <w:r>
        <w:t xml:space="preserve"> </w:t>
      </w:r>
      <w:r>
        <w:t xml:space="preserve">Assumed that an established take-back program exists for key components (e.g., batteries, electronics), contributing to the high recyclability percentage.</w:t>
      </w:r>
    </w:p>
    <w:bookmarkEnd w:id="27"/>
    <w:bookmarkStart w:id="33" w:name="X17a80f01b8758d132a5feac1d5fbf69c99f1cb9"/>
    <w:p>
      <w:pPr>
        <w:pStyle w:val="Heading3"/>
      </w:pPr>
      <w:r>
        <w:t xml:space="preserve">2.2 Lifecycle Inventory Stages and Data Collection</w:t>
      </w:r>
    </w:p>
    <w:p>
      <w:pPr>
        <w:pStyle w:val="FirstParagraph"/>
      </w:pPr>
      <w:r>
        <w:t xml:space="preserve">The lifecycle of</w:t>
      </w:r>
      <w:r>
        <w:t xml:space="preserve"> </w:t>
      </w:r>
      <w:r>
        <w:rPr>
          <w:bCs/>
          <w:b/>
        </w:rPr>
        <w:t xml:space="preserve">guhijmlmvw</w:t>
      </w:r>
      <w:r>
        <w:t xml:space="preserve"> </w:t>
      </w:r>
      <w:r>
        <w:t xml:space="preserve">is mapped across several stages, for which data has been collected or estimated using industry-standard emission factors:</w:t>
      </w:r>
    </w:p>
    <w:bookmarkStart w:id="28" w:name="X1e145f90d644c2802441031e2d3ab4d09e2134c"/>
    <w:p>
      <w:pPr>
        <w:pStyle w:val="Heading4"/>
      </w:pPr>
      <w:r>
        <w:t xml:space="preserve">2.2.1 Materials Acquisition and Pre-processing (Scope 3, Category 1: Purchased Goods and Services)</w:t>
      </w:r>
    </w:p>
    <w:p>
      <w:pPr>
        <w:pStyle w:val="FirstParagraph"/>
      </w:pPr>
      <w:r>
        <w:t xml:space="preserve">This stage includes the extraction, processing, and manufacturing of all raw materials and components listed in the Bill of Materials (BOM). The \'Total Carbon\' values from the illustrative BOM (representing Cradle-to-Gate emissions for each material component) are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MAT003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Chemicals/Batteries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MAT005</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p>
            <w:pPr>
              <w:pStyle w:val="Compact"/>
              <w:jc w:val="left"/>
            </w:pPr>
            <w:r>
              <w:t xml:space="preserve">MAT006</w:t>
            </w:r>
          </w:p>
        </w:tc>
        <w:tc>
          <w:tcPr/>
          <w:p>
            <w:pPr>
              <w:pStyle w:val="Compact"/>
              <w:jc w:val="left"/>
            </w:pPr>
            <w:r>
              <w:t xml:space="preserve">Corrugated Box 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w:t>
            </w:r>
          </w:p>
        </w:tc>
        <w:tc>
          <w:tcPr/>
          <w:p>
            <w:pPr>
              <w:pStyle w:val="Compact"/>
              <w:jc w:val="left"/>
            </w:pPr>
            <w:r>
              <w:t xml:space="preserve">0.27</w:t>
            </w:r>
          </w:p>
        </w:tc>
      </w:tr>
      <w:tr>
        <w:tc>
          <w:tcPr>
            <w:gridSpan w:val="7"/>
          </w:tcPr>
          <w:p>
            <w:pPr>
              <w:pStyle w:val="Compact"/>
              <w:jc w:val="right"/>
            </w:pPr>
            <w:r>
              <w:rPr>
                <w:bCs/>
                <w:b/>
              </w:rPr>
              <w:t xml:space="preserve">Total Material Emissions:</w:t>
            </w:r>
          </w:p>
        </w:tc>
        <w:tc>
          <w:tcPr/>
          <w:p>
            <w:pPr>
              <w:pStyle w:val="Compact"/>
              <w:jc w:val="left"/>
            </w:pPr>
            <w:r>
              <w:rPr>
                <w:bCs/>
                <w:b/>
              </w:rPr>
              <w:t xml:space="preserve">6.394 kg CO2e</w:t>
            </w:r>
          </w:p>
        </w:tc>
      </w:tr>
    </w:tbl>
    <w:bookmarkEnd w:id="28"/>
    <w:bookmarkStart w:id="29" w:name="production-scope-2-purchased-electricity"/>
    <w:p>
      <w:pPr>
        <w:pStyle w:val="Heading4"/>
      </w:pPr>
      <w:r>
        <w:t xml:space="preserve">2.2.2 Production (Scope 2: Purchased Electricity)</w:t>
      </w:r>
    </w:p>
    <w:p>
      <w:pPr>
        <w:pStyle w:val="FirstParagraph"/>
      </w:pPr>
      <w:r>
        <w:t xml:space="preserve">This phase covers the energy consumed during the manufacturing processes at the factory in China. Calculations are based on the provided Energy Intensity (`hglnuqlxex`) and Renewable Energy Usage (`inyldtxudq`).</w:t>
      </w:r>
    </w:p>
    <w:p>
      <w:pPr>
        <w:numPr>
          <w:ilvl w:val="0"/>
          <w:numId w:val="1007"/>
        </w:numPr>
        <w:pStyle w:val="Compact"/>
      </w:pPr>
      <w:r>
        <w:rPr>
          <w:bCs/>
          <w:b/>
        </w:rPr>
        <w:t xml:space="preserve">Energy Intensity:</w:t>
      </w:r>
      <w:r>
        <w:t xml:space="preserve"> </w:t>
      </w:r>
      <w:r>
        <w:t xml:space="preserve">15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electricity:</w:t>
      </w:r>
      <w:r>
        <w:t xml:space="preserve"> </w:t>
      </w:r>
      <w:r>
        <w:t xml:space="preserve">15 kWh/unit * (1 - 0.60) = 6 kWh/unit</w:t>
      </w:r>
    </w:p>
    <w:p>
      <w:pPr>
        <w:numPr>
          <w:ilvl w:val="0"/>
          <w:numId w:val="1007"/>
        </w:numPr>
        <w:pStyle w:val="Compact"/>
      </w:pPr>
      <w:r>
        <w:rPr>
          <w:bCs/>
          <w:b/>
        </w:rPr>
        <w:t xml:space="preserve">Emission Factor for China Grid Electricity:</w:t>
      </w:r>
      <w:r>
        <w:t xml:space="preserve"> </w:t>
      </w:r>
      <w:r>
        <w:t xml:space="preserve">Approximately 0.577 kg CO2e/kWh (based on national average in China for 2025, which states 577 kg CO2e/MWh, or 0.5568 kg CO2/kWh reported by MEE in 2021, or 0.6205 kgCO2e/kWh national average). We will use 0.577 kg CO2e/kWh as a representative value.</w:t>
      </w:r>
    </w:p>
    <w:bookmarkEnd w:id="29"/>
    <w:bookmarkStart w:id="30" w:name="X060ae5f4c9e87be6502b45207d3b416f34e9ba3"/>
    <w:p>
      <w:pPr>
        <w:pStyle w:val="Heading4"/>
      </w:pPr>
      <w:r>
        <w:t xml:space="preserve">2.2.3 Transport (Scope 3, Categories 4 &amp; 9: Upstream and Downstream Transportation and Distribution)</w:t>
      </w:r>
    </w:p>
    <w:p>
      <w:pPr>
        <w:pStyle w:val="FirstParagraph"/>
      </w:pPr>
      <w:r>
        <w:t xml:space="preserve">This stage includes emissions from transporting raw materials to the manufacturing facility (upstream) and distributing the finished product to the customer (downstream).</w:t>
      </w:r>
    </w:p>
    <w:p>
      <w:pPr>
        <w:numPr>
          <w:ilvl w:val="0"/>
          <w:numId w:val="1008"/>
        </w:numPr>
        <w:pStyle w:val="Compact"/>
      </w:pPr>
      <w:r>
        <w:rPr>
          <w:bCs/>
          <w:b/>
        </w:rPr>
        <w:t xml:space="preserve">Upstream Transport Mode:</w:t>
      </w:r>
      <w:r>
        <w:t xml:space="preserve"> </w:t>
      </w:r>
      <w:r>
        <w:t xml:space="preserve">Road freight (Heavy Goods Vehicle, Euro VI).</w:t>
      </w:r>
    </w:p>
    <w:p>
      <w:pPr>
        <w:numPr>
          <w:ilvl w:val="0"/>
          <w:numId w:val="1008"/>
        </w:numPr>
        <w:pStyle w:val="Compact"/>
      </w:pPr>
      <w:r>
        <w:rPr>
          <w:bCs/>
          <w:b/>
        </w:rPr>
        <w:t xml:space="preserve">Upstream Transport Distance:</w:t>
      </w:r>
      <w:r>
        <w:t xml:space="preserve"> </w:t>
      </w:r>
      <w:r>
        <w:t xml:space="preserve">8,000 km.</w:t>
      </w:r>
    </w:p>
    <w:p>
      <w:pPr>
        <w:numPr>
          <w:ilvl w:val="0"/>
          <w:numId w:val="1008"/>
        </w:numPr>
        <w:pStyle w:val="Compact"/>
      </w:pPr>
      <w:r>
        <w:rPr>
          <w:bCs/>
          <w:b/>
        </w:rPr>
        <w:t xml:space="preserve">Product Weight for Transport:</w:t>
      </w:r>
      <w:r>
        <w:t xml:space="preserve"> </w:t>
      </w:r>
      <w:r>
        <w:t xml:space="preserve">Sum of quantities from BOM = 1.62 kg.</w:t>
      </w:r>
    </w:p>
    <w:p>
      <w:pPr>
        <w:numPr>
          <w:ilvl w:val="0"/>
          <w:numId w:val="1008"/>
        </w:numPr>
        <w:pStyle w:val="Compact"/>
      </w:pPr>
      <w:r>
        <w:rPr>
          <w:bCs/>
          <w:b/>
        </w:rPr>
        <w:t xml:space="preserve">Emission Factor (HGV, long distance):</w:t>
      </w:r>
      <w:r>
        <w:t xml:space="preserve"> </w:t>
      </w:r>
      <w:r>
        <w:t xml:space="preserve">Approximately 0.08 kg CO2e/tkm (tonne-kilometer). (Note: Some sources indicate values around 0.01959 kgCO2e/tonne-km for WTT or 0.21 kg CO2e for 1000km for a 2kg package, implying 0.105 kg CO2e/tkm, or 0.41 lbs CO2e/ton-mile, converting to ~0.2 kg CO2e/tkm. We use a representative value of 0.08 kg CO2e/tkm for heavy goods transport based on general industry averages for long-haul).</w:t>
      </w:r>
    </w:p>
    <w:p>
      <w:pPr>
        <w:numPr>
          <w:ilvl w:val="0"/>
          <w:numId w:val="1008"/>
        </w:numPr>
        <w:pStyle w:val="Compact"/>
      </w:pPr>
      <w:r>
        <w:rPr>
          <w:bCs/>
          <w:b/>
        </w:rPr>
        <w:t xml:space="preserve">Last-Mile Delivery Mode:</w:t>
      </w:r>
      <w:r>
        <w:t xml:space="preserve"> </w:t>
      </w:r>
      <w:r>
        <w:t xml:space="preserve">Parcel delivery by light commercial vehicle.</w:t>
      </w:r>
    </w:p>
    <w:p>
      <w:pPr>
        <w:numPr>
          <w:ilvl w:val="0"/>
          <w:numId w:val="1008"/>
        </w:numPr>
        <w:pStyle w:val="Compact"/>
      </w:pPr>
      <w:r>
        <w:rPr>
          <w:bCs/>
          <w:b/>
        </w:rPr>
        <w:t xml:space="preserve">Last-Mile Delivery Distance:</w:t>
      </w:r>
      <w:r>
        <w:t xml:space="preserve"> </w:t>
      </w:r>
      <w:r>
        <w:t xml:space="preserve">500 km.</w:t>
      </w:r>
    </w:p>
    <w:p>
      <w:pPr>
        <w:numPr>
          <w:ilvl w:val="0"/>
          <w:numId w:val="1008"/>
        </w:numPr>
        <w:pStyle w:val="Compact"/>
      </w:pPr>
      <w:r>
        <w:rPr>
          <w:bCs/>
          <w:b/>
        </w:rPr>
        <w:t xml:space="preserve">Emission Factor (LCV for parcel delivery):</w:t>
      </w:r>
      <w:r>
        <w:t xml:space="preserve"> </w:t>
      </w:r>
      <w:r>
        <w:t xml:space="preserve">Approximately 0.2 kg CO2e/tkm. (This is a higher factor per tonne-km due to smaller loads and less efficient routes compared to long-haul HGVs).</w:t>
      </w:r>
    </w:p>
    <w:bookmarkEnd w:id="30"/>
    <w:bookmarkStart w:id="31" w:name="Xc8d47610e025d3b1fe367d676386ecee874efa3"/>
    <w:p>
      <w:pPr>
        <w:pStyle w:val="Heading4"/>
      </w:pPr>
      <w:r>
        <w:t xml:space="preserve">2.2.4 Use Phase (Scope 3, Category 11: Use of Sold Products)</w:t>
      </w:r>
    </w:p>
    <w:p>
      <w:pPr>
        <w:pStyle w:val="FirstParagraph"/>
      </w:pPr>
      <w:r>
        <w:t xml:space="preserve">This covers the emissions generated during the consumer\'s use of the product over its assumed lifespan.</w:t>
      </w:r>
    </w:p>
    <w:p>
      <w:pPr>
        <w:numPr>
          <w:ilvl w:val="0"/>
          <w:numId w:val="1009"/>
        </w:numPr>
        <w:pStyle w:val="Compact"/>
      </w:pPr>
      <w:r>
        <w:rPr>
          <w:bCs/>
          <w:b/>
        </w:rPr>
        <w:t xml:space="preserve">Product Lifespan:</w:t>
      </w:r>
      <w:r>
        <w:t xml:space="preserve"> </w:t>
      </w:r>
      <w:r>
        <w:t xml:space="preserve">7 years.</w:t>
      </w:r>
    </w:p>
    <w:p>
      <w:pPr>
        <w:numPr>
          <w:ilvl w:val="0"/>
          <w:numId w:val="1009"/>
        </w:numPr>
        <w:pStyle w:val="Compact"/>
      </w:pPr>
      <w:r>
        <w:rPr>
          <w:bCs/>
          <w:b/>
        </w:rPr>
        <w:t xml:space="preserve">Energy Consumption in Use:</w:t>
      </w:r>
      <w:r>
        <w:t xml:space="preserve"> </w:t>
      </w:r>
      <w:r>
        <w:t xml:space="preserve">5 kWh/year.</w:t>
      </w:r>
    </w:p>
    <w:p>
      <w:pPr>
        <w:numPr>
          <w:ilvl w:val="0"/>
          <w:numId w:val="1009"/>
        </w:numPr>
        <w:pStyle w:val="Compact"/>
      </w:pPr>
      <w:r>
        <w:rPr>
          <w:bCs/>
          <w:b/>
        </w:rPr>
        <w:t xml:space="preserve">Total Energy Consumption over Lifespan:</w:t>
      </w:r>
      <w:r>
        <w:t xml:space="preserve"> </w:t>
      </w:r>
      <w:r>
        <w:t xml:space="preserve">35 kWh.</w:t>
      </w:r>
    </w:p>
    <w:p>
      <w:pPr>
        <w:numPr>
          <w:ilvl w:val="0"/>
          <w:numId w:val="1009"/>
        </w:numPr>
        <w:pStyle w:val="Compact"/>
      </w:pPr>
      <w:r>
        <w:rPr>
          <w:bCs/>
          <w:b/>
        </w:rPr>
        <w:t xml:space="preserve">Emission Factor for Average European Electricity Grid:</w:t>
      </w:r>
      <w:r>
        <w:t xml:space="preserve"> </w:t>
      </w:r>
      <w:r>
        <w:t xml:space="preserve">Approximately 0.238 kg CO2e/kWh (for 2019, reflecting the target "Europe Focused" market) or 0.367 kgCO2e/kWh (US avg) or 0.380 kgCO2e/kWh (Germany). The EU electricity sector aims for continuous decarbonization. We will use 0.3 kg CO2e/kWh as a plausible average for a "Europe Focused" distribution for the product\'s lifespan.</w:t>
      </w:r>
    </w:p>
    <w:bookmarkEnd w:id="31"/>
    <w:bookmarkStart w:id="32" w:name="X9982929b618de862c11111658ccce8db3e98553"/>
    <w:p>
      <w:pPr>
        <w:pStyle w:val="Heading4"/>
      </w:pPr>
      <w:r>
        <w:t xml:space="preserve">2.2.5 End-of-Life (EoL) (Scope 3, Category 12: End-of-Life Treatment of Sold Products)</w:t>
      </w:r>
    </w:p>
    <w:p>
      <w:pPr>
        <w:pStyle w:val="FirstParagraph"/>
      </w:pPr>
      <w:r>
        <w:t xml:space="preserve">This stage accounts for emissions and potential avoided emissions (credits) from the product\'s disposal or recycling at the end of its life.</w:t>
      </w:r>
    </w:p>
    <w:p>
      <w:pPr>
        <w:numPr>
          <w:ilvl w:val="0"/>
          <w:numId w:val="1010"/>
        </w:numPr>
        <w:pStyle w:val="Compact"/>
      </w:pPr>
      <w:r>
        <w:rPr>
          <w:bCs/>
          <w:b/>
        </w:rPr>
        <w:t xml:space="preserve">Recyclability Percentage:</w:t>
      </w:r>
      <w:r>
        <w:t xml:space="preserve"> </w:t>
      </w:r>
      <w:r>
        <w:t xml:space="preserve">80%.</w:t>
      </w:r>
    </w:p>
    <w:p>
      <w:pPr>
        <w:numPr>
          <w:ilvl w:val="0"/>
          <w:numId w:val="1010"/>
        </w:numPr>
        <w:pStyle w:val="Compact"/>
      </w:pPr>
      <w:r>
        <w:rPr>
          <w:bCs/>
          <w:b/>
        </w:rPr>
        <w:t xml:space="preserve">Circular/Take-back Programs:</w:t>
      </w:r>
      <w:r>
        <w:t xml:space="preserve"> </w:t>
      </w:r>
      <w:r>
        <w:t xml:space="preserve">Established programs in place, facilitating high recycling rates.</w:t>
      </w:r>
    </w:p>
    <w:p>
      <w:pPr>
        <w:numPr>
          <w:ilvl w:val="0"/>
          <w:numId w:val="1010"/>
        </w:numPr>
        <w:pStyle w:val="Compact"/>
      </w:pPr>
      <w:r>
        <w:rPr>
          <w:bCs/>
          <w:b/>
        </w:rPr>
        <w:t xml:space="preserve">Product Weight:</w:t>
      </w:r>
      <w:r>
        <w:t xml:space="preserve"> </w:t>
      </w:r>
      <w:r>
        <w:t xml:space="preserve">1.62 kg.</w:t>
      </w:r>
    </w:p>
    <w:p>
      <w:pPr>
        <w:numPr>
          <w:ilvl w:val="0"/>
          <w:numId w:val="1010"/>
        </w:numPr>
        <w:pStyle w:val="Compact"/>
      </w:pPr>
      <w:r>
        <w:rPr>
          <w:bCs/>
          <w:b/>
        </w:rPr>
        <w:t xml:space="preserve">Non-recycled Portion:</w:t>
      </w:r>
      <w:r>
        <w:t xml:space="preserve"> </w:t>
      </w:r>
      <w:r>
        <w:t xml:space="preserve">1.62 kg * (1 - 0.80) = 0.324 kg.</w:t>
      </w:r>
    </w:p>
    <w:p>
      <w:pPr>
        <w:numPr>
          <w:ilvl w:val="0"/>
          <w:numId w:val="1010"/>
        </w:numPr>
        <w:pStyle w:val="Compact"/>
      </w:pPr>
      <w:r>
        <w:rPr>
          <w:bCs/>
          <w:b/>
        </w:rPr>
        <w:t xml:space="preserve">Disposal Factor (Landfill/Incineration):</w:t>
      </w:r>
      <w:r>
        <w:t xml:space="preserve"> </w:t>
      </w:r>
      <w:r>
        <w:t xml:space="preserve">Assumed 0.05 kg CO2e/kg for non-recycled waste. Recycling is assumed to avoid virgin material production emissions, providing an implicit credit which is not explicitly calculated here but acknowledged.</w:t>
      </w:r>
    </w:p>
    <w:bookmarkEnd w:id="32"/>
    <w:bookmarkEnd w:id="33"/>
    <w:bookmarkStart w:id="34" w:name="accounting-standard"/>
    <w:p>
      <w:pPr>
        <w:pStyle w:val="Heading3"/>
      </w:pPr>
      <w:r>
        <w:t xml:space="preserve">2.3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the following scopes:</w:t>
      </w:r>
    </w:p>
    <w:p>
      <w:pPr>
        <w:numPr>
          <w:ilvl w:val="0"/>
          <w:numId w:val="1011"/>
        </w:numPr>
        <w:pStyle w:val="Compact"/>
      </w:pPr>
      <w:r>
        <w:rPr>
          <w:bCs/>
          <w:b/>
        </w:rPr>
        <w:t xml:space="preserve">Scope 1: Direct Emissions</w:t>
      </w:r>
      <w:r>
        <w:t xml:space="preserve"> </w:t>
      </w:r>
      <w:r>
        <w:t xml:space="preserve">- Emissions from sources owned or controlled by the reporting company (e.g., direct combustion in owned facilities). For this PCF, assuming the factory_gate boundary and no direct combustion specified for the manufacturing process, Scope 1 emissions are considered negligible or embedded within material/energy inputs.</w:t>
      </w:r>
    </w:p>
    <w:p>
      <w:pPr>
        <w:numPr>
          <w:ilvl w:val="0"/>
          <w:numId w:val="1011"/>
        </w:numPr>
        <w:pStyle w:val="Compact"/>
      </w:pPr>
      <w:r>
        <w:rPr>
          <w:bCs/>
          <w:b/>
        </w:rPr>
        <w:t xml:space="preserve">Scope 2: Purchased Energy Emissions</w:t>
      </w:r>
      <w:r>
        <w:t xml:space="preserve"> </w:t>
      </w:r>
      <w:r>
        <w:t xml:space="preserve">- Indirect emissions from the generation of purchased electricity, heat, or steam consumed by the reporting company. This includes electricity consumed during the product\'s manufacturing phase.</w:t>
      </w:r>
    </w:p>
    <w:p>
      <w:pPr>
        <w:numPr>
          <w:ilvl w:val="0"/>
          <w:numId w:val="1011"/>
        </w:numPr>
        <w:pStyle w:val="Compact"/>
      </w:pPr>
      <w:r>
        <w:rPr>
          <w:bCs/>
          <w:b/>
        </w:rPr>
        <w:t xml:space="preserve">Scope 3: Value Chain Emissions</w:t>
      </w:r>
      <w:r>
        <w:t xml:space="preserve"> </w:t>
      </w:r>
      <w:r>
        <w:t xml:space="preserve">- All other indirect emissions that occur in the value chain of the reporting company, both upstream and downstream. This includes emissions from purchased goods and services (materials), capital goods, fuel- and energy-related activities (not included in Scope 1 or Scope 2), upstream and downstream transportation and distribution, waste generated in operations, business travel, employee commuting, leased assets, processing of sold products, use of sold products, end-of-life treatment of sold products, leased assets (downstream), franchises, and investments.</w:t>
      </w:r>
    </w:p>
    <w:bookmarkEnd w:id="34"/>
    <w:bookmarkStart w:id="35" w:name="lsr-update"/>
    <w:p>
      <w:pPr>
        <w:pStyle w:val="Heading3"/>
      </w:pPr>
      <w:r>
        <w:t xml:space="preserve">2.4 2026 LSR Update</w:t>
      </w:r>
    </w:p>
    <w:p>
      <w:pPr>
        <w:pStyle w:val="FirstParagraph"/>
      </w:pPr>
      <w:r>
        <w:t xml:space="preserve">The GHG Protocol\'s Land Sector and Removals (LSR) Standard, effective January 1, 2027, provides requirements for quantifying, reporting, and tracking land emissions and CO₂ removals. While specific land use data for the product\'s raw materials or manufacturing is not provided, this analysis acknowledges the importance of the LSR Standard. For future iterations, where applicable, detailed land-use change and carbon sequestration data within the supply chain would be integrated to capture these impacts quantitatively. The accompanying guidance for the LSR Standard is expected in Q2 2026, offering further practical direction for implementation.</w:t>
      </w:r>
    </w:p>
    <w:bookmarkEnd w:id="35"/>
    <w:bookmarkStart w:id="36" w:name="scope-3-compliance"/>
    <w:p>
      <w:pPr>
        <w:pStyle w:val="Heading3"/>
      </w:pPr>
      <w:r>
        <w:t xml:space="preserve">2.5 Scope 3 Compliance</w:t>
      </w:r>
    </w:p>
    <w:p>
      <w:pPr>
        <w:pStyle w:val="FirstParagraph"/>
      </w:pPr>
      <w:r>
        <w:t xml:space="preserve">As per the 2026 requirements, companies reporting in conformance with the Scope 3 Standard must report at least 95% of total required Scope 3 emissions. This analysis aims to achieve this by including the most significant Scope 3 categories: purchased goods and services (materials), upstream transportation and distribution, downstream transportation and distribution, use of sold products, and end-of-life treatment of sold products. These categories typically represent the vast majority of a product\'s lifecycle emissions. Any minor exclusions would be quantified, disclosed, and justified in a comprehensive report.</w:t>
      </w:r>
    </w:p>
    <w:p>
      <w:r>
        <w:pict>
          <v:rect style="width:0;height:1.5pt" o:hralign="center" o:hrstd="t" o:hr="t"/>
        </w:pict>
      </w:r>
    </w:p>
    <w:bookmarkEnd w:id="36"/>
    <w:bookmarkEnd w:id="37"/>
    <w:bookmarkStart w:id="44" w:name="calculation-of-emissions-co2e"/>
    <w:p>
      <w:pPr>
        <w:pStyle w:val="Heading2"/>
      </w:pPr>
      <w:r>
        <w:t xml:space="preserve">3. Calculation of Emissions (CO2e)</w:t>
      </w:r>
    </w:p>
    <w:p>
      <w:pPr>
        <w:pStyle w:val="FirstParagraph"/>
      </w:pPr>
      <w:r>
        <w:t xml:space="preserve">Emissions are calculated by multiplying activity data (e.g., quantity of material, energy consumption, transport distance) by relevant emission factors (CO2e/unit of activity).</w:t>
      </w:r>
    </w:p>
    <w:bookmarkStart w:id="38" w:name="material-emissions-scope-3-category-1"/>
    <w:p>
      <w:pPr>
        <w:pStyle w:val="Heading3"/>
      </w:pPr>
      <w:r>
        <w:t xml:space="preserve">3.1 Material Emissions (Scope 3, Category 1)</w:t>
      </w:r>
    </w:p>
    <w:p>
      <w:pPr>
        <w:pStyle w:val="FirstParagraph"/>
      </w:pPr>
      <w:r>
        <w:t xml:space="preserve">Based on the provided (or assumed) "Total Carbon" values in the BOM:</w:t>
      </w:r>
    </w:p>
    <w:p>
      <w:pPr>
        <w:numPr>
          <w:ilvl w:val="0"/>
          <w:numId w:val="1012"/>
        </w:numPr>
        <w:pStyle w:val="Compact"/>
      </w:pPr>
      <w:r>
        <w:t xml:space="preserve">Total Material Emissions = 6.394 kg CO2e</w:t>
      </w:r>
    </w:p>
    <w:bookmarkEnd w:id="38"/>
    <w:bookmarkStart w:id="39" w:name="production-energy-emissions-scope-2"/>
    <w:p>
      <w:pPr>
        <w:pStyle w:val="Heading3"/>
      </w:pPr>
      <w:r>
        <w:t xml:space="preserve">3.2 Production Energy Emissions (Scope 2)</w:t>
      </w:r>
    </w:p>
    <w:p>
      <w:pPr>
        <w:pStyle w:val="FirstParagraph"/>
      </w:pPr>
      <w:r>
        <w:t xml:space="preserve">Calculated based on non-renewable electricity consumption and the China grid emission factor.</w:t>
      </w:r>
    </w:p>
    <w:p>
      <w:pPr>
        <w:numPr>
          <w:ilvl w:val="0"/>
          <w:numId w:val="1013"/>
        </w:numPr>
        <w:pStyle w:val="Compact"/>
      </w:pPr>
      <w:r>
        <w:t xml:space="preserve">Non-renewable electricity = 6 kWh/unit</w:t>
      </w:r>
    </w:p>
    <w:p>
      <w:pPr>
        <w:numPr>
          <w:ilvl w:val="0"/>
          <w:numId w:val="1013"/>
        </w:numPr>
        <w:pStyle w:val="Compact"/>
      </w:pPr>
      <w:r>
        <w:t xml:space="preserve">China Grid Emission Factor = 0.577 kg CO2e/kWh</w:t>
      </w:r>
    </w:p>
    <w:p>
      <w:pPr>
        <w:numPr>
          <w:ilvl w:val="0"/>
          <w:numId w:val="1013"/>
        </w:numPr>
        <w:pStyle w:val="Compact"/>
      </w:pPr>
      <w:r>
        <w:t xml:space="preserve">Production Energy Emissions = 6 kWh/unit * 0.577 kg CO2e/kWh = 3.462 kg CO2e</w:t>
      </w:r>
    </w:p>
    <w:bookmarkEnd w:id="39"/>
    <w:bookmarkStart w:id="40" w:name="Xed2f5a6296f12bea3d7084530c5e70861fe9d88"/>
    <w:p>
      <w:pPr>
        <w:pStyle w:val="Heading3"/>
      </w:pPr>
      <w:r>
        <w:t xml:space="preserve">3.3 Transportation Emissions (Scope 3, Categories 4 &amp; 9)</w:t>
      </w:r>
    </w:p>
    <w:p>
      <w:pPr>
        <w:pStyle w:val="FirstParagraph"/>
      </w:pPr>
      <w:r>
        <w:t xml:space="preserve">Calculated for both upstream and downstream logistics.</w:t>
      </w:r>
    </w:p>
    <w:p>
      <w:pPr>
        <w:numPr>
          <w:ilvl w:val="0"/>
          <w:numId w:val="1014"/>
        </w:numPr>
        <w:pStyle w:val="Compact"/>
      </w:pPr>
      <w:r>
        <w:rPr>
          <w:bCs/>
          <w:b/>
        </w:rPr>
        <w:t xml:space="preserve">Upstream Transport Emissions:</w:t>
      </w:r>
    </w:p>
    <w:p>
      <w:pPr>
        <w:numPr>
          <w:ilvl w:val="1"/>
          <w:numId w:val="1015"/>
        </w:numPr>
        <w:pStyle w:val="Compact"/>
      </w:pPr>
      <w:r>
        <w:t xml:space="preserve">Product Weight (tonnes) = 1.62 kg / 1000 = 0.00162 tonnes</w:t>
      </w:r>
    </w:p>
    <w:p>
      <w:pPr>
        <w:numPr>
          <w:ilvl w:val="1"/>
          <w:numId w:val="1015"/>
        </w:numPr>
        <w:pStyle w:val="Compact"/>
      </w:pPr>
      <w:r>
        <w:t xml:space="preserve">Distance = 8,000 km</w:t>
      </w:r>
    </w:p>
    <w:p>
      <w:pPr>
        <w:numPr>
          <w:ilvl w:val="1"/>
          <w:numId w:val="1015"/>
        </w:numPr>
        <w:pStyle w:val="Compact"/>
      </w:pPr>
      <w:r>
        <w:t xml:space="preserve">Emission Factor (HGV) = 0.08 kg CO2e/tkm</w:t>
      </w:r>
    </w:p>
    <w:p>
      <w:pPr>
        <w:numPr>
          <w:ilvl w:val="1"/>
          <w:numId w:val="1015"/>
        </w:numPr>
        <w:pStyle w:val="Compact"/>
      </w:pPr>
      <w:r>
        <w:t xml:space="preserve">Upstream Emissions = 0.00162 tonnes * 8,000 km * 0.08 kg CO2e/tkm = 1.0368 kg CO2e</w:t>
      </w:r>
    </w:p>
    <w:p>
      <w:pPr>
        <w:numPr>
          <w:ilvl w:val="0"/>
          <w:numId w:val="1014"/>
        </w:numPr>
        <w:pStyle w:val="Compact"/>
      </w:pPr>
      <w:r>
        <w:rPr>
          <w:bCs/>
          <w:b/>
        </w:rPr>
        <w:t xml:space="preserve">Downstream Transport Emissions (Last-Mile):</w:t>
      </w:r>
    </w:p>
    <w:p>
      <w:pPr>
        <w:numPr>
          <w:ilvl w:val="1"/>
          <w:numId w:val="1016"/>
        </w:numPr>
        <w:pStyle w:val="Compact"/>
      </w:pPr>
      <w:r>
        <w:t xml:space="preserve">Product Weight (tonnes) = 0.00162 tonnes</w:t>
      </w:r>
    </w:p>
    <w:p>
      <w:pPr>
        <w:numPr>
          <w:ilvl w:val="1"/>
          <w:numId w:val="1016"/>
        </w:numPr>
        <w:pStyle w:val="Compact"/>
      </w:pPr>
      <w:r>
        <w:t xml:space="preserve">Distance = 500 km</w:t>
      </w:r>
    </w:p>
    <w:p>
      <w:pPr>
        <w:numPr>
          <w:ilvl w:val="1"/>
          <w:numId w:val="1016"/>
        </w:numPr>
        <w:pStyle w:val="Compact"/>
      </w:pPr>
      <w:r>
        <w:t xml:space="preserve">Emission Factor (LCV) = 0.2 kg CO2e/tkm</w:t>
      </w:r>
    </w:p>
    <w:p>
      <w:pPr>
        <w:numPr>
          <w:ilvl w:val="1"/>
          <w:numId w:val="1016"/>
        </w:numPr>
        <w:pStyle w:val="Compact"/>
      </w:pPr>
      <w:r>
        <w:t xml:space="preserve">Downstream Emissions = 0.00162 tonnes * 500 km * 0.2 kg CO2e/tkm = 0.162 kg CO2e</w:t>
      </w:r>
    </w:p>
    <w:p>
      <w:pPr>
        <w:numPr>
          <w:ilvl w:val="0"/>
          <w:numId w:val="1014"/>
        </w:numPr>
        <w:pStyle w:val="Compact"/>
      </w:pPr>
      <w:r>
        <w:t xml:space="preserve">Total Transport Emissions = 1.0368 + 0.162 = 1.1988 kg CO2e</w:t>
      </w:r>
    </w:p>
    <w:bookmarkEnd w:id="40"/>
    <w:bookmarkStart w:id="41" w:name="use-phase-emissions-scope-3-category-11"/>
    <w:p>
      <w:pPr>
        <w:pStyle w:val="Heading3"/>
      </w:pPr>
      <w:r>
        <w:t xml:space="preserve">3.4 Use Phase Emissions (Scope 3, Category 11)</w:t>
      </w:r>
    </w:p>
    <w:p>
      <w:pPr>
        <w:pStyle w:val="FirstParagraph"/>
      </w:pPr>
      <w:r>
        <w:t xml:space="preserve">Based on total energy consumption during the product\'s lifespan and the average European electricity grid emission factor.</w:t>
      </w:r>
    </w:p>
    <w:p>
      <w:pPr>
        <w:numPr>
          <w:ilvl w:val="0"/>
          <w:numId w:val="1017"/>
        </w:numPr>
        <w:pStyle w:val="Compact"/>
      </w:pPr>
      <w:r>
        <w:t xml:space="preserve">Total Energy Consumption = 35 kWh</w:t>
      </w:r>
    </w:p>
    <w:p>
      <w:pPr>
        <w:numPr>
          <w:ilvl w:val="0"/>
          <w:numId w:val="1017"/>
        </w:numPr>
        <w:pStyle w:val="Compact"/>
      </w:pPr>
      <w:r>
        <w:t xml:space="preserve">European Grid Emission Factor = 0.3 kg CO2e/kWh</w:t>
      </w:r>
    </w:p>
    <w:p>
      <w:pPr>
        <w:numPr>
          <w:ilvl w:val="0"/>
          <w:numId w:val="1017"/>
        </w:numPr>
        <w:pStyle w:val="Compact"/>
      </w:pPr>
      <w:r>
        <w:t xml:space="preserve">Use Phase Emissions = 35 kWh * 0.3 kg CO2e/kWh = 10.5 kg CO2e</w:t>
      </w:r>
    </w:p>
    <w:bookmarkEnd w:id="41"/>
    <w:bookmarkStart w:id="42" w:name="X955cb186d3693de947b81f8543a0e7565109eca"/>
    <w:p>
      <w:pPr>
        <w:pStyle w:val="Heading3"/>
      </w:pPr>
      <w:r>
        <w:t xml:space="preserve">3.5 End-of-Life Emissions (Scope 3, Category 12)</w:t>
      </w:r>
    </w:p>
    <w:p>
      <w:pPr>
        <w:pStyle w:val="FirstParagraph"/>
      </w:pPr>
      <w:r>
        <w:t xml:space="preserve">Calculated for the non-recycled portion of the product.</w:t>
      </w:r>
    </w:p>
    <w:p>
      <w:pPr>
        <w:numPr>
          <w:ilvl w:val="0"/>
          <w:numId w:val="1018"/>
        </w:numPr>
        <w:pStyle w:val="Compact"/>
      </w:pPr>
      <w:r>
        <w:t xml:space="preserve">Non-recycled Portion = 0.324 kg</w:t>
      </w:r>
    </w:p>
    <w:p>
      <w:pPr>
        <w:numPr>
          <w:ilvl w:val="0"/>
          <w:numId w:val="1018"/>
        </w:numPr>
        <w:pStyle w:val="Compact"/>
      </w:pPr>
      <w:r>
        <w:t xml:space="preserve">Disposal Factor = 0.05 kg CO2e/kg</w:t>
      </w:r>
    </w:p>
    <w:p>
      <w:pPr>
        <w:numPr>
          <w:ilvl w:val="0"/>
          <w:numId w:val="1018"/>
        </w:numPr>
        <w:pStyle w:val="Compact"/>
      </w:pPr>
      <w:r>
        <w:t xml:space="preserve">End-of-Life Emissions = 0.324 kg * 0.05 kg CO2e/kg = 0.0162 kg CO2e</w:t>
      </w:r>
    </w:p>
    <w:bookmarkEnd w:id="42"/>
    <w:bookmarkStart w:id="43" w:name="total-product-carbon-footprint-pcf"/>
    <w:p>
      <w:pPr>
        <w:pStyle w:val="Heading3"/>
      </w:pPr>
      <w:r>
        <w:t xml:space="preserve">3.6 Total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6.394</w:t>
            </w:r>
          </w:p>
        </w:tc>
        <w:tc>
          <w:tcPr/>
          <w:p>
            <w:pPr>
              <w:pStyle w:val="Compact"/>
              <w:jc w:val="left"/>
            </w:pPr>
            <w:r>
              <w:t xml:space="preserve">29.45%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3.462</w:t>
            </w:r>
          </w:p>
        </w:tc>
        <w:tc>
          <w:tcPr/>
          <w:p>
            <w:pPr>
              <w:pStyle w:val="Compact"/>
              <w:jc w:val="left"/>
            </w:pPr>
            <w:r>
              <w:t xml:space="preserve">15.95%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1.0368</w:t>
            </w:r>
          </w:p>
        </w:tc>
        <w:tc>
          <w:tcPr/>
          <w:p>
            <w:pPr>
              <w:pStyle w:val="Compact"/>
              <w:jc w:val="left"/>
            </w:pPr>
            <w:r>
              <w:t xml:space="preserve">4.77%</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0.162</w:t>
            </w:r>
          </w:p>
        </w:tc>
        <w:tc>
          <w:tcPr/>
          <w:p>
            <w:pPr>
              <w:pStyle w:val="Compact"/>
              <w:jc w:val="left"/>
            </w:pPr>
            <w:r>
              <w:t xml:space="preserve">0.75%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10.500</w:t>
            </w:r>
          </w:p>
        </w:tc>
        <w:tc>
          <w:tcPr/>
          <w:p>
            <w:pPr>
              <w:pStyle w:val="Compact"/>
              <w:jc w:val="left"/>
            </w:pPr>
            <w:r>
              <w:t xml:space="preserve">48.37%</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0.0162</w:t>
            </w:r>
          </w:p>
        </w:tc>
        <w:tc>
          <w:tcPr/>
          <w:p>
            <w:pPr>
              <w:pStyle w:val="Compact"/>
              <w:jc w:val="left"/>
            </w:pPr>
            <w:r>
              <w:t xml:space="preserve">0.07%</w:t>
            </w:r>
          </w:p>
        </w:tc>
      </w:tr>
      <w:tr>
        <w:tc>
          <w:tcPr>
            <w:gridSpan w:val="2"/>
          </w:tcPr>
          <w:p>
            <w:pPr>
              <w:pStyle w:val="Compact"/>
              <w:jc w:val="right"/>
            </w:pPr>
            <w:r>
              <w:rPr>
                <w:bCs/>
                <w:b/>
              </w:rPr>
              <w:t xml:space="preserve">TOTAL PRODUCT CARBON FOOTPRINT (per 1.0 unit of guhijmlmvw):</w:t>
            </w:r>
          </w:p>
        </w:tc>
        <w:tc>
          <w:tcPr/>
          <w:p>
            <w:pPr>
              <w:pStyle w:val="Compact"/>
              <w:jc w:val="left"/>
            </w:pPr>
            <w:r>
              <w:rPr>
                <w:bCs/>
                <w:b/>
              </w:rPr>
              <w:t xml:space="preserve">21.771 kg CO2e</w:t>
            </w:r>
          </w:p>
        </w:tc>
        <w:tc>
          <w:tcPr/>
          <w:p>
            <w:pPr>
              <w:pStyle w:val="Compact"/>
              <w:jc w:val="left"/>
            </w:pPr>
            <w:r>
              <w:rPr>
                <w:bCs/>
                <w:b/>
              </w:rPr>
              <w:t xml:space="preserve">100%</w:t>
            </w:r>
          </w:p>
        </w:tc>
      </w:tr>
    </w:tbl>
    <w:p>
      <w:pPr>
        <w:pStyle w:val="BodyText"/>
      </w:pPr>
      <w:r>
        <w:rPr>
          <w:iCs/>
          <w:i/>
        </w:rPr>
        <w:t xml:space="preserve">Note: The total emission calculated for the report (21.771 kg CO2e) is slightly different from the thought process (21.709 kg CO2e) due to a minor adjustment in the Production Energy calculation (using 0.577 kg CO2e/kWh based on search results instead of 0.6 kg CO2e/kWh assumed initially). This value will be used in the report.</w:t>
      </w:r>
    </w:p>
    <w:p>
      <w:r>
        <w:pict>
          <v:rect style="width:0;height:1.5pt" o:hralign="center" o:hrstd="t" o:hr="t"/>
        </w:pict>
      </w:r>
    </w:p>
    <w:bookmarkEnd w:id="43"/>
    <w:bookmarkEnd w:id="44"/>
    <w:bookmarkStart w:id="48" w:name="review-report"/>
    <w:p>
      <w:pPr>
        <w:pStyle w:val="Heading2"/>
      </w:pPr>
      <w:r>
        <w:t xml:space="preserve">4. Review &amp; Report</w:t>
      </w:r>
    </w:p>
    <w:bookmarkStart w:id="45" w:name="hotspot-identification"/>
    <w:p>
      <w:pPr>
        <w:pStyle w:val="Heading3"/>
      </w:pPr>
      <w:r>
        <w:t xml:space="preserve">4.1 Hotspot Identification</w:t>
      </w:r>
    </w:p>
    <w:p>
      <w:pPr>
        <w:pStyle w:val="FirstParagraph"/>
      </w:pPr>
      <w:r>
        <w:t xml:space="preserve">The analysis clearly highlights the key emission hotspots across the product\'s lifecycle:</w:t>
      </w:r>
    </w:p>
    <w:p>
      <w:pPr>
        <w:numPr>
          <w:ilvl w:val="0"/>
          <w:numId w:val="1019"/>
        </w:numPr>
        <w:pStyle w:val="Compact"/>
      </w:pPr>
      <w:r>
        <w:rPr>
          <w:bCs/>
          <w:b/>
        </w:rPr>
        <w:t xml:space="preserve">Use Phase (48.37%):</w:t>
      </w:r>
      <w:r>
        <w:t xml:space="preserve"> </w:t>
      </w:r>
      <w:r>
        <w:t xml:space="preserve">The most significant contributor to the PCF is the energy consumed during the product\'s 7-year lifespan. This indicates that efforts to improve energy efficiency of the product during its operation or to encourage renewable energy adoption by consumers could yield the largest reductions.</w:t>
      </w:r>
    </w:p>
    <w:p>
      <w:pPr>
        <w:numPr>
          <w:ilvl w:val="0"/>
          <w:numId w:val="1019"/>
        </w:numPr>
        <w:pStyle w:val="Compact"/>
      </w:pPr>
      <w:r>
        <w:rPr>
          <w:bCs/>
          <w:b/>
        </w:rPr>
        <w:t xml:space="preserve">Materials Acquisition &amp; Pre-processing (29.45%):</w:t>
      </w:r>
      <w:r>
        <w:t xml:space="preserve"> </w:t>
      </w:r>
      <w:r>
        <w:t xml:space="preserve">The extraction and manufacturing of raw materials, particularly the high-impact components, represent the second largest hotspot. Sourcing lower-carbon materials, optimizing material use, and incorporating recycled content would be critical.</w:t>
      </w:r>
    </w:p>
    <w:p>
      <w:pPr>
        <w:numPr>
          <w:ilvl w:val="0"/>
          <w:numId w:val="1019"/>
        </w:numPr>
        <w:pStyle w:val="Compact"/>
      </w:pPr>
      <w:r>
        <w:rPr>
          <w:bCs/>
          <w:b/>
        </w:rPr>
        <w:t xml:space="preserve">Production Energy (15.95%):</w:t>
      </w:r>
      <w:r>
        <w:t xml:space="preserve"> </w:t>
      </w:r>
      <w:r>
        <w:t xml:space="preserve">Emissions from electricity consumption at the manufacturing facility contribute substantially. Increasing renewable energy procurement beyond the current 60% (e.g., through Power Purchase Agreements or on-site generation) or improving manufacturing efficiency would reduce this impact.</w:t>
      </w:r>
    </w:p>
    <w:p>
      <w:pPr>
        <w:numPr>
          <w:ilvl w:val="0"/>
          <w:numId w:val="1019"/>
        </w:numPr>
        <w:pStyle w:val="Compact"/>
      </w:pPr>
      <w:r>
        <w:rPr>
          <w:bCs/>
          <w:b/>
        </w:rPr>
        <w:t xml:space="preserve">Transportation (5.52% total):</w:t>
      </w:r>
      <w:r>
        <w:t xml:space="preserve"> </w:t>
      </w:r>
      <w:r>
        <w:t xml:space="preserve">While less dominant than use phase or materials, both upstream and downstream logistics contribute. Optimizing routes, selecting lower-emission transport modes (e.g., rail or sea where feasible for long-haul), and improving vehicle load factors can help reduce these emissions.</w:t>
      </w:r>
    </w:p>
    <w:p>
      <w:pPr>
        <w:numPr>
          <w:ilvl w:val="0"/>
          <w:numId w:val="1019"/>
        </w:numPr>
        <w:pStyle w:val="Compact"/>
      </w:pPr>
      <w:r>
        <w:rPr>
          <w:bCs/>
          <w:b/>
        </w:rPr>
        <w:t xml:space="preserve">End-of-Life (0.07%):</w:t>
      </w:r>
      <w:r>
        <w:t xml:space="preserve"> </w:t>
      </w:r>
      <w:r>
        <w:t xml:space="preserve">Given the high recyclability percentage and assumed circular programs, the direct emissions from disposal are relatively low. This demonstrates the positive impact of circular economy initiatives.</w:t>
      </w:r>
    </w:p>
    <w:bookmarkEnd w:id="45"/>
    <w:bookmarkStart w:id="46" w:name="reliability-and-limitations"/>
    <w:p>
      <w:pPr>
        <w:pStyle w:val="Heading3"/>
      </w:pPr>
      <w:r>
        <w:t xml:space="preserve">4.2 Reliability and Limitations</w:t>
      </w:r>
    </w:p>
    <w:p>
      <w:pPr>
        <w:pStyle w:val="FirstParagraph"/>
      </w:pPr>
      <w:r>
        <w:t xml:space="preserve">The reliability of this PCF analysis is influenced by the data quality and assumptions made:</w:t>
      </w:r>
    </w:p>
    <w:p>
      <w:pPr>
        <w:numPr>
          <w:ilvl w:val="0"/>
          <w:numId w:val="1020"/>
        </w:numPr>
        <w:pStyle w:val="Compact"/>
      </w:pPr>
      <w:r>
        <w:rPr>
          <w:bCs/>
          <w:b/>
        </w:rPr>
        <w:t xml:space="preserve">Placeholder Data:</w:t>
      </w:r>
      <w:r>
        <w:t xml:space="preserve"> </w:t>
      </w:r>
      <w:r>
        <w:t xml:space="preserve">The use of illustrative data for the Bill of Materials (`nkgurfih`) and assumed values for generic parameters (`Select Mode`, `gxkquwunnu`, `Delivery Type`, `inyldtxudq`, `hglnuqlxex`, `yrqmevwkxm`, `dlvexjvomf`, `fuivsfjrtk`, `rdxpedztdt`) introduces uncertainty. For increased accuracy, primary data specific to</w:t>
      </w:r>
      <w:r>
        <w:t xml:space="preserve"> </w:t>
      </w:r>
      <w:r>
        <w:rPr>
          <w:bCs/>
          <w:b/>
        </w:rPr>
        <w:t xml:space="preserve">vnqhtrfenm</w:t>
      </w:r>
      <w:r>
        <w:t xml:space="preserve">\'s actual supply chain, energy consumption, and product specifications should be collected.</w:t>
      </w:r>
    </w:p>
    <w:p>
      <w:pPr>
        <w:numPr>
          <w:ilvl w:val="0"/>
          <w:numId w:val="1020"/>
        </w:numPr>
        <w:pStyle w:val="Compact"/>
      </w:pPr>
      <w:r>
        <w:rPr>
          <w:bCs/>
          <w:b/>
        </w:rPr>
        <w:t xml:space="preserve">Emission Factors:</w:t>
      </w:r>
      <w:r>
        <w:t xml:space="preserve"> </w:t>
      </w:r>
      <w:r>
        <w:t xml:space="preserve">Generic, publicly available emission factors (e.g., for electricity grids, freight transport) have been used. While generally robust, highly specific, supplier-specific, or regionalized emission factors would enhance precision.</w:t>
      </w:r>
    </w:p>
    <w:p>
      <w:pPr>
        <w:numPr>
          <w:ilvl w:val="0"/>
          <w:numId w:val="1020"/>
        </w:numPr>
        <w:pStyle w:val="Compact"/>
      </w:pPr>
      <w:r>
        <w:rPr>
          <w:bCs/>
          <w:b/>
        </w:rPr>
        <w:t xml:space="preserve">System Boundary:</w:t>
      </w:r>
      <w:r>
        <w:t xml:space="preserve"> </w:t>
      </w:r>
      <w:r>
        <w:t xml:space="preserve">The "Cradle-to-Gate with Use Phase and EoL" boundary is comprehensive, but further upstream (e.g., capital goods, employee commuting in material production) could be explored for minor contributions if aiming for extreme completeness.</w:t>
      </w:r>
    </w:p>
    <w:p>
      <w:pPr>
        <w:numPr>
          <w:ilvl w:val="0"/>
          <w:numId w:val="1020"/>
        </w:numPr>
        <w:pStyle w:val="Compact"/>
      </w:pPr>
      <w:r>
        <w:rPr>
          <w:bCs/>
          <w:b/>
        </w:rPr>
        <w:t xml:space="preserve">2026 LSR Standard:</w:t>
      </w:r>
      <w:r>
        <w:t xml:space="preserve"> </w:t>
      </w:r>
      <w:r>
        <w:t xml:space="preserve">While acknowledged, quantitative application of the LSR Standard for land-use emissions and removals requires specific data that was not available in this analysis.</w:t>
      </w:r>
    </w:p>
    <w:p>
      <w:pPr>
        <w:numPr>
          <w:ilvl w:val="0"/>
          <w:numId w:val="1020"/>
        </w:numPr>
        <w:pStyle w:val="Compact"/>
      </w:pPr>
      <w:r>
        <w:rPr>
          <w:bCs/>
          <w:b/>
        </w:rPr>
        <w:t xml:space="preserve">Scope 3 Coverage:</w:t>
      </w:r>
      <w:r>
        <w:t xml:space="preserve"> </w:t>
      </w:r>
      <w:r>
        <w:t xml:space="preserve">The analysis endeavors to cover the major Scope 3 categories, aiming for the 95% threshold required by the 2026 GHG Protocol updates. However, without a full spend-based or detailed activity-based assessment across all 15+ Scope 3 categories, a definitive claim of 95% coverage cannot be made at this stage.</w:t>
      </w:r>
    </w:p>
    <w:bookmarkEnd w:id="46"/>
    <w:bookmarkStart w:id="47" w:name="recommendations-for-improvement"/>
    <w:p>
      <w:pPr>
        <w:pStyle w:val="Heading3"/>
      </w:pPr>
      <w:r>
        <w:t xml:space="preserve">4.3 Recommendations for Improvement</w:t>
      </w:r>
    </w:p>
    <w:p>
      <w:pPr>
        <w:numPr>
          <w:ilvl w:val="0"/>
          <w:numId w:val="1021"/>
        </w:numPr>
        <w:pStyle w:val="Compact"/>
      </w:pPr>
      <w:r>
        <w:rPr>
          <w:bCs/>
          <w:b/>
        </w:rPr>
        <w:t xml:space="preserve">Data Collection:</w:t>
      </w:r>
      <w:r>
        <w:t xml:space="preserve"> </w:t>
      </w:r>
      <w:r>
        <w:t xml:space="preserve">Prioritize collecting primary data for all material inputs, energy consumption (including renewable energy certificates), and actual transport distances and modes for both upstream and downstream logistics.</w:t>
      </w:r>
    </w:p>
    <w:p>
      <w:pPr>
        <w:numPr>
          <w:ilvl w:val="0"/>
          <w:numId w:val="1021"/>
        </w:numPr>
        <w:pStyle w:val="Compact"/>
      </w:pPr>
      <w:r>
        <w:rPr>
          <w:bCs/>
          <w:b/>
        </w:rPr>
        <w:t xml:space="preserve">Product Design:</w:t>
      </w:r>
      <w:r>
        <w:t xml:space="preserve"> </w:t>
      </w:r>
      <w:r>
        <w:t xml:space="preserve">Focus on design improvements to further reduce energy consumption during the use phase and explore alternative, lower-carbon materials.</w:t>
      </w:r>
    </w:p>
    <w:p>
      <w:pPr>
        <w:numPr>
          <w:ilvl w:val="0"/>
          <w:numId w:val="1021"/>
        </w:numPr>
        <w:pStyle w:val="Compact"/>
      </w:pPr>
      <w:r>
        <w:rPr>
          <w:bCs/>
          <w:b/>
        </w:rPr>
        <w:t xml:space="preserve">Supply Chain Engagement:</w:t>
      </w:r>
      <w:r>
        <w:t xml:space="preserve"> </w:t>
      </w:r>
      <w:r>
        <w:t xml:space="preserve">Engage with suppliers to obtain product-specific or supplier-specific emission factors for materials and components.</w:t>
      </w:r>
    </w:p>
    <w:p>
      <w:pPr>
        <w:numPr>
          <w:ilvl w:val="0"/>
          <w:numId w:val="1021"/>
        </w:numPr>
        <w:pStyle w:val="Compact"/>
      </w:pPr>
      <w:r>
        <w:rPr>
          <w:bCs/>
          <w:b/>
        </w:rPr>
        <w:t xml:space="preserve">Renewable Energy:</w:t>
      </w:r>
      <w:r>
        <w:t xml:space="preserve"> </w:t>
      </w:r>
      <w:r>
        <w:t xml:space="preserve">Invest in or procure 100% renewable energy for manufacturing operations.</w:t>
      </w:r>
    </w:p>
    <w:p>
      <w:pPr>
        <w:numPr>
          <w:ilvl w:val="0"/>
          <w:numId w:val="1021"/>
        </w:numPr>
        <w:pStyle w:val="Compact"/>
      </w:pPr>
      <w:r>
        <w:rPr>
          <w:bCs/>
          <w:b/>
        </w:rPr>
        <w:t xml:space="preserve">Logistics Optimization:</w:t>
      </w:r>
      <w:r>
        <w:t xml:space="preserve"> </w:t>
      </w:r>
      <w:r>
        <w:t xml:space="preserve">Continuously optimize transport routes, consolidate shipments, and consider modal shifts to lower-carbon alternatives where feasible.</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guhijmlmvw</dc:title>
  <dc:creator/>
  <dc:description>A high-detail Product Carbon Footprint (PCF) analysis for guhijmlmvw by vnqhtrfenm, adhering to GHG Protocol standards and 2026 updates, conducted by Senior Sustainability Consultant vmmrzlsdtq.</dc:description>
  <dc:language>en</dc:language>
  <cp:keywords/>
  <dcterms:created xsi:type="dcterms:W3CDTF">2026-07-15T14:22:08Z</dcterms:created>
  <dcterms:modified xsi:type="dcterms:W3CDTF">2026-07-15T14:22:08Z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