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ghnvetjxvn</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ghnvetjxvn"/>
    <w:p>
      <w:pPr>
        <w:pStyle w:val="Heading2"/>
      </w:pPr>
      <w:r>
        <w:t xml:space="preserve">for ghnvetjxvn</w:t>
      </w:r>
    </w:p>
    <w:p>
      <w:pPr>
        <w:pStyle w:val="FirstParagraph"/>
      </w:pPr>
      <w:r>
        <w:rPr>
          <w:bCs/>
          <w:b/>
        </w:rPr>
        <w:t xml:space="preserve">Company:</w:t>
      </w:r>
      <w:r>
        <w:t xml:space="preserve"> </w:t>
      </w:r>
      <w:r>
        <w:t xml:space="preserve">dvofntlqdd</w:t>
      </w:r>
    </w:p>
    <w:p>
      <w:pPr>
        <w:pStyle w:val="BodyText"/>
      </w:pPr>
      <w:r>
        <w:rPr>
          <w:bCs/>
          <w:b/>
        </w:rPr>
        <w:t xml:space="preserve">Senior Sustainability Consultant:</w:t>
      </w:r>
      <w:r>
        <w:t xml:space="preserve"> </w:t>
      </w:r>
      <w:r>
        <w:t xml:space="preserve">oxhxjhuigj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high-detail Product Carbon Footprint (PCF) analysis for ghnvetjxvn. While every effort has been made to ensure accuracy using the provided parameters and recognized methodologies, specific real-world data may vary.</w:t>
      </w:r>
    </w:p>
    <w:bookmarkEnd w:id="20"/>
    <w:bookmarkEnd w:id="21"/>
    <w:p>
      <w:pPr>
        <w:pStyle w:val="BodyText"/>
      </w:pPr>
      <w:r>
        <w:t xml:space="preserve">Product Carbon Footprint Analysis for ghnvetjxvn | Generated Date: June 1, 2026</w:t>
      </w:r>
    </w:p>
    <w:bookmarkStart w:id="22" w:name="executive-summary"/>
    <w:p>
      <w:pPr>
        <w:pStyle w:val="Heading1"/>
      </w:pPr>
      <w:r>
        <w:t xml:space="preserve">Executive Summary</w:t>
      </w:r>
    </w:p>
    <w:p>
      <w:pPr>
        <w:pStyle w:val="FirstParagraph"/>
      </w:pPr>
      <w:r>
        <w:t xml:space="preserve">This report presents a detailed Product Carbon Footprint (PCF) analysis for the product</w:t>
      </w:r>
      <w:r>
        <w:t xml:space="preserve"> </w:t>
      </w:r>
      <w:r>
        <w:rPr>
          <w:bCs/>
          <w:b/>
        </w:rPr>
        <w:t xml:space="preserve">ghnvetjxvn</w:t>
      </w:r>
      <w:r>
        <w:t xml:space="preserve">, manufactured by</w:t>
      </w:r>
      <w:r>
        <w:t xml:space="preserve"> </w:t>
      </w:r>
      <w:r>
        <w:rPr>
          <w:bCs/>
          <w:b/>
        </w:rPr>
        <w:t xml:space="preserve">dvofntlqdd</w:t>
      </w:r>
      <w:r>
        <w:t xml:space="preserve">. The analysis, conducted by</w:t>
      </w:r>
      <w:r>
        <w:t xml:space="preserve"> </w:t>
      </w:r>
      <w:r>
        <w:rPr>
          <w:bCs/>
          <w:b/>
        </w:rPr>
        <w:t xml:space="preserve">oxhxjhuigj</w:t>
      </w:r>
      <w:r>
        <w:t xml:space="preserve">, Senior Sustainability Consultant, adheres to the Greenhouse Gas (GHG) Protocol and incorporates the 2026 Land Sector and Removals (LSR) Standard update. The system boundary for this PCF is defined as "factory_gate", with downstream Scope 3 emissions for the use and end-of-life phases also calculated to provide a comprehensive view. The primary goal is to identify emission hotspots across the product\'s lifecycle and provide actionable insights for emission reduction.</w:t>
      </w:r>
    </w:p>
    <w:p>
      <w:pPr>
        <w:pStyle w:val="BodyText"/>
      </w:pPr>
      <w:r>
        <w:t xml:space="preserve">The assessment incorporates specific data for the Bill of Materials (BOM), production energy usage, transportation logistics, product lifespan, and end-of-life scenarios. Our findings indicate key areas for emission reduction in material sourcing and energy consumption.</w:t>
      </w:r>
    </w:p>
    <w:p>
      <w:r>
        <w:pict>
          <v:rect style="width:0;height:1.5pt" o:hralign="center" o:hrstd="t" o:hr="t"/>
        </w:pict>
      </w:r>
    </w:p>
    <w:bookmarkEnd w:id="22"/>
    <w:bookmarkStart w:id="27" w:name="introduction-and-scope-definition"/>
    <w:p>
      <w:pPr>
        <w:pStyle w:val="Heading1"/>
      </w:pPr>
      <w:r>
        <w:t xml:space="preserve">1. Introduction and Scope Definition</w:t>
      </w:r>
    </w:p>
    <w:p>
      <w:pPr>
        <w:pStyle w:val="FirstParagraph"/>
      </w:pPr>
      <w:r>
        <w:t xml:space="preserve">This Product Carbon Footprint (PCF) analysis quantifies the greenhouse gas (GHG) emissions associated with the product</w:t>
      </w:r>
      <w:r>
        <w:t xml:space="preserve"> </w:t>
      </w:r>
      <w:r>
        <w:rPr>
          <w:bCs/>
          <w:b/>
        </w:rPr>
        <w:t xml:space="preserve">ghnvetjxvn</w:t>
      </w:r>
      <w:r>
        <w:t xml:space="preserve">, following the rigorous guidelines of the</w:t>
      </w:r>
      <w:r>
        <w:t xml:space="preserve"> </w:t>
      </w:r>
      <w:r>
        <w:rPr>
          <w:bCs/>
          <w:b/>
        </w:rPr>
        <w:t xml:space="preserve">GHG Protocol</w:t>
      </w:r>
      <w:r>
        <w:t xml:space="preserve">.</w:t>
      </w:r>
    </w:p>
    <w:bookmarkStart w:id="23" w:name="functional-unit"/>
    <w:p>
      <w:pPr>
        <w:pStyle w:val="Heading2"/>
      </w:pPr>
      <w:r>
        <w:t xml:space="preserve">1.1. Functional Unit</w:t>
      </w:r>
    </w:p>
    <w:p>
      <w:pPr>
        <w:pStyle w:val="FirstParagraph"/>
      </w:pPr>
      <w:r>
        <w:t xml:space="preserve">The functional unit for this analysis is defined as:</w:t>
      </w:r>
      <w:r>
        <w:t xml:space="preserve"> </w:t>
      </w:r>
      <w:r>
        <w:rPr>
          <w:bCs/>
          <w:b/>
        </w:rPr>
        <w:t xml:space="preserve">1.0 unit of ghnvetjxvn</w:t>
      </w:r>
      <w:r>
        <w:t xml:space="preserve">. This represents the quantity of product providing a specific function, against which all inputs and outputs are normalized.</w:t>
      </w:r>
    </w:p>
    <w:bookmarkEnd w:id="23"/>
    <w:bookmarkStart w:id="24" w:name="system-boundary"/>
    <w:p>
      <w:pPr>
        <w:pStyle w:val="Heading2"/>
      </w:pPr>
      <w:r>
        <w:t xml:space="preserve">1.2. System Boundary</w:t>
      </w:r>
    </w:p>
    <w:p>
      <w:pPr>
        <w:pStyle w:val="FirstParagraph"/>
      </w:pPr>
      <w:r>
        <w:t xml:space="preserve">The primary system boundary for the PCF calculation is</w:t>
      </w:r>
      <w:r>
        <w:t xml:space="preserve"> </w:t>
      </w:r>
      <w:r>
        <w:rPr>
          <w:bCs/>
          <w:b/>
        </w:rPr>
        <w:t xml:space="preserve">"factory_gate"</w:t>
      </w:r>
      <w:r>
        <w:t xml:space="preserve">. This encompasses all GHG emissions from the extraction of raw materials, their processing, manufacturing of components, transportation to the final production facility, and the final assembly of the product up to the point it leaves the factory gate.</w:t>
      </w:r>
      <w:r>
        <w:t xml:space="preserve"> </w:t>
      </w:r>
      <w:r>
        <w:t xml:space="preserve">Additionally, to provide a holistic understanding of the product\'s environmental impact, downstream Scope 3 emissions from the \'use phase\' and \'end-of-life\' scenarios are also calculated and reported separately, adhering to GHG Protocol requirements for comprehensive value chain emissions.</w:t>
      </w:r>
    </w:p>
    <w:bookmarkEnd w:id="24"/>
    <w:bookmarkStart w:id="25" w:name="geographic-scope"/>
    <w:p>
      <w:pPr>
        <w:pStyle w:val="Heading2"/>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distribution often involve European routes/suppliers)</w:t>
      </w:r>
    </w:p>
    <w:bookmarkEnd w:id="25"/>
    <w:bookmarkStart w:id="26" w:name="allocation"/>
    <w:p>
      <w:pPr>
        <w:pStyle w:val="Heading2"/>
      </w:pPr>
      <w:r>
        <w:t xml:space="preserve">1.4. Allocation</w:t>
      </w:r>
    </w:p>
    <w:p>
      <w:pPr>
        <w:pStyle w:val="FirstParagraph"/>
      </w:pPr>
      <w:r>
        <w:t xml:space="preserve">Emissions are allocated directly to the functional unit. Where multi-product processes occur, allocation is performed based on mass or economic value as appropriate, adhering to GHG Protocol guidance for the allocation of shared burdens. For recycled content, the "cut-off" approach is generally applied unless specific data for a "closed-loop" system is available for a more circular approach.</w:t>
      </w:r>
    </w:p>
    <w:p>
      <w:r>
        <w:pict>
          <v:rect style="width:0;height:1.5pt" o:hralign="center" o:hrstd="t" o:hr="t"/>
        </w:pict>
      </w:r>
    </w:p>
    <w:bookmarkEnd w:id="26"/>
    <w:bookmarkEnd w:id="27"/>
    <w:bookmarkStart w:id="30" w:name="X3f503d9303f8c8c8838be362d2e388ae1f5662b"/>
    <w:p>
      <w:pPr>
        <w:pStyle w:val="Heading1"/>
      </w:pPr>
      <w:r>
        <w:t xml:space="preserve">2. Methodology and Lifecycle Inventory (LCI) Mapping</w:t>
      </w:r>
    </w:p>
    <w:p>
      <w:pPr>
        <w:pStyle w:val="FirstParagraph"/>
      </w:pPr>
      <w:r>
        <w:t xml:space="preserve">The assessment follows a five-step methodology in line with GHG Protocol standards: Define Scope, Map Lifecycle, Collect Data, Calculate Emissions, and Review &amp; Report.</w:t>
      </w:r>
    </w:p>
    <w:bookmarkStart w:id="28" w:name="lifecycle-stages-mapped-lci-inventory"/>
    <w:p>
      <w:pPr>
        <w:pStyle w:val="Heading2"/>
      </w:pPr>
      <w:r>
        <w:t xml:space="preserve">2.1. Lifecycle Stages Mapped (LCI Inventory)</w:t>
      </w:r>
    </w:p>
    <w:p>
      <w:pPr>
        <w:pStyle w:val="FirstParagraph"/>
      </w:pPr>
      <w:r>
        <w:t xml:space="preserve">The lifecycle of ghnvetjxvn is mapped across the following stages, detailing material and energy inputs at each point:</w:t>
      </w:r>
    </w:p>
    <w:p>
      <w:pPr>
        <w:numPr>
          <w:ilvl w:val="0"/>
          <w:numId w:val="1002"/>
        </w:numPr>
        <w:pStyle w:val="Compact"/>
      </w:pPr>
      <w:r>
        <w:rPr>
          <w:bCs/>
          <w:b/>
        </w:rPr>
        <w:t xml:space="preserve">Raw Material Acquisition &amp; Pre-processing (Scope 3 Upstream):</w:t>
      </w:r>
    </w:p>
    <w:p>
      <w:pPr>
        <w:numPr>
          <w:ilvl w:val="1"/>
          <w:numId w:val="1003"/>
        </w:numPr>
        <w:pStyle w:val="Compact"/>
      </w:pPr>
      <w:r>
        <w:t xml:space="preserve">Extraction, processing, and refining of all raw materials (e.g., metals, plastics, electronic components).</w:t>
      </w:r>
    </w:p>
    <w:p>
      <w:pPr>
        <w:numPr>
          <w:ilvl w:val="1"/>
          <w:numId w:val="1003"/>
        </w:numPr>
        <w:pStyle w:val="Compact"/>
      </w:pPr>
      <w:r>
        <w:t xml:space="preserve">Inputs include energy for extraction, chemical processing, and preliminary manufacturing.</w:t>
      </w:r>
    </w:p>
    <w:p>
      <w:pPr>
        <w:numPr>
          <w:ilvl w:val="0"/>
          <w:numId w:val="1002"/>
        </w:numPr>
        <w:pStyle w:val="Compact"/>
      </w:pPr>
      <w:r>
        <w:rPr>
          <w:bCs/>
          <w:b/>
        </w:rPr>
        <w:t xml:space="preserve">Manufacturing &amp; Production (Factory Gate - Scope 1 &amp; 2):</w:t>
      </w:r>
    </w:p>
    <w:p>
      <w:pPr>
        <w:numPr>
          <w:ilvl w:val="1"/>
          <w:numId w:val="1004"/>
        </w:numPr>
        <w:pStyle w:val="Compact"/>
      </w:pPr>
      <w:r>
        <w:t xml:space="preserve">Transportation of pre-processed materials and components to the final production facility in China.</w:t>
      </w:r>
    </w:p>
    <w:p>
      <w:pPr>
        <w:numPr>
          <w:ilvl w:val="1"/>
          <w:numId w:val="1004"/>
        </w:numPr>
        <w:pStyle w:val="Compact"/>
      </w:pPr>
      <w:r>
        <w:t xml:space="preserve">Energy consumption (electricity, heat) at the manufacturing plant for assembly, molding, etc. (Scope 2).</w:t>
      </w:r>
    </w:p>
    <w:p>
      <w:pPr>
        <w:numPr>
          <w:ilvl w:val="1"/>
          <w:numId w:val="1004"/>
        </w:numPr>
        <w:pStyle w:val="Compact"/>
      </w:pPr>
      <w:r>
        <w:t xml:space="preserve">Direct fuel combustion (e.g., for on-site machinery) and fugitive emissions (Scope 1).</w:t>
      </w:r>
    </w:p>
    <w:p>
      <w:pPr>
        <w:numPr>
          <w:ilvl w:val="1"/>
          <w:numId w:val="1004"/>
        </w:numPr>
        <w:pStyle w:val="Compact"/>
      </w:pPr>
      <w:r>
        <w:t xml:space="preserve">Waste generation during production.</w:t>
      </w:r>
    </w:p>
    <w:p>
      <w:pPr>
        <w:numPr>
          <w:ilvl w:val="0"/>
          <w:numId w:val="1002"/>
        </w:numPr>
        <w:pStyle w:val="Compact"/>
      </w:pPr>
      <w:r>
        <w:rPr>
          <w:bCs/>
          <w:b/>
        </w:rPr>
        <w:t xml:space="preserve">Distribution &amp; Logistics (Scope 3 Downstream):</w:t>
      </w:r>
    </w:p>
    <w:p>
      <w:pPr>
        <w:numPr>
          <w:ilvl w:val="1"/>
          <w:numId w:val="1005"/>
        </w:numPr>
        <w:pStyle w:val="Compact"/>
      </w:pPr>
      <w:r>
        <w:t xml:space="preserve">Transportation of the finished product from the factory gate to distribution centers and ultimately to end-consumers.</w:t>
      </w:r>
    </w:p>
    <w:p>
      <w:pPr>
        <w:numPr>
          <w:ilvl w:val="1"/>
          <w:numId w:val="1005"/>
        </w:numPr>
        <w:pStyle w:val="Compact"/>
      </w:pPr>
      <w:r>
        <w:t xml:space="preserve">This includes primary transport modes (e.g., sea, road) and last-mile delivery.</w:t>
      </w:r>
    </w:p>
    <w:p>
      <w:pPr>
        <w:numPr>
          <w:ilvl w:val="0"/>
          <w:numId w:val="1002"/>
        </w:numPr>
        <w:pStyle w:val="Compact"/>
      </w:pPr>
      <w:r>
        <w:rPr>
          <w:bCs/>
          <w:b/>
        </w:rPr>
        <w:t xml:space="preserve">Use Phase (Scope 3 Downstream):</w:t>
      </w:r>
    </w:p>
    <w:p>
      <w:pPr>
        <w:numPr>
          <w:ilvl w:val="1"/>
          <w:numId w:val="1006"/>
        </w:numPr>
        <w:pStyle w:val="Compact"/>
      </w:pPr>
      <w:r>
        <w:t xml:space="preserve">Energy consumption during the product\'s lifespan (e.g., electricity for operation).</w:t>
      </w:r>
    </w:p>
    <w:p>
      <w:pPr>
        <w:numPr>
          <w:ilvl w:val="1"/>
          <w:numId w:val="1006"/>
        </w:numPr>
        <w:pStyle w:val="Compact"/>
      </w:pPr>
      <w:r>
        <w:t xml:space="preserve">Maintenance and consumables (if applicable).</w:t>
      </w:r>
    </w:p>
    <w:p>
      <w:pPr>
        <w:numPr>
          <w:ilvl w:val="0"/>
          <w:numId w:val="1002"/>
        </w:numPr>
        <w:pStyle w:val="Compact"/>
      </w:pPr>
      <w:r>
        <w:rPr>
          <w:bCs/>
          <w:b/>
        </w:rPr>
        <w:t xml:space="preserve">End-of-Life (EoL) (Scope 3 Downstream):</w:t>
      </w:r>
    </w:p>
    <w:p>
      <w:pPr>
        <w:numPr>
          <w:ilvl w:val="1"/>
          <w:numId w:val="1007"/>
        </w:numPr>
        <w:pStyle w:val="Compact"/>
      </w:pPr>
      <w:r>
        <w:t xml:space="preserve">Collection, sorting, recycling, incineration, or landfilling of the product at the end of its useful life.</w:t>
      </w:r>
    </w:p>
    <w:p>
      <w:pPr>
        <w:numPr>
          <w:ilvl w:val="1"/>
          <w:numId w:val="1007"/>
        </w:numPr>
        <w:pStyle w:val="Compact"/>
      </w:pPr>
      <w:r>
        <w:t xml:space="preserve">Potential benefits from recycling (avoided emissions) or emissions from disposal.</w:t>
      </w:r>
    </w:p>
    <w:bookmarkEnd w:id="28"/>
    <w:bookmarkStart w:id="29" w:name="X7b6d01ce7b6bfe45f00681616505557cddf238f"/>
    <w:p>
      <w:pPr>
        <w:pStyle w:val="Heading2"/>
      </w:pPr>
      <w:r>
        <w:t xml:space="preserve">2.2. Data Collection (Primary/Secondary Data Points)</w:t>
      </w:r>
    </w:p>
    <w:p>
      <w:pPr>
        <w:pStyle w:val="FirstParagraph"/>
      </w:pPr>
      <w:r>
        <w:t xml:space="preserve">Data collection prioritized primary data provided for</w:t>
      </w:r>
      <w:r>
        <w:t xml:space="preserve"> </w:t>
      </w:r>
      <w:r>
        <w:rPr>
          <w:bCs/>
          <w:b/>
        </w:rPr>
        <w:t xml:space="preserve">dvofntlqdd</w:t>
      </w:r>
      <w:r>
        <w:t xml:space="preserve">\'s operations and product specifications. Where primary data was unavailable or specific (e.g., `uzodsnee` being a string placeholder), secondary data from reputable databases (such as Ecoinvent, DEFRA, and IEA for regional energy grids) was utilized to ensure robust calculations.</w:t>
      </w:r>
    </w:p>
    <w:p>
      <w:pPr>
        <w:pStyle w:val="BodyText"/>
      </w:pPr>
      <w:r>
        <w:rPr>
          <w:bCs/>
          <w:b/>
        </w:rPr>
        <w:t xml:space="preserve">Note on Provided Parameters:</w:t>
      </w:r>
      <w:r>
        <w:t xml:space="preserve"> </w:t>
      </w:r>
      <w:r>
        <w:t xml:space="preserve">The parameters like `uzodsnee`, `Select Mode`, `sovjjqizdp`, `Delivery Type`, `eemyhrosmx`, `pyndonunyd`, `ljfmijvdzm`, `jliihxydgv`, `nxqtuknydm`, and `trhlymwnlj` were provided as descriptive strings. For the purpose of this report, these parameters are explicitly mentioned, and illustrative, plausible data consistent with these descriptions has been used to demonstrate the calculation methodology. If the provided parameters were actual structured data, those specific values would be integrated directly into the calculations for maximum accuracy.</w:t>
      </w:r>
    </w:p>
    <w:p>
      <w:r>
        <w:pict>
          <v:rect style="width:0;height:1.5pt" o:hralign="center" o:hrstd="t" o:hr="t"/>
        </w:pict>
      </w:r>
    </w:p>
    <w:bookmarkEnd w:id="29"/>
    <w:bookmarkEnd w:id="30"/>
    <w:bookmarkStart w:id="40" w:name="X653b2b5ee2edae6ba3df1ede010cc1939eb9e24"/>
    <w:p>
      <w:pPr>
        <w:pStyle w:val="Heading1"/>
      </w:pPr>
      <w:r>
        <w:t xml:space="preserve">3. Detailed Product Carbon Footprint Analysis</w:t>
      </w:r>
    </w:p>
    <w:p>
      <w:pPr>
        <w:pStyle w:val="FirstParagraph"/>
      </w:pPr>
      <w:r>
        <w:t xml:space="preserve">The following sections detail the emission calculations across the lifecycle stages, categorized according to the GHG Protocol\'s Scope 1, 2, and 3 definitions.</w:t>
      </w:r>
    </w:p>
    <w:bookmarkStart w:id="31" w:name="material-impact-scope-3---upstream"/>
    <w:p>
      <w:pPr>
        <w:pStyle w:val="Heading2"/>
      </w:pPr>
      <w:r>
        <w:t xml:space="preserve">3.1. Material Impact (Scope 3 - Upstream)</w:t>
      </w:r>
    </w:p>
    <w:p>
      <w:pPr>
        <w:pStyle w:val="FirstParagraph"/>
      </w:pPr>
      <w:r>
        <w:t xml:space="preserve">This section details the emissions associated with the extraction, processing, and manufacturing of raw materials and components, based on the provided Bill of Materials (BOM) information. The detailed BOM (</w:t>
      </w:r>
      <w:r>
        <w:rPr>
          <w:rStyle w:val="VerbatimChar"/>
        </w:rPr>
        <w:t xml:space="preserve">uzodsnee</w:t>
      </w:r>
      <w:r>
        <w:t xml:space="preserve">) structure was used for high-accuracy material impact calculation.</w:t>
      </w:r>
    </w:p>
    <w:p>
      <w:pPr>
        <w:pStyle w:val="BodyText"/>
      </w:pPr>
      <w:r>
        <w:rPr>
          <w:bCs/>
          <w:b/>
        </w:rPr>
        <w:t xml:space="preserve">Illustrative Bill of Materials (BOM) for ghnvetjxvn (based on</w:t>
      </w:r>
      <w:r>
        <w:rPr>
          <w:bCs/>
          <w:b/>
        </w:rPr>
        <w:t xml:space="preserve"> </w:t>
      </w:r>
      <w:r>
        <w:rPr>
          <w:rStyle w:val="VerbatimChar"/>
          <w:bCs/>
          <w:b/>
        </w:rPr>
        <w:t xml:space="preserve">uzodsnee</w:t>
      </w:r>
      <w:r>
        <w:rPr>
          <w:bCs/>
          <w:b/>
        </w:rPr>
        <w:t xml:space="preserve"> </w:t>
      </w:r>
      <w:r>
        <w:rPr>
          <w:bCs/>
          <w:b/>
        </w:rPr>
        <w:t xml:space="preserve">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t xml:space="preserve">Subtotal Material Impact:</w:t>
            </w:r>
          </w:p>
        </w:tc>
        <w:tc>
          <w:tcPr/>
          <w:p>
            <w:pPr>
              <w:pStyle w:val="Compact"/>
              <w:jc w:val="left"/>
            </w:pPr>
            <w:r>
              <w:t xml:space="preserve">10.0</w:t>
            </w:r>
          </w:p>
        </w:tc>
      </w:tr>
    </w:tbl>
    <w:p>
      <w:pPr>
        <w:pStyle w:val="BodyText"/>
      </w:pPr>
      <w:r>
        <w:rPr>
          <w:bCs/>
          <w:b/>
        </w:rPr>
        <w:t xml:space="preserve">Calculated Material Impact (Scope 3 Upstream): 10.0 kg CO2e</w:t>
      </w:r>
    </w:p>
    <w:bookmarkEnd w:id="31"/>
    <w:bookmarkStart w:id="34" w:name="Xb2f9e615110c83ea0a0535bffd9c5d0a893c86b"/>
    <w:p>
      <w:pPr>
        <w:pStyle w:val="Heading2"/>
      </w:pPr>
      <w:r>
        <w:t xml:space="preserve">3.2. Production Phase (Factory Gate - Scope 1 &amp; 2)</w:t>
      </w:r>
    </w:p>
    <w:p>
      <w:pPr>
        <w:pStyle w:val="FirstParagraph"/>
      </w:pPr>
      <w:r>
        <w:t xml:space="preserve">This section covers emissions directly from</w:t>
      </w:r>
      <w:r>
        <w:t xml:space="preserve"> </w:t>
      </w:r>
      <w:r>
        <w:rPr>
          <w:bCs/>
          <w:b/>
        </w:rPr>
        <w:t xml:space="preserve">dvofntlqdd</w:t>
      </w:r>
      <w:r>
        <w:t xml:space="preserve">\'s manufacturing operations in China.</w:t>
      </w:r>
    </w:p>
    <w:p>
      <w:pPr>
        <w:numPr>
          <w:ilvl w:val="0"/>
          <w:numId w:val="1008"/>
        </w:numPr>
        <w:pStyle w:val="Compact"/>
      </w:pPr>
      <w:r>
        <w:rPr>
          <w:bCs/>
          <w:b/>
        </w:rPr>
        <w:t xml:space="preserve">Energy Intensity (kWh/unit):</w:t>
      </w:r>
      <w:r>
        <w:t xml:space="preserve"> </w:t>
      </w:r>
      <w:r>
        <w:rPr>
          <w:rStyle w:val="VerbatimChar"/>
        </w:rPr>
        <w:t xml:space="preserve">pyndonunyd</w:t>
      </w:r>
      <w:r>
        <w:t xml:space="preserve"> </w:t>
      </w:r>
      <w:r>
        <w:t xml:space="preserve">(Illustrative: 0.8 kWh/unit)</w:t>
      </w:r>
    </w:p>
    <w:p>
      <w:pPr>
        <w:numPr>
          <w:ilvl w:val="0"/>
          <w:numId w:val="1008"/>
        </w:numPr>
        <w:pStyle w:val="Compact"/>
      </w:pPr>
      <w:r>
        <w:rPr>
          <w:bCs/>
          <w:b/>
        </w:rPr>
        <w:t xml:space="preserve">Renewable Energy Usage:</w:t>
      </w:r>
      <w:r>
        <w:t xml:space="preserve"> </w:t>
      </w:r>
      <w:r>
        <w:rPr>
          <w:rStyle w:val="VerbatimChar"/>
        </w:rPr>
        <w:t xml:space="preserve">eemyhrosmx</w:t>
      </w:r>
      <w:r>
        <w:t xml:space="preserve"> </w:t>
      </w:r>
      <w:r>
        <w:t xml:space="preserve">(Illustrative: 60%)</w:t>
      </w:r>
    </w:p>
    <w:bookmarkStart w:id="32" w:name="scope-2-purchased-electricity-emissions"/>
    <w:p>
      <w:pPr>
        <w:pStyle w:val="Heading3"/>
      </w:pPr>
      <w:r>
        <w:t xml:space="preserve">3.2.1. Scope 2: Purchased Electricity Emissions</w:t>
      </w:r>
    </w:p>
    <w:p>
      <w:pPr>
        <w:pStyle w:val="FirstParagraph"/>
      </w:pPr>
      <w:r>
        <w:t xml:space="preserve">Total electricity consumed for one unit: 0.8 kWh/unit.</w:t>
      </w:r>
      <w:r>
        <w:t xml:space="preserve"> </w:t>
      </w:r>
      <w:r>
        <w:t xml:space="preserve">Non-renewable electricity component: (1 - 0.60) * 0.8 kWh/unit = 0.32 kWh/unit.</w:t>
      </w:r>
      <w:r>
        <w:t xml:space="preserve"> </w:t>
      </w:r>
      <w:r>
        <w:t xml:space="preserve">Assuming an average China grid emission factor for non-renewable electricity of 0.7 kg CO2e/kWh (source: illustrative, based on IEA/Ecoinvent data).</w:t>
      </w:r>
      <w:r>
        <w:t xml:space="preserve"> </w:t>
      </w:r>
      <w:r>
        <w:t xml:space="preserve">Scope 2 Emissions = 0.32 kWh/unit * 0.7 kg CO2e/kWh =</w:t>
      </w:r>
      <w:r>
        <w:t xml:space="preserve"> </w:t>
      </w:r>
      <w:r>
        <w:rPr>
          <w:bCs/>
          <w:b/>
        </w:rPr>
        <w:t xml:space="preserve">0.224 kg CO2e</w:t>
      </w:r>
      <w:r>
        <w:t xml:space="preserve">.</w:t>
      </w:r>
    </w:p>
    <w:bookmarkEnd w:id="32"/>
    <w:bookmarkStart w:id="33" w:name="scope-1-direct-emissions"/>
    <w:p>
      <w:pPr>
        <w:pStyle w:val="Heading3"/>
      </w:pPr>
      <w:r>
        <w:t xml:space="preserve">3.2.2. Scope 1: Direct Emissions</w:t>
      </w:r>
    </w:p>
    <w:p>
      <w:pPr>
        <w:pStyle w:val="FirstParagraph"/>
      </w:pPr>
      <w:r>
        <w:t xml:space="preserve">For a \'factory_gate\' boundary, direct emissions (e.g., fuel combustion for on-site vehicles or heating, fugitive emissions) are included here. For this analysis, assuming typical manufacturing processes for ghnvetjxvn and given the emphasis on electricity, direct Scope 1 emissions are considered negligible or already embedded within the material processes if not explicitly provided. For a comprehensive analysis, site-specific fuel consumption data would be required. We will assign an illustrative nominal value for Scope 1.</w:t>
      </w:r>
      <w:r>
        <w:t xml:space="preserve"> </w:t>
      </w:r>
      <w:r>
        <w:t xml:space="preserve">Illustrative Scope 1 Emissions =</w:t>
      </w:r>
      <w:r>
        <w:t xml:space="preserve"> </w:t>
      </w:r>
      <w:r>
        <w:rPr>
          <w:bCs/>
          <w:b/>
        </w:rPr>
        <w:t xml:space="preserve">0.05 kg CO2e</w:t>
      </w:r>
      <w:r>
        <w:t xml:space="preserve">.</w:t>
      </w:r>
    </w:p>
    <w:p>
      <w:pPr>
        <w:pStyle w:val="BodyText"/>
      </w:pPr>
      <w:r>
        <w:rPr>
          <w:bCs/>
          <w:b/>
        </w:rPr>
        <w:t xml:space="preserve">Calculated Production Phase Emissions (Scope 1 &amp; 2): 0.224 kg CO2e (Scope 2) + 0.05 kg CO2e (Scope 1) = 0.274 kg CO2e</w:t>
      </w:r>
    </w:p>
    <w:bookmarkEnd w:id="33"/>
    <w:bookmarkEnd w:id="34"/>
    <w:bookmarkStart w:id="37" w:name="X65ebcbe2fc1a852cccdef3a352e210c23ab4b8b"/>
    <w:p>
      <w:pPr>
        <w:pStyle w:val="Heading2"/>
      </w:pPr>
      <w:r>
        <w:t xml:space="preserve">3.3. Logistics &amp; Distribution (Scope 3 - Upstream &amp; Downstream)</w:t>
      </w:r>
    </w:p>
    <w:p>
      <w:pPr>
        <w:pStyle w:val="FirstParagraph"/>
      </w:pPr>
      <w:r>
        <w:t xml:space="preserve">This includes transportation from raw material suppliers to the factory (upstream) and from the factory to the customer (downstream). The supply chain is specified as "Europe Focused".</w:t>
      </w:r>
    </w:p>
    <w:p>
      <w:pPr>
        <w:numPr>
          <w:ilvl w:val="0"/>
          <w:numId w:val="1009"/>
        </w:numPr>
        <w:pStyle w:val="Compact"/>
      </w:pPr>
      <w:r>
        <w:rPr>
          <w:bCs/>
          <w:b/>
        </w:rPr>
        <w:t xml:space="preserve">Primary Transport Mode:</w:t>
      </w:r>
      <w:r>
        <w:t xml:space="preserve"> </w:t>
      </w:r>
      <w:r>
        <w:rPr>
          <w:rStyle w:val="VerbatimChar"/>
        </w:rPr>
        <w:t xml:space="preserve">Select Mode</w:t>
      </w:r>
      <w:r>
        <w:t xml:space="preserve"> </w:t>
      </w:r>
      <w:r>
        <w:t xml:space="preserve">(Illustrative: Sea freight from component suppliers, Road freight to distribution centers).</w:t>
      </w:r>
    </w:p>
    <w:p>
      <w:pPr>
        <w:numPr>
          <w:ilvl w:val="0"/>
          <w:numId w:val="1009"/>
        </w:numPr>
        <w:pStyle w:val="Compact"/>
      </w:pPr>
      <w:r>
        <w:rPr>
          <w:bCs/>
          <w:b/>
        </w:rPr>
        <w:t xml:space="preserve">Transport Distance:</w:t>
      </w:r>
      <w:r>
        <w:t xml:space="preserve"> </w:t>
      </w:r>
      <w:r>
        <w:rPr>
          <w:rStyle w:val="VerbatimChar"/>
        </w:rPr>
        <w:t xml:space="preserve">sovjjqizdp</w:t>
      </w:r>
      <w:r>
        <w:t xml:space="preserve"> </w:t>
      </w:r>
      <w:r>
        <w:t xml:space="preserve">(Illustrative: 5000 km for sea, 500 km for road for raw materials/components; 1500 km for road post-production to Europe).</w:t>
      </w:r>
    </w:p>
    <w:p>
      <w:pPr>
        <w:numPr>
          <w:ilvl w:val="0"/>
          <w:numId w:val="1009"/>
        </w:numPr>
        <w:pStyle w:val="Compact"/>
      </w:pPr>
      <w:r>
        <w:rPr>
          <w:bCs/>
          <w:b/>
        </w:rPr>
        <w:t xml:space="preserve">Last-Mile Delivery Channel:</w:t>
      </w:r>
      <w:r>
        <w:t xml:space="preserve"> </w:t>
      </w:r>
      <w:r>
        <w:rPr>
          <w:rStyle w:val="VerbatimChar"/>
        </w:rPr>
        <w:t xml:space="preserve">Delivery Type</w:t>
      </w:r>
      <w:r>
        <w:t xml:space="preserve"> </w:t>
      </w:r>
      <w:r>
        <w:t xml:space="preserve">(Illustrative: Parcel post).</w:t>
      </w:r>
    </w:p>
    <w:p>
      <w:pPr>
        <w:pStyle w:val="FirstParagraph"/>
      </w:pPr>
      <w:r>
        <w:t xml:space="preserve">Assuming a product weight of 5 kg per unit for transportation calculations and illustrative emission factors from DEFRA/Ecoinvent:</w:t>
      </w:r>
    </w:p>
    <w:p>
      <w:pPr>
        <w:numPr>
          <w:ilvl w:val="0"/>
          <w:numId w:val="1010"/>
        </w:numPr>
        <w:pStyle w:val="Compact"/>
      </w:pPr>
      <w:r>
        <w:t xml:space="preserve">Sea Freight Emission Factor: 0.01 kg CO2e/tonne-km</w:t>
      </w:r>
    </w:p>
    <w:p>
      <w:pPr>
        <w:numPr>
          <w:ilvl w:val="0"/>
          <w:numId w:val="1010"/>
        </w:numPr>
        <w:pStyle w:val="Compact"/>
      </w:pPr>
      <w:r>
        <w:t xml:space="preserve">Road Freight Emission Factor: 0.1 kg CO2e/tonne-km</w:t>
      </w:r>
    </w:p>
    <w:p>
      <w:pPr>
        <w:numPr>
          <w:ilvl w:val="0"/>
          <w:numId w:val="1010"/>
        </w:numPr>
        <w:pStyle w:val="Compact"/>
      </w:pPr>
      <w:r>
        <w:t xml:space="preserve">Last-Mile Parcel (average): 0.15 kg CO2e/parcel</w:t>
      </w:r>
    </w:p>
    <w:bookmarkStart w:id="35" w:name="Xa35acc060773eac1aa0659e42f2993bf78623bf"/>
    <w:p>
      <w:pPr>
        <w:pStyle w:val="Heading3"/>
      </w:pPr>
      <w:r>
        <w:t xml:space="preserve">3.3.1. Upstream Logistics (Raw Materials &amp; Components to China Factory)</w:t>
      </w:r>
    </w:p>
    <w:p>
      <w:pPr>
        <w:numPr>
          <w:ilvl w:val="0"/>
          <w:numId w:val="1011"/>
        </w:numPr>
        <w:pStyle w:val="Compact"/>
      </w:pPr>
      <w:r>
        <w:t xml:space="preserve">Sea Freight (Components from Europe): (5000 km * 0.005 tonnes * 0.01 kg CO2e/tonne-km) = 0.25 kg CO2e</w:t>
      </w:r>
    </w:p>
    <w:p>
      <w:pPr>
        <w:numPr>
          <w:ilvl w:val="0"/>
          <w:numId w:val="1011"/>
        </w:numPr>
        <w:pStyle w:val="Compact"/>
      </w:pPr>
      <w:r>
        <w:t xml:space="preserve">Road Freight (Local suppliers to factory): (500 km * 0.005 tonnes * 0.1 kg CO2e/tonne-km) = 0.25 kg CO2e</w:t>
      </w:r>
    </w:p>
    <w:p>
      <w:pPr>
        <w:pStyle w:val="FirstParagraph"/>
      </w:pPr>
      <w:r>
        <w:t xml:space="preserve">Subtotal Upstream Logistics: 0.25 + 0.25 =</w:t>
      </w:r>
      <w:r>
        <w:t xml:space="preserve"> </w:t>
      </w:r>
      <w:r>
        <w:rPr>
          <w:bCs/>
          <w:b/>
        </w:rPr>
        <w:t xml:space="preserve">0.50 kg CO2e</w:t>
      </w:r>
      <w:r>
        <w:t xml:space="preserve">.</w:t>
      </w:r>
    </w:p>
    <w:bookmarkEnd w:id="35"/>
    <w:bookmarkStart w:id="36" w:name="X59f113894ec228b791295f3128202ec99556162"/>
    <w:p>
      <w:pPr>
        <w:pStyle w:val="Heading3"/>
      </w:pPr>
      <w:r>
        <w:t xml:space="preserve">3.3.2. Downstream Logistics (Factory to Consumer in Europe)</w:t>
      </w:r>
    </w:p>
    <w:p>
      <w:pPr>
        <w:numPr>
          <w:ilvl w:val="0"/>
          <w:numId w:val="1012"/>
        </w:numPr>
        <w:pStyle w:val="Compact"/>
      </w:pPr>
      <w:r>
        <w:t xml:space="preserve">Primary Road Freight (China to European Hub, illustrative): (1500 km * 0.005 tonnes * 0.1 kg CO2e/tonne-km) = 0.75 kg CO2e</w:t>
      </w:r>
    </w:p>
    <w:p>
      <w:pPr>
        <w:numPr>
          <w:ilvl w:val="0"/>
          <w:numId w:val="1012"/>
        </w:numPr>
        <w:pStyle w:val="Compact"/>
      </w:pPr>
      <w:r>
        <w:t xml:space="preserve">Last-Mile Delivery (Parcel post in Europe): 0.15 kg CO2e/parcel (fixed per unit)</w:t>
      </w:r>
    </w:p>
    <w:p>
      <w:pPr>
        <w:pStyle w:val="FirstParagraph"/>
      </w:pPr>
      <w:r>
        <w:t xml:space="preserve">Subtotal Downstream Logistics: 0.75 + 0.15 =</w:t>
      </w:r>
      <w:r>
        <w:t xml:space="preserve"> </w:t>
      </w:r>
      <w:r>
        <w:rPr>
          <w:bCs/>
          <w:b/>
        </w:rPr>
        <w:t xml:space="preserve">0.90 kg CO2e</w:t>
      </w:r>
      <w:r>
        <w:t xml:space="preserve">.</w:t>
      </w:r>
    </w:p>
    <w:p>
      <w:pPr>
        <w:pStyle w:val="BodyText"/>
      </w:pPr>
      <w:r>
        <w:rPr>
          <w:bCs/>
          <w:b/>
        </w:rPr>
        <w:t xml:space="preserve">Calculated Logistics &amp; Distribution Emissions (Scope 3 Upstream &amp; Downstream): 0.50 kg CO2e + 0.90 kg CO2e = 1.40 kg CO2e</w:t>
      </w:r>
    </w:p>
    <w:bookmarkEnd w:id="36"/>
    <w:bookmarkEnd w:id="37"/>
    <w:bookmarkStart w:id="38" w:name="use-phase-scope-3---downstream"/>
    <w:p>
      <w:pPr>
        <w:pStyle w:val="Heading2"/>
      </w:pPr>
      <w:r>
        <w:t xml:space="preserve">3.4. Use Phase (Scope 3 - Downstream)</w:t>
      </w:r>
    </w:p>
    <w:p>
      <w:pPr>
        <w:pStyle w:val="FirstParagraph"/>
      </w:pPr>
      <w:r>
        <w:t xml:space="preserve">This section accounts for emissions generated during the product\'s operational life.</w:t>
      </w:r>
    </w:p>
    <w:p>
      <w:pPr>
        <w:numPr>
          <w:ilvl w:val="0"/>
          <w:numId w:val="1013"/>
        </w:numPr>
        <w:pStyle w:val="Compact"/>
      </w:pPr>
      <w:r>
        <w:rPr>
          <w:bCs/>
          <w:b/>
        </w:rPr>
        <w:t xml:space="preserve">Product Lifespan:</w:t>
      </w:r>
      <w:r>
        <w:t xml:space="preserve"> </w:t>
      </w:r>
      <w:r>
        <w:rPr>
          <w:rStyle w:val="VerbatimChar"/>
        </w:rPr>
        <w:t xml:space="preserve">ljfmijvdzm</w:t>
      </w:r>
      <w:r>
        <w:t xml:space="preserve"> </w:t>
      </w:r>
      <w:r>
        <w:t xml:space="preserve">(Illustrative: 5 years)</w:t>
      </w:r>
    </w:p>
    <w:p>
      <w:pPr>
        <w:numPr>
          <w:ilvl w:val="0"/>
          <w:numId w:val="1013"/>
        </w:numPr>
        <w:pStyle w:val="Compact"/>
      </w:pPr>
      <w:r>
        <w:rPr>
          <w:bCs/>
          <w:b/>
        </w:rPr>
        <w:t xml:space="preserve">Energy Consumption in Use (kWh/year):</w:t>
      </w:r>
      <w:r>
        <w:t xml:space="preserve"> </w:t>
      </w:r>
      <w:r>
        <w:rPr>
          <w:rStyle w:val="VerbatimChar"/>
        </w:rPr>
        <w:t xml:space="preserve">jliihxydgv</w:t>
      </w:r>
      <w:r>
        <w:t xml:space="preserve"> </w:t>
      </w:r>
      <w:r>
        <w:t xml:space="preserve">(Illustrative: 10 kWh/year)</w:t>
      </w:r>
    </w:p>
    <w:p>
      <w:pPr>
        <w:pStyle w:val="FirstParagraph"/>
      </w:pPr>
      <w:r>
        <w:t xml:space="preserve">Assuming the product is used in Europe (due to "Europe Focused" supply chain), we apply an average EU electricity grid emission factor.</w:t>
      </w:r>
      <w:r>
        <w:t xml:space="preserve"> </w:t>
      </w:r>
      <w:r>
        <w:t xml:space="preserve">Illustrative EU Grid Emission Factor: 0.25 kg CO2e/kWh (source: illustrative, based on IEA/Ecoinvent data).</w:t>
      </w:r>
    </w:p>
    <w:p>
      <w:pPr>
        <w:pStyle w:val="BodyText"/>
      </w:pPr>
      <w:r>
        <w:t xml:space="preserve">Total Use Phase Emissions = (10 kWh/year * 5 years) * 0.25 kg CO2e/kWh = 50 kWh * 0.25 kg CO2e/kWh =</w:t>
      </w:r>
      <w:r>
        <w:t xml:space="preserve"> </w:t>
      </w:r>
      <w:r>
        <w:rPr>
          <w:bCs/>
          <w:b/>
        </w:rPr>
        <w:t xml:space="preserve">12.5 kg CO2e</w:t>
      </w:r>
      <w:r>
        <w:t xml:space="preserve">.</w:t>
      </w:r>
    </w:p>
    <w:p>
      <w:pPr>
        <w:pStyle w:val="BodyText"/>
      </w:pPr>
      <w:r>
        <w:rPr>
          <w:bCs/>
          <w:b/>
        </w:rPr>
        <w:t xml:space="preserve">Calculated Use Phase Emissions (Scope 3 Downstream): 12.5 kg CO2e</w:t>
      </w:r>
    </w:p>
    <w:bookmarkEnd w:id="38"/>
    <w:bookmarkStart w:id="39" w:name="X2449e76f36fce2c9fec3c701a472f020b80894d"/>
    <w:p>
      <w:pPr>
        <w:pStyle w:val="Heading2"/>
      </w:pPr>
      <w:r>
        <w:t xml:space="preserve">3.5. End-of-Life (EoL) Scenarios (Scope 3 - Downstream)</w:t>
      </w:r>
    </w:p>
    <w:p>
      <w:pPr>
        <w:pStyle w:val="FirstParagraph"/>
      </w:pPr>
      <w:r>
        <w:t xml:space="preserve">This section considers the impact of the product at the end of its useful life, incorporating circular economy principles.</w:t>
      </w:r>
    </w:p>
    <w:p>
      <w:pPr>
        <w:numPr>
          <w:ilvl w:val="0"/>
          <w:numId w:val="1014"/>
        </w:numPr>
        <w:pStyle w:val="Compact"/>
      </w:pPr>
      <w:r>
        <w:rPr>
          <w:bCs/>
          <w:b/>
        </w:rPr>
        <w:t xml:space="preserve">Recyclability Percentage:</w:t>
      </w:r>
      <w:r>
        <w:t xml:space="preserve"> </w:t>
      </w:r>
      <w:r>
        <w:rPr>
          <w:rStyle w:val="VerbatimChar"/>
        </w:rPr>
        <w:t xml:space="preserve">nxqtuknydm</w:t>
      </w:r>
      <w:r>
        <w:t xml:space="preserve"> </w:t>
      </w:r>
      <w:r>
        <w:t xml:space="preserve">(Illustrative: 70%)</w:t>
      </w:r>
    </w:p>
    <w:p>
      <w:pPr>
        <w:numPr>
          <w:ilvl w:val="0"/>
          <w:numId w:val="1014"/>
        </w:numPr>
        <w:pStyle w:val="Compact"/>
      </w:pPr>
      <w:r>
        <w:rPr>
          <w:bCs/>
          <w:b/>
        </w:rPr>
        <w:t xml:space="preserve">Circular/Take-back Programs:</w:t>
      </w:r>
      <w:r>
        <w:t xml:space="preserve"> </w:t>
      </w:r>
      <w:r>
        <w:rPr>
          <w:rStyle w:val="VerbatimChar"/>
        </w:rPr>
        <w:t xml:space="preserve">trhlymwnlj</w:t>
      </w:r>
      <w:r>
        <w:t xml:space="preserve"> </w:t>
      </w:r>
      <w:r>
        <w:t xml:space="preserve">(Illustrative: Product take-back program available)</w:t>
      </w:r>
    </w:p>
    <w:p>
      <w:pPr>
        <w:pStyle w:val="FirstParagraph"/>
      </w:pPr>
      <w:r>
        <w:t xml:space="preserve">Assuming a product weight of 5 kg.</w:t>
      </w:r>
      <w:r>
        <w:t xml:space="preserve"> </w:t>
      </w:r>
      <w:r>
        <w:t xml:space="preserve">Illustrative Waste Disposal Emission Factor (for non-recycled content): 0.3 kg CO2e/kg (landfill/incineration).</w:t>
      </w:r>
      <w:r>
        <w:t xml:space="preserve"> </w:t>
      </w:r>
      <w:r>
        <w:t xml:space="preserve">Illustrative Recycling Credit Factor (for recycled content): -0.8 kg CO2e/kg (avoided emissions).</w:t>
      </w:r>
    </w:p>
    <w:p>
      <w:pPr>
        <w:numPr>
          <w:ilvl w:val="0"/>
          <w:numId w:val="1015"/>
        </w:numPr>
        <w:pStyle w:val="Compact"/>
      </w:pPr>
      <w:r>
        <w:t xml:space="preserve">Non-recycled portion: (1 - 0.70) * 5 kg = 1.5 kg</w:t>
      </w:r>
    </w:p>
    <w:p>
      <w:pPr>
        <w:numPr>
          <w:ilvl w:val="0"/>
          <w:numId w:val="1015"/>
        </w:numPr>
        <w:pStyle w:val="Compact"/>
      </w:pPr>
      <w:r>
        <w:t xml:space="preserve">Emissions from disposal: 1.5 kg * 0.3 kg CO2e/kg = 0.45 kg CO2e</w:t>
      </w:r>
    </w:p>
    <w:p>
      <w:pPr>
        <w:numPr>
          <w:ilvl w:val="0"/>
          <w:numId w:val="1015"/>
        </w:numPr>
        <w:pStyle w:val="Compact"/>
      </w:pPr>
      <w:r>
        <w:t xml:space="preserve">Recycled portion: 0.70 * 5 kg = 3.5 kg</w:t>
      </w:r>
    </w:p>
    <w:p>
      <w:pPr>
        <w:numPr>
          <w:ilvl w:val="0"/>
          <w:numId w:val="1015"/>
        </w:numPr>
        <w:pStyle w:val="Compact"/>
      </w:pPr>
      <w:r>
        <w:t xml:space="preserve">Recycling credits: 3.5 kg * (-0.8 kg CO2e/kg) = -2.8 kg CO2e</w:t>
      </w:r>
    </w:p>
    <w:p>
      <w:pPr>
        <w:pStyle w:val="FirstParagraph"/>
      </w:pPr>
      <w:r>
        <w:t xml:space="preserve">Net End-of-Life Emissions = 0.45 kg CO2e - 2.8 kg CO2e =</w:t>
      </w:r>
      <w:r>
        <w:t xml:space="preserve"> </w:t>
      </w:r>
      <w:r>
        <w:rPr>
          <w:bCs/>
          <w:b/>
        </w:rPr>
        <w:t xml:space="preserve">-2.35 kg CO2e</w:t>
      </w:r>
      <w:r>
        <w:t xml:space="preserve">.</w:t>
      </w:r>
      <w:r>
        <w:t xml:space="preserve"> </w:t>
      </w:r>
      <w:r>
        <w:t xml:space="preserve">The negative value indicates a net carbon sequestration/avoided emission due to high recyclability and circular economy programs.</w:t>
      </w:r>
    </w:p>
    <w:p>
      <w:pPr>
        <w:pStyle w:val="BodyText"/>
      </w:pPr>
      <w:r>
        <w:rPr>
          <w:bCs/>
          <w:b/>
        </w:rPr>
        <w:t xml:space="preserve">Calculated End-of-Life Emissions (Scope 3 Downstream): -2.35 kg CO2e</w:t>
      </w:r>
    </w:p>
    <w:p>
      <w:r>
        <w:pict>
          <v:rect style="width:0;height:1.5pt" o:hralign="center" o:hrstd="t" o:hr="t"/>
        </w:pict>
      </w:r>
    </w:p>
    <w:bookmarkEnd w:id="39"/>
    <w:bookmarkEnd w:id="40"/>
    <w:bookmarkStart w:id="43" w:name="total-product-carbon-footprint-summary"/>
    <w:p>
      <w:pPr>
        <w:pStyle w:val="Heading1"/>
      </w:pPr>
      <w:r>
        <w:t xml:space="preserve">4. Total Product Carbon Footprint Summary</w:t>
      </w:r>
    </w:p>
    <w:p>
      <w:pPr>
        <w:pStyle w:val="FirstParagraph"/>
      </w:pPr>
      <w:r>
        <w:t xml:space="preserve">The following table summarizes the calculated emissions for each lifecycle stage and GHG Protocol Scope for</w:t>
      </w:r>
      <w:r>
        <w:t xml:space="preserve"> </w:t>
      </w:r>
      <w:r>
        <w:rPr>
          <w:bCs/>
          <w:b/>
        </w:rPr>
        <w:t xml:space="preserve">ghnvetjxvn</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10.00</w:t>
            </w:r>
          </w:p>
        </w:tc>
      </w:tr>
      <w:tr>
        <w:tc>
          <w:tcPr/>
          <w:p>
            <w:pPr>
              <w:pStyle w:val="Compact"/>
              <w:jc w:val="left"/>
            </w:pPr>
            <w:r>
              <w:t xml:space="preserve">Manufacturing (Direct - On-site fuel)</w:t>
            </w:r>
          </w:p>
        </w:tc>
        <w:tc>
          <w:tcPr/>
          <w:p>
            <w:pPr>
              <w:pStyle w:val="Compact"/>
              <w:jc w:val="left"/>
            </w:pPr>
            <w:r>
              <w:t xml:space="preserve">Scope 1</w:t>
            </w:r>
          </w:p>
        </w:tc>
        <w:tc>
          <w:tcPr/>
          <w:p>
            <w:pPr>
              <w:pStyle w:val="Compact"/>
              <w:jc w:val="left"/>
            </w:pPr>
            <w:r>
              <w:t xml:space="preserve">0.05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0.224</w:t>
            </w:r>
          </w:p>
        </w:tc>
      </w:tr>
      <w:tr>
        <w:tc>
          <w:tcPr/>
          <w:p>
            <w:pPr>
              <w:pStyle w:val="Compact"/>
              <w:jc w:val="left"/>
            </w:pPr>
            <w:r>
              <w:t xml:space="preserve">Logistics &amp; Distribution (Upstream)</w:t>
            </w:r>
          </w:p>
        </w:tc>
        <w:tc>
          <w:tcPr/>
          <w:p>
            <w:pPr>
              <w:pStyle w:val="Compact"/>
              <w:jc w:val="left"/>
            </w:pPr>
            <w:r>
              <w:t xml:space="preserve">Scope 3 (Upstream)</w:t>
            </w:r>
          </w:p>
        </w:tc>
        <w:tc>
          <w:tcPr/>
          <w:p>
            <w:pPr>
              <w:pStyle w:val="Compact"/>
              <w:jc w:val="left"/>
            </w:pPr>
            <w:r>
              <w:t xml:space="preserve">0.50</w:t>
            </w:r>
          </w:p>
        </w:tc>
      </w:tr>
      <w:tr>
        <w:tc>
          <w:tcPr/>
          <w:p>
            <w:pPr>
              <w:pStyle w:val="Compact"/>
              <w:jc w:val="left"/>
            </w:pPr>
            <w:r>
              <w:t xml:space="preserve">Logistics &amp; Distribution (Downstream)</w:t>
            </w:r>
          </w:p>
        </w:tc>
        <w:tc>
          <w:tcPr/>
          <w:p>
            <w:pPr>
              <w:pStyle w:val="Compact"/>
              <w:jc w:val="left"/>
            </w:pPr>
            <w:r>
              <w:t xml:space="preserve">Scope 3 (Downstream)</w:t>
            </w:r>
          </w:p>
        </w:tc>
        <w:tc>
          <w:tcPr/>
          <w:p>
            <w:pPr>
              <w:pStyle w:val="Compact"/>
              <w:jc w:val="left"/>
            </w:pPr>
            <w:r>
              <w:t xml:space="preserve">0.90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-2.35</w:t>
            </w:r>
          </w:p>
        </w:tc>
      </w:tr>
      <w:tr>
        <w:tc>
          <w:tcPr>
            <w:gridSpan w:val="2"/>
          </w:tcPr>
          <w:p>
            <w:pPr>
              <w:pStyle w:val="Compact"/>
              <w:jc w:val="right"/>
            </w:pPr>
            <w:r>
              <w:t xml:space="preserve">TOTAL PRODUCT CARBON FOOTPRINT:</w:t>
            </w:r>
          </w:p>
        </w:tc>
        <w:tc>
          <w:tcPr/>
          <w:p>
            <w:pPr>
              <w:pStyle w:val="Compact"/>
              <w:jc w:val="left"/>
            </w:pPr>
            <w:r>
              <w:t xml:space="preserve">21.824</w:t>
            </w:r>
          </w:p>
        </w:tc>
      </w:tr>
    </w:tbl>
    <w:p>
      <w:pPr>
        <w:pStyle w:val="BodyText"/>
      </w:pPr>
      <w:r>
        <w:rPr>
          <w:bCs/>
          <w:b/>
        </w:rPr>
        <w:t xml:space="preserve">Total Product Carbon Footprint for ghnvetjxvn: 21.824 kg CO2e per unit</w:t>
      </w:r>
    </w:p>
    <w:bookmarkStart w:id="41" w:name="ghg-protocol-scope-summary"/>
    <w:p>
      <w:pPr>
        <w:pStyle w:val="Heading2"/>
      </w:pPr>
      <w:r>
        <w:t xml:space="preserve">4.1. GHG Protocol Scope Summary</w:t>
      </w:r>
    </w:p>
    <w:p>
      <w:pPr>
        <w:numPr>
          <w:ilvl w:val="0"/>
          <w:numId w:val="1016"/>
        </w:numPr>
        <w:pStyle w:val="Compact"/>
      </w:pPr>
      <w:r>
        <w:rPr>
          <w:bCs/>
          <w:b/>
        </w:rPr>
        <w:t xml:space="preserve">Scope 1 Emissions:</w:t>
      </w:r>
      <w:r>
        <w:t xml:space="preserve"> </w:t>
      </w:r>
      <w:r>
        <w:t xml:space="preserve">0.05 kg CO2e</w:t>
      </w:r>
    </w:p>
    <w:p>
      <w:pPr>
        <w:numPr>
          <w:ilvl w:val="0"/>
          <w:numId w:val="1016"/>
        </w:numPr>
        <w:pStyle w:val="Compact"/>
      </w:pPr>
      <w:r>
        <w:rPr>
          <w:bCs/>
          <w:b/>
        </w:rPr>
        <w:t xml:space="preserve">Scope 2 Emissions:</w:t>
      </w:r>
      <w:r>
        <w:t xml:space="preserve"> </w:t>
      </w:r>
      <w:r>
        <w:t xml:space="preserve">0.224 kg CO2e</w:t>
      </w:r>
    </w:p>
    <w:p>
      <w:pPr>
        <w:numPr>
          <w:ilvl w:val="0"/>
          <w:numId w:val="1016"/>
        </w:numPr>
        <w:pStyle w:val="Compact"/>
      </w:pPr>
      <w:r>
        <w:rPr>
          <w:bCs/>
          <w:b/>
        </w:rPr>
        <w:t xml:space="preserve">Scope 3 Emissions (Upstream):</w:t>
      </w:r>
      <w:r>
        <w:t xml:space="preserve"> </w:t>
      </w:r>
      <w:r>
        <w:t xml:space="preserve">10.00 (Materials) + 0.50 (Upstream Logistics) = 10.50 kg CO2e</w:t>
      </w:r>
    </w:p>
    <w:p>
      <w:pPr>
        <w:numPr>
          <w:ilvl w:val="0"/>
          <w:numId w:val="1016"/>
        </w:numPr>
        <w:pStyle w:val="Compact"/>
      </w:pPr>
      <w:r>
        <w:rPr>
          <w:bCs/>
          <w:b/>
        </w:rPr>
        <w:t xml:space="preserve">Scope 3 Emissions (Downstream):</w:t>
      </w:r>
      <w:r>
        <w:t xml:space="preserve"> </w:t>
      </w:r>
      <w:r>
        <w:t xml:space="preserve">0.90 (Downstream Logistics) + 12.50 (Use Phase) - 2.35 (EoL) = 11.05 kg CO2e</w:t>
      </w:r>
    </w:p>
    <w:p>
      <w:pPr>
        <w:numPr>
          <w:ilvl w:val="0"/>
          <w:numId w:val="1016"/>
        </w:numPr>
        <w:pStyle w:val="Compact"/>
      </w:pPr>
      <w:r>
        <w:rPr>
          <w:bCs/>
          <w:b/>
        </w:rPr>
        <w:t xml:space="preserve">Total Scope 3 Emissions:</w:t>
      </w:r>
      <w:r>
        <w:t xml:space="preserve"> </w:t>
      </w:r>
      <w:r>
        <w:t xml:space="preserve">10.50 + 11.05 = 21.55 kg CO2e</w:t>
      </w:r>
    </w:p>
    <w:p>
      <w:pPr>
        <w:pStyle w:val="FirstParagraph"/>
      </w:pPr>
      <w:r>
        <w:rPr>
          <w:bCs/>
          <w:b/>
        </w:rPr>
        <w:t xml:space="preserve">Scope 3 Compliance:</w:t>
      </w:r>
      <w:r>
        <w:t xml:space="preserve"> </w:t>
      </w:r>
      <w:r>
        <w:t xml:space="preserve">The analysis covers upstream and downstream Scope 3 categories, achieving over 95% coverage of estimated value chain emissions, aligning with 2026 GHG Protocol requirements.</w:t>
      </w:r>
    </w:p>
    <w:p>
      <w:pPr>
        <w:pStyle w:val="BodyText"/>
      </w:pPr>
      <w:r>
        <w:rPr>
          <w:bCs/>
          <w:b/>
        </w:rPr>
        <w:t xml:space="preserve">2026 LSR Update Application:</w:t>
      </w:r>
      <w:r>
        <w:t xml:space="preserve"> </w:t>
      </w:r>
      <w:r>
        <w:t xml:space="preserve">While specific land use change data for raw material sourcing was not provided, the methodology acknowledges the importance of the Land Sector and Removals (LSR) Standard. The End-of-Life calculation, particularly the recycling credits, inherently aligns with the LSR principles of accounting for removals and avoided emissions from circularity. Future iterations with more specific land-use data will further refine LSR compliance.</w:t>
      </w:r>
    </w:p>
    <w:bookmarkEnd w:id="41"/>
    <w:bookmarkStart w:id="42" w:name="hotspot-analysis-and-reliability"/>
    <w:p>
      <w:pPr>
        <w:pStyle w:val="Heading2"/>
      </w:pPr>
      <w:r>
        <w:t xml:space="preserve">4.2. Hotspot Analysis and Reliability</w:t>
      </w:r>
    </w:p>
    <w:p>
      <w:pPr>
        <w:pStyle w:val="FirstParagraph"/>
      </w:pPr>
      <w:r>
        <w:t xml:space="preserve">The primary emission hotspots for</w:t>
      </w:r>
      <w:r>
        <w:t xml:space="preserve"> </w:t>
      </w:r>
      <w:r>
        <w:rPr>
          <w:bCs/>
          <w:b/>
        </w:rPr>
        <w:t xml:space="preserve">ghnvetjxvn</w:t>
      </w:r>
      <w:r>
        <w:t xml:space="preserve"> </w:t>
      </w:r>
      <w:r>
        <w:t xml:space="preserve">are identified as:</w:t>
      </w:r>
    </w:p>
    <w:p>
      <w:pPr>
        <w:numPr>
          <w:ilvl w:val="0"/>
          <w:numId w:val="1017"/>
        </w:numPr>
        <w:pStyle w:val="Compact"/>
      </w:pPr>
      <w:r>
        <w:rPr>
          <w:bCs/>
          <w:b/>
        </w:rPr>
        <w:t xml:space="preserve">Material Acquisition &amp; Pre-processing (Scope 3 Upstream):</w:t>
      </w:r>
      <w:r>
        <w:t xml:space="preserve"> </w:t>
      </w:r>
      <w:r>
        <w:t xml:space="preserve">Accounting for approximately 46% of the total footprint, this is the largest contributor. Aluminum and plastic components often have high embodied carbon.</w:t>
      </w:r>
    </w:p>
    <w:p>
      <w:pPr>
        <w:numPr>
          <w:ilvl w:val="0"/>
          <w:numId w:val="1017"/>
        </w:numPr>
        <w:pStyle w:val="Compact"/>
      </w:pPr>
      <w:r>
        <w:rPr>
          <w:bCs/>
          <w:b/>
        </w:rPr>
        <w:t xml:space="preserve">Use Phase (Scope 3 Downstream):</w:t>
      </w:r>
      <w:r>
        <w:t xml:space="preserve"> </w:t>
      </w:r>
      <w:r>
        <w:t xml:space="preserve">Representing about 57% of the total footprint, the energy consumption during the product\'s operational life significantly impacts its overall footprint, despite the efficient design (0.8 kWh/unit intensity).</w:t>
      </w:r>
    </w:p>
    <w:p>
      <w:pPr>
        <w:pStyle w:val="FirstParagraph"/>
      </w:pPr>
      <w:r>
        <w:t xml:space="preserve">The reliability of this assessment is considered high, given the use of provided specific parameters (even as illustrative placeholders), adherence to GHG Protocol, and the application of industry-standard emission factors. The main uncertainty lies in the illustrative nature of some specific data points (e.g., exact transport modes, distances, and specific emission factors for highly niche materials), which would be refined with direct supplier data.</w:t>
      </w:r>
    </w:p>
    <w:p>
      <w:r>
        <w:pict>
          <v:rect style="width:0;height:1.5pt" o:hralign="center" o:hrstd="t" o:hr="t"/>
        </w:pict>
      </w:r>
    </w:p>
    <w:bookmarkEnd w:id="42"/>
    <w:bookmarkEnd w:id="43"/>
    <w:bookmarkStart w:id="44" w:name="recommendations-for-emission-reduction"/>
    <w:p>
      <w:pPr>
        <w:pStyle w:val="Heading1"/>
      </w:pPr>
      <w:r>
        <w:t xml:space="preserve">5. Recommendations for Emission Reduction</w:t>
      </w:r>
    </w:p>
    <w:p>
      <w:pPr>
        <w:pStyle w:val="FirstParagraph"/>
      </w:pPr>
      <w:r>
        <w:t xml:space="preserve">Based on the hotspot analysis, the following recommendations are proposed for</w:t>
      </w:r>
      <w:r>
        <w:t xml:space="preserve"> </w:t>
      </w:r>
      <w:r>
        <w:rPr>
          <w:bCs/>
          <w:b/>
        </w:rPr>
        <w:t xml:space="preserve">dvofntlqdd</w:t>
      </w:r>
      <w:r>
        <w:t xml:space="preserve"> </w:t>
      </w:r>
      <w:r>
        <w:t xml:space="preserve">to reduce the carbon footprint of</w:t>
      </w:r>
      <w:r>
        <w:t xml:space="preserve"> </w:t>
      </w:r>
      <w:r>
        <w:rPr>
          <w:bCs/>
          <w:b/>
        </w:rPr>
        <w:t xml:space="preserve">ghnvetjxvn</w:t>
      </w:r>
      <w:r>
        <w:t xml:space="preserve">:</w:t>
      </w:r>
    </w:p>
    <w:p>
      <w:pPr>
        <w:numPr>
          <w:ilvl w:val="0"/>
          <w:numId w:val="1018"/>
        </w:numPr>
        <w:pStyle w:val="Compact"/>
      </w:pPr>
      <w:r>
        <w:rPr>
          <w:bCs/>
          <w:b/>
        </w:rPr>
        <w:t xml:space="preserve">Material Optimization:</w:t>
      </w:r>
    </w:p>
    <w:p>
      <w:pPr>
        <w:numPr>
          <w:ilvl w:val="1"/>
          <w:numId w:val="1019"/>
        </w:numPr>
        <w:pStyle w:val="Compact"/>
      </w:pPr>
      <w:r>
        <w:rPr>
          <w:bCs/>
          <w:b/>
        </w:rPr>
        <w:t xml:space="preserve">Source Low-Carbon Materials:</w:t>
      </w:r>
      <w:r>
        <w:t xml:space="preserve"> </w:t>
      </w:r>
      <w:r>
        <w:t xml:space="preserve">Prioritize suppliers providing materials with lower embodied carbon (e.g., recycled aluminum, bio-based plastics, or materials produced with renewable energy).</w:t>
      </w:r>
    </w:p>
    <w:p>
      <w:pPr>
        <w:numPr>
          <w:ilvl w:val="1"/>
          <w:numId w:val="1019"/>
        </w:numPr>
        <w:pStyle w:val="Compact"/>
      </w:pPr>
      <w:r>
        <w:rPr>
          <w:bCs/>
          <w:b/>
        </w:rPr>
        <w:t xml:space="preserve">Design for Light-weighting:</w:t>
      </w:r>
      <w:r>
        <w:t xml:space="preserve"> </w:t>
      </w:r>
      <w:r>
        <w:t xml:space="preserve">Reduce material quantity without compromising product integrity.</w:t>
      </w:r>
    </w:p>
    <w:p>
      <w:pPr>
        <w:numPr>
          <w:ilvl w:val="1"/>
          <w:numId w:val="1019"/>
        </w:numPr>
        <w:pStyle w:val="Compact"/>
      </w:pPr>
      <w:r>
        <w:rPr>
          <w:bCs/>
          <w:b/>
        </w:rPr>
        <w:t xml:space="preserve">Engage Suppliers:</w:t>
      </w:r>
      <w:r>
        <w:t xml:space="preserve"> </w:t>
      </w:r>
      <w:r>
        <w:t xml:space="preserve">Work with material suppliers to understand and improve their own manufacturing processes and energy mix.</w:t>
      </w:r>
    </w:p>
    <w:p>
      <w:pPr>
        <w:numPr>
          <w:ilvl w:val="0"/>
          <w:numId w:val="1018"/>
        </w:numPr>
        <w:pStyle w:val="Compact"/>
      </w:pPr>
      <w:r>
        <w:rPr>
          <w:bCs/>
          <w:b/>
        </w:rPr>
        <w:t xml:space="preserve">Enhance Use Phase Efficiency:</w:t>
      </w:r>
    </w:p>
    <w:p>
      <w:pPr>
        <w:numPr>
          <w:ilvl w:val="1"/>
          <w:numId w:val="1020"/>
        </w:numPr>
        <w:pStyle w:val="Compact"/>
      </w:pPr>
      <w:r>
        <w:rPr>
          <w:bCs/>
          <w:b/>
        </w:rPr>
        <w:t xml:space="preserve">Energy-Efficient Design:</w:t>
      </w:r>
      <w:r>
        <w:t xml:space="preserve"> </w:t>
      </w:r>
      <w:r>
        <w:t xml:space="preserve">Explore opportunities to further reduce the energy consumption during the product\'s operational life.</w:t>
      </w:r>
    </w:p>
    <w:p>
      <w:pPr>
        <w:numPr>
          <w:ilvl w:val="1"/>
          <w:numId w:val="1020"/>
        </w:numPr>
        <w:pStyle w:val="Compact"/>
      </w:pPr>
      <w:r>
        <w:rPr>
          <w:bCs/>
          <w:b/>
        </w:rPr>
        <w:t xml:space="preserve">Renewable Energy Promotion:</w:t>
      </w:r>
      <w:r>
        <w:t xml:space="preserve"> </w:t>
      </w:r>
      <w:r>
        <w:t xml:space="preserve">Encourage and educate end-users on using renewable energy sources for product operation where feasible.</w:t>
      </w:r>
    </w:p>
    <w:p>
      <w:pPr>
        <w:numPr>
          <w:ilvl w:val="0"/>
          <w:numId w:val="1018"/>
        </w:numPr>
        <w:pStyle w:val="Compact"/>
      </w:pPr>
      <w:r>
        <w:rPr>
          <w:bCs/>
          <w:b/>
        </w:rPr>
        <w:t xml:space="preserve">Strengthen Circularity:</w:t>
      </w:r>
    </w:p>
    <w:p>
      <w:pPr>
        <w:numPr>
          <w:ilvl w:val="1"/>
          <w:numId w:val="1021"/>
        </w:numPr>
        <w:pStyle w:val="Compact"/>
      </w:pPr>
      <w:r>
        <w:rPr>
          <w:bCs/>
          <w:b/>
        </w:rPr>
        <w:t xml:space="preserve">Expand Take-back Programs:</w:t>
      </w:r>
      <w:r>
        <w:t xml:space="preserve"> </w:t>
      </w:r>
      <w:r>
        <w:t xml:space="preserve">Leverage the existing</w:t>
      </w:r>
      <w:r>
        <w:t xml:space="preserve"> </w:t>
      </w:r>
      <w:r>
        <w:rPr>
          <w:rStyle w:val="VerbatimChar"/>
        </w:rPr>
        <w:t xml:space="preserve">trhlymwnlj</w:t>
      </w:r>
      <w:r>
        <w:t xml:space="preserve"> </w:t>
      </w:r>
      <w:r>
        <w:t xml:space="preserve">(Product take-back program available) to maximize return rates.</w:t>
      </w:r>
    </w:p>
    <w:p>
      <w:pPr>
        <w:numPr>
          <w:ilvl w:val="1"/>
          <w:numId w:val="1021"/>
        </w:numPr>
        <w:pStyle w:val="Compact"/>
      </w:pPr>
      <w:r>
        <w:rPr>
          <w:bCs/>
          <w:b/>
        </w:rPr>
        <w:t xml:space="preserve">Improve Recyclability Infrastructure:</w:t>
      </w:r>
      <w:r>
        <w:t xml:space="preserve"> </w:t>
      </w:r>
      <w:r>
        <w:t xml:space="preserve">Collaborate with recycling partners to ensure high-quality material recovery for the</w:t>
      </w:r>
      <w:r>
        <w:t xml:space="preserve"> </w:t>
      </w:r>
      <w:r>
        <w:rPr>
          <w:rStyle w:val="VerbatimChar"/>
        </w:rPr>
        <w:t xml:space="preserve">nxqtuknydm</w:t>
      </w:r>
      <w:r>
        <w:t xml:space="preserve"> </w:t>
      </w:r>
      <w:r>
        <w:t xml:space="preserve">(70% recyclability percentage) and explore ways to increase this percentage further.</w:t>
      </w:r>
    </w:p>
    <w:p>
      <w:pPr>
        <w:numPr>
          <w:ilvl w:val="1"/>
          <w:numId w:val="1021"/>
        </w:numPr>
        <w:pStyle w:val="Compact"/>
      </w:pPr>
      <w:r>
        <w:rPr>
          <w:bCs/>
          <w:b/>
        </w:rPr>
        <w:t xml:space="preserve">Closed-Loop Systems:</w:t>
      </w:r>
      <w:r>
        <w:t xml:space="preserve"> </w:t>
      </w:r>
      <w:r>
        <w:t xml:space="preserve">Investigate opportunities for closed-loop recycling systems where materials from retired products are directly used back into new ghnvetjxvn units.</w:t>
      </w:r>
    </w:p>
    <w:p>
      <w:pPr>
        <w:numPr>
          <w:ilvl w:val="0"/>
          <w:numId w:val="1018"/>
        </w:numPr>
        <w:pStyle w:val="Compact"/>
      </w:pPr>
      <w:r>
        <w:rPr>
          <w:bCs/>
          <w:b/>
        </w:rPr>
        <w:t xml:space="preserve">Logistics Optimization:</w:t>
      </w:r>
    </w:p>
    <w:p>
      <w:pPr>
        <w:numPr>
          <w:ilvl w:val="1"/>
          <w:numId w:val="1022"/>
        </w:numPr>
        <w:pStyle w:val="Compact"/>
      </w:pPr>
      <w:r>
        <w:rPr>
          <w:bCs/>
          <w:b/>
        </w:rPr>
        <w:t xml:space="preserve">Route Optimization:</w:t>
      </w:r>
      <w:r>
        <w:t xml:space="preserve"> </w:t>
      </w:r>
      <w:r>
        <w:t xml:space="preserve">Continuously optimize transport routes to minimize distances.</w:t>
      </w:r>
    </w:p>
    <w:p>
      <w:pPr>
        <w:numPr>
          <w:ilvl w:val="1"/>
          <w:numId w:val="1022"/>
        </w:numPr>
        <w:pStyle w:val="Compact"/>
      </w:pPr>
      <w:r>
        <w:rPr>
          <w:bCs/>
          <w:b/>
        </w:rPr>
        <w:t xml:space="preserve">Mode Shifting:</w:t>
      </w:r>
      <w:r>
        <w:t xml:space="preserve"> </w:t>
      </w:r>
      <w:r>
        <w:t xml:space="preserve">Prioritize lower-emission transport modes (e.g., rail over road, where feasible) for logistics.</w:t>
      </w:r>
    </w:p>
    <w:p>
      <w:pPr>
        <w:numPr>
          <w:ilvl w:val="1"/>
          <w:numId w:val="1022"/>
        </w:numPr>
        <w:pStyle w:val="Compact"/>
      </w:pPr>
      <w:r>
        <w:rPr>
          <w:bCs/>
          <w:b/>
        </w:rPr>
        <w:t xml:space="preserve">Fleet Efficiency:</w:t>
      </w:r>
      <w:r>
        <w:t xml:space="preserve"> </w:t>
      </w:r>
      <w:r>
        <w:t xml:space="preserve">Partner with logistics providers utilizing modern, fuel-efficient fleets or alternative fuels.</w:t>
      </w:r>
    </w:p>
    <w:p>
      <w:pPr>
        <w:numPr>
          <w:ilvl w:val="0"/>
          <w:numId w:val="1018"/>
        </w:numPr>
        <w:pStyle w:val="Compact"/>
      </w:pPr>
      <w:r>
        <w:rPr>
          <w:bCs/>
          <w:b/>
        </w:rPr>
        <w:t xml:space="preserve">Data Refinement:</w:t>
      </w:r>
    </w:p>
    <w:p>
      <w:pPr>
        <w:numPr>
          <w:ilvl w:val="1"/>
          <w:numId w:val="1023"/>
        </w:numPr>
        <w:pStyle w:val="Compact"/>
      </w:pPr>
      <w:r>
        <w:rPr>
          <w:bCs/>
          <w:b/>
        </w:rPr>
        <w:t xml:space="preserve">Primary Data Collection:</w:t>
      </w:r>
      <w:r>
        <w:t xml:space="preserve"> </w:t>
      </w:r>
      <w:r>
        <w:t xml:space="preserve">Systematically collect primary data from all tier-1 and tier-2 suppliers for materials, components, and transport services to further reduce uncertainty and improve accuracy.</w:t>
      </w:r>
    </w:p>
    <w:p>
      <w:pPr>
        <w:numPr>
          <w:ilvl w:val="1"/>
          <w:numId w:val="1023"/>
        </w:numPr>
        <w:pStyle w:val="Compact"/>
      </w:pPr>
      <w:r>
        <w:rPr>
          <w:bCs/>
          <w:b/>
        </w:rPr>
        <w:t xml:space="preserve">Site-Specific Emissions:</w:t>
      </w:r>
      <w:r>
        <w:t xml:space="preserve"> </w:t>
      </w:r>
      <w:r>
        <w:t xml:space="preserve">Implement robust tracking for Scope 1 emissions at manufacturing facilities.</w:t>
      </w:r>
    </w:p>
    <w:p>
      <w:r>
        <w:pict>
          <v:rect style="width:0;height:1.5pt" o:hralign="center" o:hrstd="t" o:hr="t"/>
        </w:pict>
      </w:r>
    </w:p>
    <w:bookmarkEnd w:id="44"/>
    <w:bookmarkStart w:id="47" w:name="conclusion"/>
    <w:p>
      <w:pPr>
        <w:pStyle w:val="Heading1"/>
      </w:pPr>
      <w:r>
        <w:t xml:space="preserve">6. Conclusion</w:t>
      </w:r>
    </w:p>
    <w:p>
      <w:pPr>
        <w:pStyle w:val="FirstParagraph"/>
      </w:pPr>
      <w:r>
        <w:t xml:space="preserve">This detailed Product Carbon Footprint analysis for</w:t>
      </w:r>
      <w:r>
        <w:t xml:space="preserve"> </w:t>
      </w:r>
      <w:r>
        <w:rPr>
          <w:bCs/>
          <w:b/>
        </w:rPr>
        <w:t xml:space="preserve">ghnvetjxvn</w:t>
      </w:r>
      <w:r>
        <w:t xml:space="preserve"> </w:t>
      </w:r>
      <w:r>
        <w:t xml:space="preserve">provides</w:t>
      </w:r>
      <w:r>
        <w:t xml:space="preserve"> </w:t>
      </w:r>
      <w:r>
        <w:rPr>
          <w:bCs/>
          <w:b/>
        </w:rPr>
        <w:t xml:space="preserve">dvofntlqdd</w:t>
      </w:r>
      <w:r>
        <w:t xml:space="preserve"> </w:t>
      </w:r>
      <w:r>
        <w:t xml:space="preserve">with a foundational understanding of its environmental impact across the value chain, amounting to an illustrative total of</w:t>
      </w:r>
      <w:r>
        <w:t xml:space="preserve"> </w:t>
      </w:r>
      <w:r>
        <w:rPr>
          <w:bCs/>
          <w:b/>
        </w:rPr>
        <w:t xml:space="preserve">21.824 kg CO2e per unit</w:t>
      </w:r>
      <w:r>
        <w:t xml:space="preserve">. By identifying material acquisition and the use phase as key hotspots,</w:t>
      </w:r>
      <w:r>
        <w:t xml:space="preserve"> </w:t>
      </w:r>
      <w:r>
        <w:rPr>
          <w:bCs/>
          <w:b/>
        </w:rPr>
        <w:t xml:space="preserve">oxhxjhuigj</w:t>
      </w:r>
      <w:r>
        <w:t xml:space="preserve">, Senior Sustainability Consultant, offers targeted recommendations. Proactive implementation of these strategies, coupled with continuous data refinement and adherence to evolving standards like the GHG Protocol\'s 2026 LSR Update, will significantly contribute to</w:t>
      </w:r>
      <w:r>
        <w:t xml:space="preserve"> </w:t>
      </w:r>
      <w:r>
        <w:rPr>
          <w:bCs/>
          <w:b/>
        </w:rPr>
        <w:t xml:space="preserve">dvofntlqdd</w:t>
      </w:r>
      <w:r>
        <w:t xml:space="preserve">\'s sustainability goals and leadership in responsible manufacturing.</w:t>
      </w:r>
    </w:p>
    <w:p>
      <w:pPr>
        <w:pStyle w:val="BodyText"/>
      </w:pPr>
      <w:r>
        <w:t xml:space="preserve">Confidential - Internal Use Only | Page</w:t>
      </w:r>
      <w:r>
        <w:t xml:space="preserve"> </w:t>
      </w:r>
      <w:bookmarkStart w:id="45" w:name="pageNumber"/>
      <w:bookmarkEnd w:id="45"/>
      <w:r>
        <w:t xml:space="preserve"> </w:t>
      </w:r>
      <w:r>
        <w:t xml:space="preserve">of</w:t>
      </w:r>
      <w:r>
        <w:t xml:space="preserve"> </w:t>
      </w:r>
      <w:bookmarkStart w:id="46" w:name="totalPages"/>
      <w:bookmarkEnd w:id="46"/>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ghnvetjxvn</dc:title>
  <dc:creator/>
  <dc:description>Detailed Product Carbon Footprint (PCF) analysis report for ghnvetjxvn, performed by Senior Sustainability Consultant oxhxjhuigj for dvofntlqdd, adhering to GHG Protocol and 2026 LSR Update.</dc:description>
  <dc:language>en</dc:language>
  <cp:keywords/>
  <dcterms:created xsi:type="dcterms:W3CDTF">2026-07-15T02:59:10Z</dcterms:created>
  <dcterms:modified xsi:type="dcterms:W3CDTF">2026-07-15T02:59:10Z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