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Analysis</w:t>
      </w:r>
      <w:r>
        <w:t xml:space="preserve"> </w:t>
      </w:r>
      <w:r>
        <w:t xml:space="preserve">for</w:t>
      </w:r>
      <w:r>
        <w:t xml:space="preserve"> </w:t>
      </w:r>
      <w:r>
        <w:t xml:space="preserve">fdswutzwne</w:t>
      </w:r>
    </w:p>
    <w:p>
      <w:pPr>
        <w:pStyle w:val="FirstParagraph"/>
      </w:pPr>
      <w:r>
        <w:t xml:space="preserve">carboncalcpcf.com</w:t>
      </w:r>
    </w:p>
    <w:bookmarkStart w:id="20" w:name="product-carbon-footprint-analysis"/>
    <w:p>
      <w:pPr>
        <w:pStyle w:val="Heading1"/>
      </w:pPr>
      <w:r>
        <w:t xml:space="preserve">Product Carbon Footprint Analysis</w:t>
      </w:r>
    </w:p>
    <w:p>
      <w:pPr>
        <w:pStyle w:val="FirstParagraph"/>
      </w:pPr>
      <w:r>
        <w:rPr>
          <w:bCs/>
          <w:b/>
        </w:rPr>
        <w:t xml:space="preserve">Product:</w:t>
      </w:r>
      <w:r>
        <w:t xml:space="preserve"> </w:t>
      </w:r>
      <w:r>
        <w:t xml:space="preserve">fdswutzwne</w:t>
      </w:r>
    </w:p>
    <w:p>
      <w:pPr>
        <w:pStyle w:val="BodyText"/>
      </w:pPr>
      <w:r>
        <w:rPr>
          <w:bCs/>
          <w:b/>
        </w:rPr>
        <w:t xml:space="preserve">Protocol Data (Accounting Standard):</w:t>
      </w:r>
      <w:r>
        <w:t xml:space="preserve"> </w:t>
      </w:r>
      <w:r>
        <w:t xml:space="preserve">GHG Protocol</w:t>
      </w:r>
    </w:p>
    <w:p>
      <w:pPr>
        <w:pStyle w:val="BodyText"/>
      </w:pPr>
      <w:r>
        <w:rPr>
          <w:bCs/>
          <w:b/>
        </w:rPr>
        <w:t xml:space="preserve">Name of the Company:</w:t>
      </w:r>
      <w:r>
        <w:t xml:space="preserve"> </w:t>
      </w:r>
      <w:r>
        <w:t xml:space="preserve">qpxwtjftmq</w:t>
      </w:r>
    </w:p>
    <w:p>
      <w:pPr>
        <w:pStyle w:val="BodyText"/>
      </w:pPr>
      <w:r>
        <w:rPr>
          <w:bCs/>
          <w:b/>
        </w:rPr>
        <w:t xml:space="preserve">Senior Sustainability Consultant:</w:t>
      </w:r>
      <w:r>
        <w:t xml:space="preserve"> </w:t>
      </w:r>
      <w:r>
        <w:t xml:space="preserve">yfmxiwtijg</w:t>
      </w:r>
    </w:p>
    <w:p>
      <w:pPr>
        <w:pStyle w:val="BodyText"/>
      </w:pPr>
      <w:r>
        <w:t xml:space="preserve">Disclaimer: This report is generated based on available data and industry standards. Due to the use of placeholder inputs for several parameters, illustrative data consistent with the specified formats has been used to demonstrate the methodology and calculations. Actual figures would require precise primary data for these parameters.</w:t>
      </w:r>
    </w:p>
    <w:bookmarkEnd w:id="20"/>
    <w:bookmarkStart w:id="21" w:name="Xacbc52d17878ece66c799594fcdd7af6993bb67"/>
    <w:p>
      <w:pPr>
        <w:pStyle w:val="Heading1"/>
      </w:pPr>
      <w:r>
        <w:t xml:space="preserve">Product Carbon Footprint (PCF) Analysis Report for fdswutzwne</w:t>
      </w:r>
    </w:p>
    <w:p>
      <w:pPr>
        <w:pStyle w:val="FirstParagraph"/>
      </w:pPr>
      <w:r>
        <w:rPr>
          <w:bCs/>
          <w:b/>
        </w:rPr>
        <w:t xml:space="preserve">Generated Date:</w:t>
      </w:r>
      <w:r>
        <w:t xml:space="preserve"> </w:t>
      </w:r>
      <w:r>
        <w:t xml:space="preserve">May 26, 2026</w:t>
      </w:r>
    </w:p>
    <w:p>
      <w:r>
        <w:pict>
          <v:rect style="width:0;height:1.5pt" o:hralign="center" o:hrstd="t" o:hr="t"/>
        </w:pict>
      </w:r>
    </w:p>
    <w:bookmarkEnd w:id="21"/>
    <w:bookmarkStart w:id="22" w:name="executive-summary"/>
    <w:p>
      <w:pPr>
        <w:pStyle w:val="Heading2"/>
      </w:pPr>
      <w:r>
        <w:t xml:space="preserve">Executive Summary</w:t>
      </w:r>
    </w:p>
    <w:p>
      <w:pPr>
        <w:pStyle w:val="FirstParagraph"/>
      </w:pPr>
      <w:r>
        <w:t xml:space="preserve">This report presents a high-detail Product Carbon Footprint (PCF) analysis for the product fdswutzwne, undertaken by yfmxiwtijg, Senior Sustainability Consultant at qpxwtjftmq. The analysis strictly adheres to the GHG Protocol accounting standard, incorporating the latest 2026 Land Sector and Removals (LSR) Standard updates and aiming for 95% Scope 3 coverage. The study covers the entire lifecycle of the product, from material extraction to end-of-life, within a factory-gate system boundary and a geographically focused supply chain. Due to the placeholder nature of some input parameters, illustrative data has been utilized, clearly specified throughout the report, to demonstrate the robust methodology and calculation steps required for a comprehensive PCF assessment.</w:t>
      </w:r>
    </w:p>
    <w:p>
      <w:r>
        <w:pict>
          <v:rect style="width:0;height:1.5pt" o:hralign="center" o:hrstd="t" o:hr="t"/>
        </w:pict>
      </w:r>
    </w:p>
    <w:bookmarkEnd w:id="22"/>
    <w:bookmarkStart w:id="27" w:name="define-scope"/>
    <w:p>
      <w:pPr>
        <w:pStyle w:val="Heading2"/>
      </w:pPr>
      <w:r>
        <w:t xml:space="preserve">1. Define Scope</w:t>
      </w:r>
    </w:p>
    <w:p>
      <w:pPr>
        <w:pStyle w:val="FirstParagraph"/>
      </w:pPr>
      <w:r>
        <w:t xml:space="preserve">The first step in any PCF analysis is to clearly define the scope of the assessment, ensuring consistency and comparability of results.</w:t>
      </w:r>
    </w:p>
    <w:bookmarkStart w:id="23" w:name="functional-unit"/>
    <w:p>
      <w:pPr>
        <w:pStyle w:val="Heading3"/>
      </w:pPr>
      <w:r>
        <w:t xml:space="preserve">Functional Unit:</w:t>
      </w:r>
    </w:p>
    <w:p>
      <w:pPr>
        <w:pStyle w:val="FirstParagraph"/>
      </w:pPr>
      <w:r>
        <w:t xml:space="preserve">The functional unit for this PCF analysis is defined as</w:t>
      </w:r>
      <w:r>
        <w:t xml:space="preserve"> </w:t>
      </w:r>
      <w:r>
        <w:rPr>
          <w:bCs/>
          <w:b/>
        </w:rPr>
        <w:t xml:space="preserve">1.0 unit of fdswutzwne</w:t>
      </w:r>
      <w:r>
        <w:t xml:space="preserve">. This unit serves as the reference basis for all quantified inputs and outputs throughout the product\'s lifecycle.</w:t>
      </w:r>
    </w:p>
    <w:bookmarkEnd w:id="23"/>
    <w:bookmarkStart w:id="24" w:name="system-boundary"/>
    <w:p>
      <w:pPr>
        <w:pStyle w:val="Heading3"/>
      </w:pPr>
      <w:r>
        <w:t xml:space="preserve">System Boundary:</w:t>
      </w:r>
    </w:p>
    <w:p>
      <w:pPr>
        <w:pStyle w:val="FirstParagraph"/>
      </w:pPr>
      <w:r>
        <w:t xml:space="preserve">The system boundary is set at</w:t>
      </w:r>
      <w:r>
        <w:t xml:space="preserve"> </w:t>
      </w:r>
      <w:r>
        <w:rPr>
          <w:bCs/>
          <w:b/>
        </w:rPr>
        <w:t xml:space="preserve">factory_gate</w:t>
      </w:r>
      <w:r>
        <w:t xml:space="preserve">, encompassing all processes from raw material acquisition, through manufacturing, to the point where the finished product leaves the factory premises. Downstream emissions from transportation, product use, and end-of-life are also included as per GHG Protocol Scope 3 requirements, to provide a comprehensive cradle-to-grave perspective for the product.</w:t>
      </w:r>
    </w:p>
    <w:bookmarkEnd w:id="24"/>
    <w:bookmarkStart w:id="25" w:name="geographic-scope"/>
    <w:p>
      <w:pPr>
        <w:pStyle w:val="Heading3"/>
      </w:pPr>
      <w:r>
        <w:t xml:space="preserve">Geographic Scope:</w:t>
      </w:r>
    </w:p>
    <w:p>
      <w:pPr>
        <w:pStyle w:val="FirstParagraph"/>
      </w:pPr>
      <w:r>
        <w:t xml:space="preserve">The primary geographic scope for final production is</w:t>
      </w:r>
      <w:r>
        <w:t xml:space="preserve"> </w:t>
      </w:r>
      <w:r>
        <w:rPr>
          <w:bCs/>
          <w:b/>
        </w:rPr>
        <w:t xml:space="preserve">China</w:t>
      </w:r>
      <w:r>
        <w:t xml:space="preserve">, with a broader</w:t>
      </w:r>
      <w:r>
        <w:t xml:space="preserve"> </w:t>
      </w:r>
      <w:r>
        <w:rPr>
          <w:bCs/>
          <w:b/>
        </w:rPr>
        <w:t xml:space="preserve">Europe Focused Supply Chain</w:t>
      </w:r>
      <w:r>
        <w:t xml:space="preserve"> </w:t>
      </w:r>
      <w:r>
        <w:t xml:space="preserve">for upstream and downstream activities. This dual focus acknowledges regional variations in energy mixes, transportation networks, and waste management practices that influence emission factors.</w:t>
      </w:r>
    </w:p>
    <w:bookmarkEnd w:id="25"/>
    <w:bookmarkStart w:id="26" w:name="allocation"/>
    <w:p>
      <w:pPr>
        <w:pStyle w:val="Heading3"/>
      </w:pPr>
      <w:r>
        <w:t xml:space="preserve">Allocation:</w:t>
      </w:r>
    </w:p>
    <w:p>
      <w:pPr>
        <w:pStyle w:val="FirstParagraph"/>
      </w:pPr>
      <w:r>
        <w:t xml:space="preserve">Emissions are allocated directly to the functional unit (1.0 unit of fdswutzwne). For processes where multiple products are produced, mass-based allocation is assumed for materials, aligning emissions with the proportion of the product\'s mass in the co-product system. For shared logistics, emissions are allocated per tonne-kilometer or per package-kilometer based on the product\'s share of the load.</w:t>
      </w:r>
    </w:p>
    <w:p>
      <w:r>
        <w:pict>
          <v:rect style="width:0;height:1.5pt" o:hralign="center" o:hrstd="t" o:hr="t"/>
        </w:pict>
      </w:r>
    </w:p>
    <w:bookmarkEnd w:id="26"/>
    <w:bookmarkEnd w:id="27"/>
    <w:bookmarkStart w:id="36" w:name="X9b3f95e3515408304ff4a9cec9842f2424d7a20"/>
    <w:p>
      <w:pPr>
        <w:pStyle w:val="Heading2"/>
      </w:pPr>
      <w:r>
        <w:t xml:space="preserve">2. Map Lifecycle (LCI Inventory Stages) &amp; 3. Collect Data (Primary/Secondary Data Points)</w:t>
      </w:r>
    </w:p>
    <w:p>
      <w:pPr>
        <w:pStyle w:val="FirstParagraph"/>
      </w:pPr>
      <w:r>
        <w:t xml:space="preserve">This section details the lifecycle stages considered and the data points collected for the PCF analysis of fdswutzwne. As the provided parameters were placeholders, illustrative data is used to demonstrate the methodology.</w:t>
      </w:r>
    </w:p>
    <w:bookmarkStart w:id="28" w:name="lifecycle-stages-mapped"/>
    <w:p>
      <w:pPr>
        <w:pStyle w:val="Heading3"/>
      </w:pPr>
      <w:r>
        <w:t xml:space="preserve">Lifecycle Stages Mapped:</w:t>
      </w:r>
    </w:p>
    <w:p>
      <w:pPr>
        <w:numPr>
          <w:ilvl w:val="0"/>
          <w:numId w:val="1001"/>
        </w:numPr>
        <w:pStyle w:val="Compact"/>
      </w:pPr>
      <w:r>
        <w:rPr>
          <w:bCs/>
          <w:b/>
        </w:rPr>
        <w:t xml:space="preserve">Raw Material Acquisition &amp; Pre-processing (Cradle-to-Gate):</w:t>
      </w:r>
      <w:r>
        <w:t xml:space="preserve"> </w:t>
      </w:r>
      <w:r>
        <w:t xml:space="preserve">Extraction, processing, and refining of all raw materials up to the point of entry into the manufacturing facility.</w:t>
      </w:r>
    </w:p>
    <w:p>
      <w:pPr>
        <w:numPr>
          <w:ilvl w:val="0"/>
          <w:numId w:val="1001"/>
        </w:numPr>
        <w:pStyle w:val="Compact"/>
      </w:pPr>
      <w:r>
        <w:rPr>
          <w:bCs/>
          <w:b/>
        </w:rPr>
        <w:t xml:space="preserve">Production/Manufacturing:</w:t>
      </w:r>
      <w:r>
        <w:t xml:space="preserve"> </w:t>
      </w:r>
      <w:r>
        <w:t xml:space="preserve">All energy and processes involved in transforming raw materials into the final product at the factory_gate.</w:t>
      </w:r>
    </w:p>
    <w:p>
      <w:pPr>
        <w:numPr>
          <w:ilvl w:val="0"/>
          <w:numId w:val="1001"/>
        </w:numPr>
        <w:pStyle w:val="Compact"/>
      </w:pPr>
      <w:r>
        <w:rPr>
          <w:bCs/>
          <w:b/>
        </w:rPr>
        <w:t xml:space="preserve">Transportation &amp; Distribution:</w:t>
      </w:r>
      <w:r>
        <w:t xml:space="preserve"> </w:t>
      </w:r>
      <w:r>
        <w:t xml:space="preserve">Movement of raw materials to the factory, and distribution of the finished product to the end-user.</w:t>
      </w:r>
    </w:p>
    <w:p>
      <w:pPr>
        <w:numPr>
          <w:ilvl w:val="0"/>
          <w:numId w:val="1001"/>
        </w:numPr>
        <w:pStyle w:val="Compact"/>
      </w:pPr>
      <w:r>
        <w:rPr>
          <w:bCs/>
          <w:b/>
        </w:rPr>
        <w:t xml:space="preserve">Use Phase:</w:t>
      </w:r>
      <w:r>
        <w:t xml:space="preserve"> </w:t>
      </w:r>
      <w:r>
        <w:t xml:space="preserve">Energy consumption and other impacts during the product\'s expected lifespan by the end-user.</w:t>
      </w:r>
    </w:p>
    <w:p>
      <w:pPr>
        <w:numPr>
          <w:ilvl w:val="0"/>
          <w:numId w:val="1001"/>
        </w:numPr>
        <w:pStyle w:val="Compact"/>
      </w:pPr>
      <w:r>
        <w:rPr>
          <w:bCs/>
          <w:b/>
        </w:rPr>
        <w:t xml:space="preserve">End-of-Life (EoL):</w:t>
      </w:r>
      <w:r>
        <w:t xml:space="preserve"> </w:t>
      </w:r>
      <w:r>
        <w:t xml:space="preserve">Disposal, recycling, or recovery processes for the product after its useful life.</w:t>
      </w:r>
    </w:p>
    <w:bookmarkEnd w:id="28"/>
    <w:bookmarkStart w:id="34" w:name="X67d790f9417d6e02e2e1d2d09115c321c48dce6"/>
    <w:p>
      <w:pPr>
        <w:pStyle w:val="Heading3"/>
      </w:pPr>
      <w:r>
        <w:t xml:space="preserve">Data Collection Breakdown (Illustrative Data Used):</w:t>
      </w:r>
    </w:p>
    <w:bookmarkStart w:id="29" w:name="Xc8103caed4bcb15c9d7f856854266d567868442"/>
    <w:p>
      <w:pPr>
        <w:pStyle w:val="Heading4"/>
      </w:pPr>
      <w:r>
        <w:t xml:space="preserve">A. Bill of Materials (BOM) - Illustrative for `gwyeuzlh` (Scope 3 - Upstream)</w:t>
      </w:r>
    </w:p>
    <w:p>
      <w:pPr>
        <w:pStyle w:val="FirstParagraph"/>
      </w:pPr>
      <w:r>
        <w:t xml:space="preserve">The provided BOM placeholder `gwyeuzlh` is illustrated with the following data, ensuring specific values are used for material impact calculation:</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1</w:t>
            </w:r>
          </w:p>
        </w:tc>
        <w:tc>
          <w:tcPr/>
          <w:p>
            <w:pPr>
              <w:pStyle w:val="Compact"/>
              <w:jc w:val="left"/>
            </w:pPr>
            <w:r>
              <w:t xml:space="preserve">Aluminum Casing</w:t>
            </w:r>
          </w:p>
        </w:tc>
        <w:tc>
          <w:tcPr/>
          <w:p>
            <w:pPr>
              <w:pStyle w:val="Compact"/>
              <w:jc w:val="left"/>
            </w:pPr>
            <w:r>
              <w:t xml:space="preserve">Metals</w:t>
            </w:r>
          </w:p>
        </w:tc>
        <w:tc>
          <w:tcPr/>
          <w:p>
            <w:pPr>
              <w:pStyle w:val="Compact"/>
              <w:jc w:val="left"/>
            </w:pPr>
            <w:r>
              <w:t xml:space="preserve">Casting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12.0</w:t>
            </w:r>
          </w:p>
        </w:tc>
        <w:tc>
          <w:tcPr/>
          <w:p>
            <w:pPr>
              <w:pStyle w:val="Compact"/>
              <w:jc w:val="left"/>
            </w:pPr>
            <w:r>
              <w:t xml:space="preserve">6.0</w:t>
            </w:r>
          </w:p>
        </w:tc>
      </w:tr>
      <w:tr>
        <w:tc>
          <w:tcPr/>
          <w:p>
            <w:pPr>
              <w:pStyle w:val="Compact"/>
              <w:jc w:val="left"/>
            </w:pPr>
            <w:r>
              <w:t xml:space="preserve">2</w:t>
            </w:r>
          </w:p>
        </w:tc>
        <w:tc>
          <w:tcPr/>
          <w:p>
            <w:pPr>
              <w:pStyle w:val="Compact"/>
              <w:jc w:val="left"/>
            </w:pPr>
            <w:r>
              <w:t xml:space="preserve">Circuit Board (populated)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0.1</w:t>
            </w:r>
          </w:p>
        </w:tc>
        <w:tc>
          <w:tcPr/>
          <w:p>
            <w:pPr>
              <w:pStyle w:val="Compact"/>
              <w:jc w:val="left"/>
            </w:pPr>
            <w:r>
              <w:t xml:space="preserve">unit</w:t>
            </w:r>
          </w:p>
        </w:tc>
        <w:tc>
          <w:tcPr/>
          <w:p>
            <w:pPr>
              <w:pStyle w:val="Compact"/>
              <w:jc w:val="left"/>
            </w:pPr>
            <w:r>
              <w:t xml:space="preserve">150.0</w:t>
            </w:r>
          </w:p>
        </w:tc>
        <w:tc>
          <w:tcPr/>
          <w:p>
            <w:pPr>
              <w:pStyle w:val="Compact"/>
              <w:jc w:val="left"/>
            </w:pPr>
            <w:r>
              <w:t xml:space="preserve">15.0</w:t>
            </w:r>
          </w:p>
        </w:tc>
      </w:tr>
      <w:tr>
        <w:tc>
          <w:tcPr/>
          <w:p>
            <w:pPr>
              <w:pStyle w:val="Compact"/>
              <w:jc w:val="left"/>
            </w:pPr>
            <w:r>
              <w:t xml:space="preserve">3</w:t>
            </w:r>
          </w:p>
        </w:tc>
        <w:tc>
          <w:tcPr/>
          <w:p>
            <w:pPr>
              <w:pStyle w:val="Compact"/>
              <w:jc w:val="left"/>
            </w:pPr>
            <w:r>
              <w:t xml:space="preserve">Plastic Housing</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3.5</w:t>
            </w:r>
          </w:p>
        </w:tc>
        <w:tc>
          <w:tcPr/>
          <w:p>
            <w:pPr>
              <w:pStyle w:val="Compact"/>
              <w:jc w:val="left"/>
            </w:pPr>
            <w:r>
              <w:t xml:space="preserve">0.7</w:t>
            </w:r>
          </w:p>
        </w:tc>
      </w:tr>
      <w:tr>
        <w:tc>
          <w:tcPr/>
          <w:p>
            <w:pPr>
              <w:pStyle w:val="Compact"/>
              <w:jc w:val="left"/>
            </w:pPr>
            <w:r>
              <w:t xml:space="preserve">4</w:t>
            </w:r>
          </w:p>
        </w:tc>
        <w:tc>
          <w:tcPr/>
          <w:p>
            <w:pPr>
              <w:pStyle w:val="Compact"/>
              <w:jc w:val="left"/>
            </w:pPr>
            <w:r>
              <w:t xml:space="preserve">Copper Wiring</w:t>
            </w:r>
          </w:p>
        </w:tc>
        <w:tc>
          <w:tcPr/>
          <w:p>
            <w:pPr>
              <w:pStyle w:val="Compact"/>
              <w:jc w:val="left"/>
            </w:pPr>
            <w:r>
              <w:t xml:space="preserve">Metals</w:t>
            </w:r>
          </w:p>
        </w:tc>
        <w:tc>
          <w:tcPr/>
          <w:p>
            <w:pPr>
              <w:pStyle w:val="Compact"/>
              <w:jc w:val="left"/>
            </w:pPr>
            <w:r>
              <w:t xml:space="preserve">Drawing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8.0</w:t>
            </w:r>
          </w:p>
        </w:tc>
        <w:tc>
          <w:tcPr/>
          <w:p>
            <w:pPr>
              <w:pStyle w:val="Compact"/>
              <w:jc w:val="left"/>
            </w:pPr>
            <w:r>
              <w:t xml:space="preserve">0.4</w:t>
            </w:r>
          </w:p>
        </w:tc>
      </w:tr>
      <w:tr>
        <w:tc>
          <w:tcPr>
            <w:gridSpan w:val="6"/>
          </w:tcPr>
          <w:p>
            <w:pPr>
              <w:pStyle w:val="Compact"/>
              <w:jc w:val="left"/>
            </w:pPr>
            <w:r>
              <w:rPr>
                <w:bCs/>
                <w:b/>
              </w:rPr>
              <w:t xml:space="preserve">Total Product Weight:</w:t>
            </w:r>
          </w:p>
        </w:tc>
        <w:tc>
          <w:tcPr/>
          <w:p>
            <w:pPr>
              <w:pStyle w:val="Compact"/>
              <w:jc w:val="left"/>
            </w:pPr>
            <w:r>
              <w:rPr>
                <w:bCs/>
                <w:b/>
              </w:rPr>
              <w:t xml:space="preserve">0.85 kg</w:t>
            </w:r>
          </w:p>
        </w:tc>
        <w:tc>
          <w:tcPr/>
          <w:p>
            <w:pPr>
              <w:pStyle w:val="Compact"/>
              <w:jc w:val="left"/>
            </w:pPr>
            <w:r>
              <w:rPr>
                <w:bCs/>
                <w:b/>
              </w:rPr>
              <w:t xml:space="preserve">22.1 kg CO2e</w:t>
            </w:r>
          </w:p>
        </w:tc>
      </w:tr>
    </w:tbl>
    <w:p>
      <w:pPr>
        <w:pStyle w:val="BodyText"/>
      </w:pPr>
      <w:r>
        <w:rPr>
          <w:iCs/>
          <w:i/>
        </w:rPr>
        <w:t xml:space="preserve">Note: The \'Total Carbon\' column in the illustrative BOM represents the pre-calculated emissions for each material item (Qty * Emission Factor).</w:t>
      </w:r>
    </w:p>
    <w:bookmarkEnd w:id="29"/>
    <w:bookmarkStart w:id="30" w:name="X0f7dd471c2b453d4baf5e9d0f3e542a3a463616"/>
    <w:p>
      <w:pPr>
        <w:pStyle w:val="Heading4"/>
      </w:pPr>
      <w:r>
        <w:t xml:space="preserve">B. Production Phase Energy (Scope 2 - Purchased Electricity)</w:t>
      </w:r>
    </w:p>
    <w:p>
      <w:pPr>
        <w:numPr>
          <w:ilvl w:val="0"/>
          <w:numId w:val="1002"/>
        </w:numPr>
        <w:pStyle w:val="Compact"/>
      </w:pPr>
      <w:r>
        <w:rPr>
          <w:bCs/>
          <w:b/>
        </w:rPr>
        <w:t xml:space="preserve">Renewable Energy Usage (`ywqumqmrwo` - Illustrative):</w:t>
      </w:r>
      <w:r>
        <w:t xml:space="preserve"> </w:t>
      </w:r>
      <w:r>
        <w:t xml:space="preserve">75%</w:t>
      </w:r>
    </w:p>
    <w:p>
      <w:pPr>
        <w:numPr>
          <w:ilvl w:val="0"/>
          <w:numId w:val="1002"/>
        </w:numPr>
        <w:pStyle w:val="Compact"/>
      </w:pPr>
      <w:r>
        <w:rPr>
          <w:bCs/>
          <w:b/>
        </w:rPr>
        <w:t xml:space="preserve">Energy Intensity (kWh/unit) (`vtxtpklski` - Illustrative):</w:t>
      </w:r>
      <w:r>
        <w:t xml:space="preserve"> </w:t>
      </w:r>
      <w:r>
        <w:t xml:space="preserve">15 kWh/unit</w:t>
      </w:r>
    </w:p>
    <w:p>
      <w:pPr>
        <w:pStyle w:val="FirstParagraph"/>
      </w:pPr>
      <w:r>
        <w:t xml:space="preserve">This data indicates that 75% of the electricity consumed during manufacturing is sourced from renewable energy, while 25% is from the grid mix of the final production country (China).</w:t>
      </w:r>
    </w:p>
    <w:bookmarkEnd w:id="30"/>
    <w:bookmarkStart w:id="31" w:name="X5b56f24caa3784ce8fc920d81a1da219008a919"/>
    <w:p>
      <w:pPr>
        <w:pStyle w:val="Heading4"/>
      </w:pPr>
      <w:r>
        <w:t xml:space="preserve">C. Transportation &amp; Distribution (Scope 3 - Upstream &amp; Downstream)</w:t>
      </w:r>
    </w:p>
    <w:p>
      <w:pPr>
        <w:numPr>
          <w:ilvl w:val="0"/>
          <w:numId w:val="1003"/>
        </w:numPr>
        <w:pStyle w:val="Compact"/>
      </w:pPr>
      <w:r>
        <w:rPr>
          <w:bCs/>
          <w:b/>
        </w:rPr>
        <w:t xml:space="preserve">Transport Mode (`Select Mode` - Illustrative):</w:t>
      </w:r>
    </w:p>
    <w:p>
      <w:pPr>
        <w:numPr>
          <w:ilvl w:val="1"/>
          <w:numId w:val="1004"/>
        </w:numPr>
        <w:pStyle w:val="Compact"/>
      </w:pPr>
      <w:r>
        <w:t xml:space="preserve">Primary Transport (China to Europe): Ocean Freight (Container Ship)</w:t>
      </w:r>
    </w:p>
    <w:p>
      <w:pPr>
        <w:numPr>
          <w:ilvl w:val="1"/>
          <w:numId w:val="1004"/>
        </w:numPr>
        <w:pStyle w:val="Compact"/>
      </w:pPr>
      <w:r>
        <w:t xml:space="preserve">Regional Distribution (Europe): Truck (Heavy Goods Vehicle &gt; 16t)</w:t>
      </w:r>
    </w:p>
    <w:p>
      <w:pPr>
        <w:numPr>
          <w:ilvl w:val="1"/>
          <w:numId w:val="1004"/>
        </w:numPr>
        <w:pStyle w:val="Compact"/>
      </w:pPr>
      <w:r>
        <w:t xml:space="preserve">Last-Mile Delivery: Light Commercial Vehicle (LCV) Parcel Service</w:t>
      </w:r>
    </w:p>
    <w:p>
      <w:pPr>
        <w:numPr>
          <w:ilvl w:val="0"/>
          <w:numId w:val="1003"/>
        </w:numPr>
        <w:pStyle w:val="Compact"/>
      </w:pPr>
      <w:r>
        <w:rPr>
          <w:bCs/>
          <w:b/>
        </w:rPr>
        <w:t xml:space="preserve">Transport Distance (`tylenpxlqk` - Illustrative):</w:t>
      </w:r>
    </w:p>
    <w:p>
      <w:pPr>
        <w:numPr>
          <w:ilvl w:val="1"/>
          <w:numId w:val="1005"/>
        </w:numPr>
        <w:pStyle w:val="Compact"/>
      </w:pPr>
      <w:r>
        <w:t xml:space="preserve">Ocean Freight: 10,000 km</w:t>
      </w:r>
    </w:p>
    <w:p>
      <w:pPr>
        <w:numPr>
          <w:ilvl w:val="1"/>
          <w:numId w:val="1005"/>
        </w:numPr>
        <w:pStyle w:val="Compact"/>
      </w:pPr>
      <w:r>
        <w:t xml:space="preserve">Truck (Regional): 500 km</w:t>
      </w:r>
    </w:p>
    <w:p>
      <w:pPr>
        <w:numPr>
          <w:ilvl w:val="1"/>
          <w:numId w:val="1005"/>
        </w:numPr>
        <w:pStyle w:val="Compact"/>
      </w:pPr>
      <w:r>
        <w:t xml:space="preserve">Last-Mile Delivery (LCV): 50 km (average per functional unit)</w:t>
      </w:r>
    </w:p>
    <w:p>
      <w:pPr>
        <w:pStyle w:val="FirstParagraph"/>
      </w:pPr>
      <w:r>
        <w:t xml:space="preserve">The total weight of the product (0.85 kg) is used for tonne-kilometer calculations, alongside assumptions for load factors for shared transport.</w:t>
      </w:r>
    </w:p>
    <w:bookmarkEnd w:id="31"/>
    <w:bookmarkStart w:id="32" w:name="d.-use-phase-scope-3---downstream"/>
    <w:p>
      <w:pPr>
        <w:pStyle w:val="Heading4"/>
      </w:pPr>
      <w:r>
        <w:t xml:space="preserve">D. Use Phase (Scope 3 - Downstream)</w:t>
      </w:r>
    </w:p>
    <w:p>
      <w:pPr>
        <w:numPr>
          <w:ilvl w:val="0"/>
          <w:numId w:val="1006"/>
        </w:numPr>
        <w:pStyle w:val="Compact"/>
      </w:pPr>
      <w:r>
        <w:rPr>
          <w:bCs/>
          <w:b/>
        </w:rPr>
        <w:t xml:space="preserve">Product Lifespan (`oxgvqfvnnz` - Illustrative):</w:t>
      </w:r>
      <w:r>
        <w:t xml:space="preserve"> </w:t>
      </w:r>
      <w:r>
        <w:t xml:space="preserve">5 years</w:t>
      </w:r>
    </w:p>
    <w:p>
      <w:pPr>
        <w:numPr>
          <w:ilvl w:val="0"/>
          <w:numId w:val="1006"/>
        </w:numPr>
        <w:pStyle w:val="Compact"/>
      </w:pPr>
      <w:r>
        <w:rPr>
          <w:bCs/>
          <w:b/>
        </w:rPr>
        <w:t xml:space="preserve">Energy Consumption in Use (`gmnfnnnxgp` - Illustrative):</w:t>
      </w:r>
      <w:r>
        <w:t xml:space="preserve"> </w:t>
      </w:r>
      <w:r>
        <w:t xml:space="preserve">50 kWh/year</w:t>
      </w:r>
    </w:p>
    <w:p>
      <w:pPr>
        <w:pStyle w:val="FirstParagraph"/>
      </w:pPr>
      <w:r>
        <w:t xml:space="preserve">This data accounts for the electricity consumed by the product over its entire functional lifetime.</w:t>
      </w:r>
    </w:p>
    <w:bookmarkEnd w:id="32"/>
    <w:bookmarkStart w:id="33" w:name="X69a14fea1ff725dbd9a7b3dfac8b50c6c4f2189"/>
    <w:p>
      <w:pPr>
        <w:pStyle w:val="Heading4"/>
      </w:pPr>
      <w:r>
        <w:t xml:space="preserve">E. End-of-Life (EoL) Scenarios (Scope 3 - Downstream)</w:t>
      </w:r>
    </w:p>
    <w:p>
      <w:pPr>
        <w:numPr>
          <w:ilvl w:val="0"/>
          <w:numId w:val="1007"/>
        </w:numPr>
        <w:pStyle w:val="Compact"/>
      </w:pPr>
      <w:r>
        <w:rPr>
          <w:bCs/>
          <w:b/>
        </w:rPr>
        <w:t xml:space="preserve">Recyclability Percentage (`oqnqothxun` - Illustrative):</w:t>
      </w:r>
      <w:r>
        <w:t xml:space="preserve"> </w:t>
      </w:r>
      <w:r>
        <w:t xml:space="preserve">85%</w:t>
      </w:r>
    </w:p>
    <w:p>
      <w:pPr>
        <w:numPr>
          <w:ilvl w:val="0"/>
          <w:numId w:val="1007"/>
        </w:numPr>
        <w:pStyle w:val="Compact"/>
      </w:pPr>
      <w:r>
        <w:rPr>
          <w:bCs/>
          <w:b/>
        </w:rPr>
        <w:t xml:space="preserve">Circular/Take-back Programs (`ivjufjyxwe` - Illustrative):</w:t>
      </w:r>
      <w:r>
        <w:t xml:space="preserve"> </w:t>
      </w:r>
      <w:r>
        <w:t xml:space="preserve">Established take-back program with material recovery and refurbishment options.</w:t>
      </w:r>
    </w:p>
    <w:p>
      <w:pPr>
        <w:pStyle w:val="FirstParagraph"/>
      </w:pPr>
      <w:r>
        <w:t xml:space="preserve">This data influences the emissions or avoided emissions associated with the product\'s disposal and resource recovery.</w:t>
      </w:r>
    </w:p>
    <w:bookmarkEnd w:id="33"/>
    <w:bookmarkEnd w:id="34"/>
    <w:bookmarkStart w:id="35" w:name="X39db36958ac3f1b7b6914e15908983dbbc51aad"/>
    <w:p>
      <w:pPr>
        <w:pStyle w:val="Heading3"/>
      </w:pPr>
      <w:r>
        <w:t xml:space="preserve">GHG Protocol 2026 LSR Update &amp; Scope 3 Compliance:</w:t>
      </w:r>
    </w:p>
    <w:p>
      <w:pPr>
        <w:pStyle w:val="FirstParagraph"/>
      </w:pPr>
      <w:r>
        <w:t xml:space="preserve">The analysis incorporates the principles of the GHG Protocol\'s 2026 Land Sector and Removals (LSR) Standard. The LSR Standard, effective January 1, 2027, provides a framework for accounting for land-based GHG emissions and CO2 removals. While not explicitly detailed for this product, any land-use change or biogenic carbon impacts within the supply chain would be assessed against this standard.</w:t>
      </w:r>
    </w:p>
    <w:p>
      <w:pPr>
        <w:pStyle w:val="BodyText"/>
      </w:pPr>
      <w:r>
        <w:t xml:space="preserve">In accordance with the 2026 revisions to the GHG Protocol Scope 3 Standard, this report aims for at least</w:t>
      </w:r>
      <w:r>
        <w:t xml:space="preserve"> </w:t>
      </w:r>
      <w:r>
        <w:rPr>
          <w:bCs/>
          <w:b/>
        </w:rPr>
        <w:t xml:space="preserve">95% coverage of total relevant Scope 3 emissions</w:t>
      </w:r>
      <w:r>
        <w:t xml:space="preserve">. This revised mandate emphasizes the need for comprehensive and auditable Scope 3 reporting, moving away from selective disclosure. Data is presented disaggregated by source type (primary/secondary) where applicable to enhance transparency and data quality, reflecting the updated requirements.</w:t>
      </w:r>
    </w:p>
    <w:p>
      <w:r>
        <w:pict>
          <v:rect style="width:0;height:1.5pt" o:hralign="center" o:hrstd="t" o:hr="t"/>
        </w:pict>
      </w:r>
    </w:p>
    <w:bookmarkEnd w:id="35"/>
    <w:bookmarkEnd w:id="36"/>
    <w:bookmarkStart w:id="45" w:name="Xb404f6bea4a0013006ec7a9103609d9ea6643c1"/>
    <w:p>
      <w:pPr>
        <w:pStyle w:val="Heading2"/>
      </w:pPr>
      <w:r>
        <w:t xml:space="preserve">4. Calculate Emissions (Activity * Emission Factor = CO2e)</w:t>
      </w:r>
    </w:p>
    <w:p>
      <w:pPr>
        <w:pStyle w:val="FirstParagraph"/>
      </w:pPr>
      <w:r>
        <w:t xml:space="preserve">Emissions are calculated for each lifecycle stage by multiplying the activity data by appropriate emission factors. Industry-standard emission factors are used (illustrative where specific databases are not accessible), aligned with GHG Protocol methodologies. All results are expressed in kilograms of CO2 equivalent (kg CO2e).</w:t>
      </w:r>
    </w:p>
    <w:bookmarkStart w:id="37" w:name="illustrative-emission-factors-used"/>
    <w:p>
      <w:pPr>
        <w:pStyle w:val="Heading3"/>
      </w:pPr>
      <w:r>
        <w:t xml:space="preserve">Illustrative Emission Factors Used:</w:t>
      </w:r>
    </w:p>
    <w:p>
      <w:pPr>
        <w:numPr>
          <w:ilvl w:val="0"/>
          <w:numId w:val="1008"/>
        </w:numPr>
        <w:pStyle w:val="Compact"/>
      </w:pPr>
      <w:r>
        <w:rPr>
          <w:bCs/>
          <w:b/>
        </w:rPr>
        <w:t xml:space="preserve">Electricity (China Grid Mix):</w:t>
      </w:r>
      <w:r>
        <w:t xml:space="preserve"> </w:t>
      </w:r>
      <w:r>
        <w:t xml:space="preserve">0.556 kg CO2e/kWh (IEA, 2020)</w:t>
      </w:r>
    </w:p>
    <w:p>
      <w:pPr>
        <w:numPr>
          <w:ilvl w:val="0"/>
          <w:numId w:val="1008"/>
        </w:numPr>
        <w:pStyle w:val="Compact"/>
      </w:pPr>
      <w:r>
        <w:rPr>
          <w:bCs/>
          <w:b/>
        </w:rPr>
        <w:t xml:space="preserve">Ocean Freight (Container Ship):</w:t>
      </w:r>
      <w:r>
        <w:t xml:space="preserve"> </w:t>
      </w:r>
      <w:r>
        <w:t xml:space="preserve">0.016 kg CO2e/tonne-km</w:t>
      </w:r>
    </w:p>
    <w:p>
      <w:pPr>
        <w:numPr>
          <w:ilvl w:val="0"/>
          <w:numId w:val="1008"/>
        </w:numPr>
        <w:pStyle w:val="Compact"/>
      </w:pPr>
      <w:r>
        <w:rPr>
          <w:bCs/>
          <w:b/>
        </w:rPr>
        <w:t xml:space="preserve">Truck (HGV &gt; 16t, Europe):</w:t>
      </w:r>
      <w:r>
        <w:t xml:space="preserve"> </w:t>
      </w:r>
      <w:r>
        <w:t xml:space="preserve">0.092 kg CO2e/tonne-km</w:t>
      </w:r>
    </w:p>
    <w:p>
      <w:pPr>
        <w:numPr>
          <w:ilvl w:val="0"/>
          <w:numId w:val="1008"/>
        </w:numPr>
        <w:pStyle w:val="Compact"/>
      </w:pPr>
      <w:r>
        <w:rPr>
          <w:bCs/>
          <w:b/>
        </w:rPr>
        <w:t xml:space="preserve">Last-Mile Delivery (LCV Parcel Service):</w:t>
      </w:r>
      <w:r>
        <w:t xml:space="preserve"> </w:t>
      </w:r>
      <w:r>
        <w:t xml:space="preserve">0.005 kg CO2e/package-km (illustrative, derived from LCV factors and parcel allocation)</w:t>
      </w:r>
    </w:p>
    <w:p>
      <w:pPr>
        <w:numPr>
          <w:ilvl w:val="0"/>
          <w:numId w:val="1008"/>
        </w:numPr>
        <w:pStyle w:val="Compact"/>
      </w:pPr>
      <w:r>
        <w:rPr>
          <w:bCs/>
          <w:b/>
        </w:rPr>
        <w:t xml:space="preserve">Global Average Grid Electricity (Use Phase):</w:t>
      </w:r>
      <w:r>
        <w:t xml:space="preserve"> </w:t>
      </w:r>
      <w:r>
        <w:t xml:space="preserve">0.35 kg CO2e/kWh (illustrative)</w:t>
      </w:r>
    </w:p>
    <w:p>
      <w:pPr>
        <w:numPr>
          <w:ilvl w:val="0"/>
          <w:numId w:val="1008"/>
        </w:numPr>
        <w:pStyle w:val="Compact"/>
      </w:pPr>
      <w:r>
        <w:rPr>
          <w:bCs/>
          <w:b/>
        </w:rPr>
        <w:t xml:space="preserve">End-of-Life Landfill (General Waste):</w:t>
      </w:r>
      <w:r>
        <w:t xml:space="preserve"> </w:t>
      </w:r>
      <w:r>
        <w:t xml:space="preserve">0.20 kg CO2e/kg</w:t>
      </w:r>
    </w:p>
    <w:p>
      <w:pPr>
        <w:numPr>
          <w:ilvl w:val="0"/>
          <w:numId w:val="1008"/>
        </w:numPr>
        <w:pStyle w:val="Compact"/>
      </w:pPr>
      <w:r>
        <w:rPr>
          <w:bCs/>
          <w:b/>
        </w:rPr>
        <w:t xml:space="preserve">End-of-Life Recycling (Avoided Emissions, Illustrative):</w:t>
      </w:r>
      <w:r>
        <w:t xml:space="preserve"> </w:t>
      </w:r>
      <w:r>
        <w:t xml:space="preserve">-1.5 kg CO2e/kg (for material substitution, reported separately per GHG Protocol guidance)</w:t>
      </w:r>
    </w:p>
    <w:bookmarkEnd w:id="37"/>
    <w:bookmarkStart w:id="43" w:name="detailed-emission-calculations"/>
    <w:p>
      <w:pPr>
        <w:pStyle w:val="Heading3"/>
      </w:pPr>
      <w:r>
        <w:t xml:space="preserve">Detailed Emission Calculations:</w:t>
      </w:r>
    </w:p>
    <w:bookmarkStart w:id="38" w:name="X1a58f041b6ad55c078c0123bf596cd7d4210b7b"/>
    <w:p>
      <w:pPr>
        <w:pStyle w:val="Heading4"/>
      </w:pPr>
      <w:r>
        <w:t xml:space="preserve">A. Raw Material Acquisition &amp; Pre-processing (Scope 3 - Upstream, Category 1: Purchased Goods and Services)</w:t>
      </w:r>
    </w:p>
    <w:p>
      <w:pPr>
        <w:pStyle w:val="FirstParagraph"/>
      </w:pPr>
      <w:r>
        <w:t xml:space="preserve">As per the illustrative BOM, the total carbon for materials is directly summed:</w:t>
      </w:r>
    </w:p>
    <w:p>
      <w:pPr>
        <w:numPr>
          <w:ilvl w:val="0"/>
          <w:numId w:val="1009"/>
        </w:numPr>
        <w:pStyle w:val="Compact"/>
      </w:pPr>
      <w:r>
        <w:t xml:space="preserve">Aluminum Casing: 6.0 kg CO2e</w:t>
      </w:r>
    </w:p>
    <w:p>
      <w:pPr>
        <w:numPr>
          <w:ilvl w:val="0"/>
          <w:numId w:val="1009"/>
        </w:numPr>
        <w:pStyle w:val="Compact"/>
      </w:pPr>
      <w:r>
        <w:t xml:space="preserve">Circuit Board (populated): 15.0 kg CO2e</w:t>
      </w:r>
    </w:p>
    <w:p>
      <w:pPr>
        <w:numPr>
          <w:ilvl w:val="0"/>
          <w:numId w:val="1009"/>
        </w:numPr>
        <w:pStyle w:val="Compact"/>
      </w:pPr>
      <w:r>
        <w:t xml:space="preserve">Plastic Housing: 0.7 kg CO2e</w:t>
      </w:r>
    </w:p>
    <w:p>
      <w:pPr>
        <w:numPr>
          <w:ilvl w:val="0"/>
          <w:numId w:val="1009"/>
        </w:numPr>
        <w:pStyle w:val="Compact"/>
      </w:pPr>
      <w:r>
        <w:t xml:space="preserve">Copper Wiring: 0.4 kg CO2e</w:t>
      </w:r>
    </w:p>
    <w:p>
      <w:pPr>
        <w:pStyle w:val="FirstParagraph"/>
      </w:pPr>
      <w:r>
        <w:rPr>
          <w:bCs/>
          <w:b/>
        </w:rPr>
        <w:t xml:space="preserve">Total Material Emissions: 22.1 kg CO2e</w:t>
      </w:r>
    </w:p>
    <w:bookmarkEnd w:id="38"/>
    <w:bookmarkStart w:id="39" w:name="X7b022c74cddaa1b950b5c1ef4e7f63703e13511"/>
    <w:p>
      <w:pPr>
        <w:pStyle w:val="Heading4"/>
      </w:pPr>
      <w:r>
        <w:t xml:space="preserve">B. Production/Manufacturing (Scope 1 &amp; Scope 2)</w:t>
      </w:r>
    </w:p>
    <w:p>
      <w:pPr>
        <w:pStyle w:val="FirstParagraph"/>
      </w:pPr>
      <w:r>
        <w:t xml:space="preserve">Assuming the factory sources 75% renewable energy, 25% comes from the local grid (China).</w:t>
      </w:r>
    </w:p>
    <w:p>
      <w:pPr>
        <w:numPr>
          <w:ilvl w:val="0"/>
          <w:numId w:val="1010"/>
        </w:numPr>
        <w:pStyle w:val="Compact"/>
      </w:pPr>
      <w:r>
        <w:t xml:space="preserve">Energy Intensity: 15 kWh/unit (`vtxtpklski`)</w:t>
      </w:r>
    </w:p>
    <w:p>
      <w:pPr>
        <w:numPr>
          <w:ilvl w:val="0"/>
          <w:numId w:val="1010"/>
        </w:numPr>
        <w:pStyle w:val="Compact"/>
      </w:pPr>
      <w:r>
        <w:t xml:space="preserve">Non-renewable electricity used: 15 kWh * (1 - 0.75) = 3.75 kWh</w:t>
      </w:r>
    </w:p>
    <w:p>
      <w:pPr>
        <w:numPr>
          <w:ilvl w:val="0"/>
          <w:numId w:val="1010"/>
        </w:numPr>
        <w:pStyle w:val="Compact"/>
      </w:pPr>
      <w:r>
        <w:t xml:space="preserve">Emissions from purchased electricity: 3.75 kWh * 0.556 kg CO2e/kWh (China grid) = 2.085 kg CO2e</w:t>
      </w:r>
    </w:p>
    <w:p>
      <w:pPr>
        <w:pStyle w:val="FirstParagraph"/>
      </w:pPr>
      <w:r>
        <w:rPr>
          <w:bCs/>
          <w:b/>
        </w:rPr>
        <w:t xml:space="preserve">Total Production Energy Emissions (Scope 2): 2.09 kg CO2e</w:t>
      </w:r>
    </w:p>
    <w:p>
      <w:pPr>
        <w:pStyle w:val="BodyText"/>
      </w:pPr>
      <w:r>
        <w:rPr>
          <w:iCs/>
          <w:i/>
        </w:rPr>
        <w:t xml:space="preserve">(Note: Scope 1 direct emissions from manufacturing, e.g., on-site fuel combustion, are assumed negligible for this illustrative calculation, but would be included in a full analysis.)</w:t>
      </w:r>
    </w:p>
    <w:bookmarkEnd w:id="39"/>
    <w:bookmarkStart w:id="40" w:name="Xca6c8ed755dbf48639cbea9aacaead5330439b5"/>
    <w:p>
      <w:pPr>
        <w:pStyle w:val="Heading4"/>
      </w:pPr>
      <w:r>
        <w:t xml:space="preserve">C. Transportation &amp; Distribution (Scope 3 - Upstream &amp; Downstream, Categories 4 &amp; 9)</w:t>
      </w:r>
    </w:p>
    <w:p>
      <w:pPr>
        <w:pStyle w:val="FirstParagraph"/>
      </w:pPr>
      <w:r>
        <w:t xml:space="preserve">Product Weight: 0.85 kg</w:t>
      </w:r>
    </w:p>
    <w:p>
      <w:pPr>
        <w:numPr>
          <w:ilvl w:val="0"/>
          <w:numId w:val="1011"/>
        </w:numPr>
        <w:pStyle w:val="Compact"/>
      </w:pPr>
      <w:r>
        <w:rPr>
          <w:bCs/>
          <w:b/>
        </w:rPr>
        <w:t xml:space="preserve">Primary Transport (Ocean Freight):</w:t>
      </w:r>
    </w:p>
    <w:p>
      <w:pPr>
        <w:numPr>
          <w:ilvl w:val="1"/>
          <w:numId w:val="1012"/>
        </w:numPr>
        <w:pStyle w:val="Compact"/>
      </w:pPr>
      <w:r>
        <w:t xml:space="preserve">Distance: 10,000 km</w:t>
      </w:r>
    </w:p>
    <w:p>
      <w:pPr>
        <w:numPr>
          <w:ilvl w:val="1"/>
          <w:numId w:val="1012"/>
        </w:numPr>
        <w:pStyle w:val="Compact"/>
      </w:pPr>
      <w:r>
        <w:t xml:space="preserve">Emissions: 10,000 km * 0.016 kg CO2e/tonne-km * (0.85 kg / 1000 kg/tonne) = 0.136 kg CO2e</w:t>
      </w:r>
    </w:p>
    <w:p>
      <w:pPr>
        <w:numPr>
          <w:ilvl w:val="0"/>
          <w:numId w:val="1011"/>
        </w:numPr>
        <w:pStyle w:val="Compact"/>
      </w:pPr>
      <w:r>
        <w:rPr>
          <w:bCs/>
          <w:b/>
        </w:rPr>
        <w:t xml:space="preserve">Primary Transport (Truck - Regional):</w:t>
      </w:r>
    </w:p>
    <w:p>
      <w:pPr>
        <w:numPr>
          <w:ilvl w:val="1"/>
          <w:numId w:val="1013"/>
        </w:numPr>
        <w:pStyle w:val="Compact"/>
      </w:pPr>
      <w:r>
        <w:t xml:space="preserve">Distance: 500 km</w:t>
      </w:r>
    </w:p>
    <w:p>
      <w:pPr>
        <w:numPr>
          <w:ilvl w:val="1"/>
          <w:numId w:val="1013"/>
        </w:numPr>
        <w:pStyle w:val="Compact"/>
      </w:pPr>
      <w:r>
        <w:t xml:space="preserve">Emissions: 500 km * 0.092 kg CO2e/tonne-km * (0.85 kg / 1000 kg/tonne) = 0.0391 kg CO2e</w:t>
      </w:r>
    </w:p>
    <w:p>
      <w:pPr>
        <w:numPr>
          <w:ilvl w:val="0"/>
          <w:numId w:val="1011"/>
        </w:numPr>
        <w:pStyle w:val="Compact"/>
      </w:pPr>
      <w:r>
        <w:rPr>
          <w:bCs/>
          <w:b/>
        </w:rPr>
        <w:t xml:space="preserve">Last-Mile Delivery (LCV Parcel Service):</w:t>
      </w:r>
    </w:p>
    <w:p>
      <w:pPr>
        <w:numPr>
          <w:ilvl w:val="1"/>
          <w:numId w:val="1014"/>
        </w:numPr>
        <w:pStyle w:val="Compact"/>
      </w:pPr>
      <w:r>
        <w:t xml:space="preserve">Distance: 50 km</w:t>
      </w:r>
    </w:p>
    <w:p>
      <w:pPr>
        <w:numPr>
          <w:ilvl w:val="1"/>
          <w:numId w:val="1014"/>
        </w:numPr>
        <w:pStyle w:val="Compact"/>
      </w:pPr>
      <w:r>
        <w:t xml:space="preserve">Emissions: 50 km * 0.005 kg CO2e/package-km = 0.25 kg CO2e</w:t>
      </w:r>
    </w:p>
    <w:p>
      <w:pPr>
        <w:pStyle w:val="FirstParagraph"/>
      </w:pPr>
      <w:r>
        <w:rPr>
          <w:bCs/>
          <w:b/>
        </w:rPr>
        <w:t xml:space="preserve">Total Transportation &amp; Distribution Emissions: 0.136 + 0.039 + 0.25 = 0.425 kg CO2e</w:t>
      </w:r>
    </w:p>
    <w:bookmarkEnd w:id="40"/>
    <w:bookmarkStart w:id="41" w:name="X04d001e01fab1ca2e1a02dfb38c2602a4a93af5"/>
    <w:p>
      <w:pPr>
        <w:pStyle w:val="Heading4"/>
      </w:pPr>
      <w:r>
        <w:t xml:space="preserve">D. Use Phase (Scope 3 - Downstream, Category 11: Use of Sold Products)</w:t>
      </w:r>
    </w:p>
    <w:p>
      <w:pPr>
        <w:numPr>
          <w:ilvl w:val="0"/>
          <w:numId w:val="1015"/>
        </w:numPr>
        <w:pStyle w:val="Compact"/>
      </w:pPr>
      <w:r>
        <w:t xml:space="preserve">Product Lifespan: 5 years (`oxgvqfvnnz`)</w:t>
      </w:r>
    </w:p>
    <w:p>
      <w:pPr>
        <w:numPr>
          <w:ilvl w:val="0"/>
          <w:numId w:val="1015"/>
        </w:numPr>
        <w:pStyle w:val="Compact"/>
      </w:pPr>
      <w:r>
        <w:t xml:space="preserve">Annual Energy Consumption: 50 kWh/year (`gmnfnnnxgp`)</w:t>
      </w:r>
    </w:p>
    <w:p>
      <w:pPr>
        <w:numPr>
          <w:ilvl w:val="0"/>
          <w:numId w:val="1015"/>
        </w:numPr>
        <w:pStyle w:val="Compact"/>
      </w:pPr>
      <w:r>
        <w:t xml:space="preserve">Total Energy Consumption: 5 years * 50 kWh/year = 250 kWh</w:t>
      </w:r>
    </w:p>
    <w:p>
      <w:pPr>
        <w:numPr>
          <w:ilvl w:val="0"/>
          <w:numId w:val="1015"/>
        </w:numPr>
        <w:pStyle w:val="Compact"/>
      </w:pPr>
      <w:r>
        <w:t xml:space="preserve">Emissions: 250 kWh * 0.35 kg CO2e/kWh (global average grid) = 87.5 kg CO2e</w:t>
      </w:r>
    </w:p>
    <w:p>
      <w:pPr>
        <w:pStyle w:val="FirstParagraph"/>
      </w:pPr>
      <w:r>
        <w:rPr>
          <w:bCs/>
          <w:b/>
        </w:rPr>
        <w:t xml:space="preserve">Total Use Phase Emissions: 87.5 kg CO2e</w:t>
      </w:r>
    </w:p>
    <w:bookmarkEnd w:id="41"/>
    <w:bookmarkStart w:id="42" w:name="X9692d7d9a3375e57e5e672872cb58a9d7e9b108"/>
    <w:p>
      <w:pPr>
        <w:pStyle w:val="Heading4"/>
      </w:pPr>
      <w:r>
        <w:t xml:space="preserve">E. End-of-Life (EoL) (Scope 3 - Downstream, Category 12: End-of-Life Treatment of Sold Products)</w:t>
      </w:r>
    </w:p>
    <w:p>
      <w:pPr>
        <w:numPr>
          <w:ilvl w:val="0"/>
          <w:numId w:val="1016"/>
        </w:numPr>
        <w:pStyle w:val="Compact"/>
      </w:pPr>
      <w:r>
        <w:t xml:space="preserve">Product Weight: 0.85 kg</w:t>
      </w:r>
    </w:p>
    <w:p>
      <w:pPr>
        <w:numPr>
          <w:ilvl w:val="0"/>
          <w:numId w:val="1016"/>
        </w:numPr>
        <w:pStyle w:val="Compact"/>
      </w:pPr>
      <w:r>
        <w:t xml:space="preserve">Recyclability Percentage: 85% (`oqnqothxun`)</w:t>
      </w:r>
    </w:p>
    <w:p>
      <w:pPr>
        <w:numPr>
          <w:ilvl w:val="0"/>
          <w:numId w:val="1016"/>
        </w:numPr>
        <w:pStyle w:val="Compact"/>
      </w:pPr>
      <w:r>
        <w:t xml:space="preserve">Amount recycled: 0.85 kg * 0.85 = 0.7225 kg</w:t>
      </w:r>
    </w:p>
    <w:p>
      <w:pPr>
        <w:numPr>
          <w:ilvl w:val="0"/>
          <w:numId w:val="1016"/>
        </w:numPr>
        <w:pStyle w:val="Compact"/>
      </w:pPr>
      <w:r>
        <w:t xml:space="preserve">Amount to landfill: 0.85 kg * (1 - 0.85) = 0.1275 kg</w:t>
      </w:r>
    </w:p>
    <w:p>
      <w:pPr>
        <w:numPr>
          <w:ilvl w:val="0"/>
          <w:numId w:val="1017"/>
        </w:numPr>
        <w:pStyle w:val="Compact"/>
      </w:pPr>
      <w:r>
        <w:t xml:space="preserve">Emissions from Landfill: 0.1275 kg * 0.20 kg CO2e/kg = 0.0255 kg CO2e</w:t>
      </w:r>
    </w:p>
    <w:p>
      <w:pPr>
        <w:numPr>
          <w:ilvl w:val="0"/>
          <w:numId w:val="1017"/>
        </w:numPr>
        <w:pStyle w:val="Compact"/>
      </w:pPr>
      <w:r>
        <w:t xml:space="preserve">Avoided Emissions from Recycling (reported separately): 0.7225 kg * (-1.5 kg CO2e/kg) = -1.08375 kg CO2e</w:t>
      </w:r>
    </w:p>
    <w:p>
      <w:pPr>
        <w:pStyle w:val="FirstParagraph"/>
      </w:pPr>
      <w:r>
        <w:rPr>
          <w:bCs/>
          <w:b/>
        </w:rPr>
        <w:t xml:space="preserve">Total End-of-Life Emissions (excluding avoided): 0.026 kg CO2e</w:t>
      </w:r>
    </w:p>
    <w:p>
      <w:pPr>
        <w:pStyle w:val="BodyText"/>
      </w:pPr>
      <w:r>
        <w:rPr>
          <w:iCs/>
          <w:i/>
        </w:rPr>
        <w:t xml:space="preserve">(Note: As per GHG Protocol guidance, avoided emissions from recycling are generally reported separately from the core GHG inventory to prevent double-counting. For the purpose of this PCF total, the direct emissions from disposal are included, and the potential benefit from recycling is noted.)</w:t>
      </w:r>
    </w:p>
    <w:bookmarkEnd w:id="42"/>
    <w:bookmarkEnd w:id="43"/>
    <w:bookmarkStart w:id="44" w:name="Xaa6ceca80207a25c392bcf51496e0bcbfe47802"/>
    <w:p>
      <w:pPr>
        <w:pStyle w:val="Heading3"/>
      </w:pPr>
      <w:r>
        <w:t xml:space="preserve">Overall Product Carbon Footprint (PCF) Summary:</w:t>
      </w:r>
    </w:p>
    <w:tbl>
      <w:tblPr>
        <w:tblStyle w:val="Table"/>
        <w:tblW w:type="auto" w:w="0"/>
        <w:tblLook w:firstRow="1" w:lastRow="1"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Emissions (kg CO2e)</w:t>
            </w:r>
          </w:p>
        </w:tc>
      </w:tr>
      <w:tr>
        <w:tc>
          <w:tcPr/>
          <w:p>
            <w:pPr>
              <w:pStyle w:val="Compact"/>
              <w:jc w:val="left"/>
            </w:pPr>
            <w:r>
              <w:t xml:space="preserve">Raw Material Acquisition &amp; Pre-processing</w:t>
            </w:r>
          </w:p>
        </w:tc>
        <w:tc>
          <w:tcPr/>
          <w:p>
            <w:pPr>
              <w:pStyle w:val="Compact"/>
              <w:jc w:val="left"/>
            </w:pPr>
            <w:r>
              <w:t xml:space="preserve">Scope 3 (Category 1)</w:t>
            </w:r>
          </w:p>
        </w:tc>
        <w:tc>
          <w:tcPr/>
          <w:p>
            <w:pPr>
              <w:pStyle w:val="Compact"/>
              <w:jc w:val="left"/>
            </w:pPr>
            <w:r>
              <w:t xml:space="preserve">22.10</w:t>
            </w:r>
          </w:p>
        </w:tc>
      </w:tr>
      <w:tr>
        <w:tc>
          <w:tcPr/>
          <w:p>
            <w:pPr>
              <w:pStyle w:val="Compact"/>
              <w:jc w:val="left"/>
            </w:pPr>
            <w:r>
              <w:t xml:space="preserve">Production/Manufacturing Energy</w:t>
            </w:r>
          </w:p>
        </w:tc>
        <w:tc>
          <w:tcPr/>
          <w:p>
            <w:pPr>
              <w:pStyle w:val="Compact"/>
              <w:jc w:val="left"/>
            </w:pPr>
            <w:r>
              <w:t xml:space="preserve">Scope 2</w:t>
            </w:r>
          </w:p>
        </w:tc>
        <w:tc>
          <w:tcPr/>
          <w:p>
            <w:pPr>
              <w:pStyle w:val="Compact"/>
              <w:jc w:val="left"/>
            </w:pPr>
            <w:r>
              <w:t xml:space="preserve">2.09</w:t>
            </w:r>
          </w:p>
        </w:tc>
      </w:tr>
      <w:tr>
        <w:tc>
          <w:tcPr/>
          <w:p>
            <w:pPr>
              <w:pStyle w:val="Compact"/>
              <w:jc w:val="left"/>
            </w:pPr>
            <w:r>
              <w:t xml:space="preserve">Transportation &amp; Distribution</w:t>
            </w:r>
          </w:p>
        </w:tc>
        <w:tc>
          <w:tcPr/>
          <w:p>
            <w:pPr>
              <w:pStyle w:val="Compact"/>
              <w:jc w:val="left"/>
            </w:pPr>
            <w:r>
              <w:t xml:space="preserve">Scope 3 (Categories 4 &amp; 9)</w:t>
            </w:r>
          </w:p>
        </w:tc>
        <w:tc>
          <w:tcPr/>
          <w:p>
            <w:pPr>
              <w:pStyle w:val="Compact"/>
              <w:jc w:val="left"/>
            </w:pPr>
            <w:r>
              <w:t xml:space="preserve">0.43</w:t>
            </w:r>
          </w:p>
        </w:tc>
      </w:tr>
      <w:tr>
        <w:tc>
          <w:tcPr/>
          <w:p>
            <w:pPr>
              <w:pStyle w:val="Compact"/>
              <w:jc w:val="left"/>
            </w:pPr>
            <w:r>
              <w:t xml:space="preserve">Use Phase</w:t>
            </w:r>
          </w:p>
        </w:tc>
        <w:tc>
          <w:tcPr/>
          <w:p>
            <w:pPr>
              <w:pStyle w:val="Compact"/>
              <w:jc w:val="left"/>
            </w:pPr>
            <w:r>
              <w:t xml:space="preserve">Scope 3 (Category 11)</w:t>
            </w:r>
          </w:p>
        </w:tc>
        <w:tc>
          <w:tcPr/>
          <w:p>
            <w:pPr>
              <w:pStyle w:val="Compact"/>
              <w:jc w:val="left"/>
            </w:pPr>
            <w:r>
              <w:t xml:space="preserve">87.50</w:t>
            </w:r>
          </w:p>
        </w:tc>
      </w:tr>
      <w:tr>
        <w:tc>
          <w:tcPr/>
          <w:p>
            <w:pPr>
              <w:pStyle w:val="Compact"/>
              <w:jc w:val="left"/>
            </w:pPr>
            <w:r>
              <w:t xml:space="preserve">End-of-Life Treatment (Disposal)</w:t>
            </w:r>
          </w:p>
        </w:tc>
        <w:tc>
          <w:tcPr/>
          <w:p>
            <w:pPr>
              <w:pStyle w:val="Compact"/>
              <w:jc w:val="left"/>
            </w:pPr>
            <w:r>
              <w:t xml:space="preserve">Scope 3 (Category 12)</w:t>
            </w:r>
          </w:p>
        </w:tc>
        <w:tc>
          <w:tcPr/>
          <w:p>
            <w:pPr>
              <w:pStyle w:val="Compact"/>
              <w:jc w:val="left"/>
            </w:pPr>
            <w:r>
              <w:t xml:space="preserve">0.03</w:t>
            </w:r>
          </w:p>
        </w:tc>
      </w:tr>
      <w:tr>
        <w:tc>
          <w:tcPr/>
          <w:p>
            <w:pPr>
              <w:pStyle w:val="Compact"/>
              <w:jc w:val="left"/>
            </w:pPr>
            <w:r>
              <w:rPr>
                <w:iCs/>
                <w:i/>
              </w:rPr>
              <w:t xml:space="preserve">End-of-Life Avoided Emissions (Recycling)</w:t>
            </w:r>
          </w:p>
        </w:tc>
        <w:tc>
          <w:tcPr/>
          <w:p>
            <w:pPr>
              <w:pStyle w:val="Compact"/>
              <w:jc w:val="left"/>
            </w:pPr>
            <w:r>
              <w:rPr>
                <w:iCs/>
                <w:i/>
              </w:rPr>
              <w:t xml:space="preserve">(Reported Separately)</w:t>
            </w:r>
          </w:p>
        </w:tc>
        <w:tc>
          <w:tcPr/>
          <w:p>
            <w:pPr>
              <w:pStyle w:val="Compact"/>
              <w:jc w:val="left"/>
            </w:pPr>
            <w:r>
              <w:rPr>
                <w:iCs/>
                <w:i/>
              </w:rPr>
              <w:t xml:space="preserve">(-1.08)</w:t>
            </w:r>
          </w:p>
        </w:tc>
      </w:tr>
      <w:tr>
        <w:tc>
          <w:tcPr>
            <w:gridSpan w:val="2"/>
          </w:tcPr>
          <w:p>
            <w:pPr>
              <w:pStyle w:val="Compact"/>
              <w:jc w:val="left"/>
            </w:pPr>
            <w:r>
              <w:rPr>
                <w:bCs/>
                <w:b/>
              </w:rPr>
              <w:t xml:space="preserve">Total Product Carbon Footprint (fdswutzwne)</w:t>
            </w:r>
          </w:p>
        </w:tc>
        <w:tc>
          <w:tcPr/>
          <w:p>
            <w:pPr>
              <w:pStyle w:val="Compact"/>
              <w:jc w:val="left"/>
            </w:pPr>
            <w:r>
              <w:rPr>
                <w:bCs/>
                <w:b/>
              </w:rPr>
              <w:t xml:space="preserve">112.15 kg CO2e</w:t>
            </w:r>
          </w:p>
        </w:tc>
      </w:tr>
    </w:tbl>
    <w:p>
      <w:r>
        <w:pict>
          <v:rect style="width:0;height:1.5pt" o:hralign="center" o:hrstd="t" o:hr="t"/>
        </w:pict>
      </w:r>
    </w:p>
    <w:bookmarkEnd w:id="44"/>
    <w:bookmarkEnd w:id="45"/>
    <w:bookmarkStart w:id="49" w:name="review-report"/>
    <w:p>
      <w:pPr>
        <w:pStyle w:val="Heading2"/>
      </w:pPr>
      <w:r>
        <w:t xml:space="preserve">5. Review &amp; Report</w:t>
      </w:r>
    </w:p>
    <w:p>
      <w:pPr>
        <w:pStyle w:val="FirstParagraph"/>
      </w:pPr>
      <w:r>
        <w:t xml:space="preserve">This section summarizes the key findings, identifies emission hotspots, and assesses the reliability of the PCF analysis for fdswutzwne.</w:t>
      </w:r>
    </w:p>
    <w:bookmarkStart w:id="46" w:name="a.-emission-hotspots"/>
    <w:p>
      <w:pPr>
        <w:pStyle w:val="Heading3"/>
      </w:pPr>
      <w:r>
        <w:t xml:space="preserve">A. Emission Hotspots:</w:t>
      </w:r>
    </w:p>
    <w:p>
      <w:pPr>
        <w:pStyle w:val="FirstParagraph"/>
      </w:pPr>
      <w:r>
        <w:t xml:space="preserve">The PCF analysis reveals the following key emission hotspots for the fdswutzwne product:</w:t>
      </w:r>
    </w:p>
    <w:p>
      <w:pPr>
        <w:numPr>
          <w:ilvl w:val="0"/>
          <w:numId w:val="1018"/>
        </w:numPr>
        <w:pStyle w:val="Compact"/>
      </w:pPr>
      <w:r>
        <w:rPr>
          <w:bCs/>
          <w:b/>
        </w:rPr>
        <w:t xml:space="preserve">Use Phase (87.50 kg CO2e):</w:t>
      </w:r>
      <w:r>
        <w:t xml:space="preserve"> </w:t>
      </w:r>
      <w:r>
        <w:t xml:space="preserve">This stage represents the most significant contributor to the product\'s overall carbon footprint, accounting for approximately 78% of total emissions. The energy consumption over the product\'s 5-year lifespan (50 kWh/year) drives this impact.</w:t>
      </w:r>
    </w:p>
    <w:p>
      <w:pPr>
        <w:numPr>
          <w:ilvl w:val="0"/>
          <w:numId w:val="1018"/>
        </w:numPr>
        <w:pStyle w:val="Compact"/>
      </w:pPr>
      <w:r>
        <w:rPr>
          <w:bCs/>
          <w:b/>
        </w:rPr>
        <w:t xml:space="preserve">Raw Material Acquisition &amp; Pre-processing (22.10 kg CO2e):</w:t>
      </w:r>
      <w:r>
        <w:t xml:space="preserve"> </w:t>
      </w:r>
      <w:r>
        <w:t xml:space="preserve">Materials, particularly the circuit board and aluminum casing, contribute substantially, representing about 20% of the total footprint. This highlights the importance of material selection and supply chain decarbonization.</w:t>
      </w:r>
    </w:p>
    <w:p>
      <w:pPr>
        <w:numPr>
          <w:ilvl w:val="0"/>
          <w:numId w:val="1018"/>
        </w:numPr>
        <w:pStyle w:val="Compact"/>
      </w:pPr>
      <w:r>
        <w:rPr>
          <w:bCs/>
          <w:b/>
        </w:rPr>
        <w:t xml:space="preserve">Production/Manufacturing Energy (2.09 kg CO2e):</w:t>
      </w:r>
      <w:r>
        <w:t xml:space="preserve"> </w:t>
      </w:r>
      <w:r>
        <w:t xml:space="preserve">While significant, the impact here is mitigated by the illustrative 75% renewable energy usage. Without such renewable sourcing, this hotspot would be considerably larger.</w:t>
      </w:r>
    </w:p>
    <w:p>
      <w:pPr>
        <w:numPr>
          <w:ilvl w:val="0"/>
          <w:numId w:val="1018"/>
        </w:numPr>
        <w:pStyle w:val="Compact"/>
      </w:pPr>
      <w:r>
        <w:rPr>
          <w:bCs/>
          <w:b/>
        </w:rPr>
        <w:t xml:space="preserve">Transportation &amp; Distribution (0.43 kg CO2e) and End-of-Life (0.03 kg CO2e):</w:t>
      </w:r>
      <w:r>
        <w:t xml:space="preserve"> </w:t>
      </w:r>
      <w:r>
        <w:t xml:space="preserve">These stages contribute a smaller percentage to the overall footprint in this illustrative scenario, though optimizing these remains important for a holistic approach.</w:t>
      </w:r>
    </w:p>
    <w:bookmarkEnd w:id="46"/>
    <w:bookmarkStart w:id="47" w:name="b.-reliability-and-recommendations"/>
    <w:p>
      <w:pPr>
        <w:pStyle w:val="Heading3"/>
      </w:pPr>
      <w:r>
        <w:t xml:space="preserve">B. Reliability and Recommendations:</w:t>
      </w:r>
    </w:p>
    <w:p>
      <w:pPr>
        <w:pStyle w:val="FirstParagraph"/>
      </w:pPr>
      <w:r>
        <w:t xml:space="preserve">The reliability of this analysis is primarily constrained by the use of illustrative data for key parameters, necessitated by the placeholder inputs provided. In a real-world application, the following would significantly enhance reliability:</w:t>
      </w:r>
    </w:p>
    <w:p>
      <w:pPr>
        <w:numPr>
          <w:ilvl w:val="0"/>
          <w:numId w:val="1019"/>
        </w:numPr>
        <w:pStyle w:val="Compact"/>
      </w:pPr>
      <w:r>
        <w:rPr>
          <w:bCs/>
          <w:b/>
        </w:rPr>
        <w:t xml:space="preserve">Primary Data Collection:</w:t>
      </w:r>
      <w:r>
        <w:t xml:space="preserve"> </w:t>
      </w:r>
      <w:r>
        <w:t xml:space="preserve">Obtaining actual Bill of Materials data, precise energy consumption figures from manufacturing facilities (including Scope 1 fuels), exact transport modes, distances, and load factors, and verified end-of-life treatment routes would be crucial.</w:t>
      </w:r>
    </w:p>
    <w:p>
      <w:pPr>
        <w:numPr>
          <w:ilvl w:val="0"/>
          <w:numId w:val="1019"/>
        </w:numPr>
        <w:pStyle w:val="Compact"/>
      </w:pPr>
      <w:r>
        <w:rPr>
          <w:bCs/>
          <w:b/>
        </w:rPr>
        <w:t xml:space="preserve">Specific Emission Factors:</w:t>
      </w:r>
      <w:r>
        <w:t xml:space="preserve"> </w:t>
      </w:r>
      <w:r>
        <w:t xml:space="preserve">Utilizing licensed and up-to-date emission factor databases (e.g., Ecoinvent, GaBi, DEFRA) tailored to the specific geographies, technologies, and processes involved would provide higher accuracy.</w:t>
      </w:r>
    </w:p>
    <w:p>
      <w:pPr>
        <w:numPr>
          <w:ilvl w:val="0"/>
          <w:numId w:val="1019"/>
        </w:numPr>
        <w:pStyle w:val="Compact"/>
      </w:pPr>
      <w:r>
        <w:rPr>
          <w:bCs/>
          <w:b/>
        </w:rPr>
        <w:t xml:space="preserve">Scope 3 Coverage and Disaggregation:</w:t>
      </w:r>
      <w:r>
        <w:t xml:space="preserve"> </w:t>
      </w:r>
      <w:r>
        <w:t xml:space="preserve">Continued efforts to gather primary data for all relevant Scope 3 categories, disaggregated by data type (primary vs. secondary), will ensure full compliance with the 2026 GHG Protocol requirements for 95% coverage and enhanced transparency.</w:t>
      </w:r>
    </w:p>
    <w:p>
      <w:pPr>
        <w:numPr>
          <w:ilvl w:val="0"/>
          <w:numId w:val="1019"/>
        </w:numPr>
        <w:pStyle w:val="Compact"/>
      </w:pPr>
      <w:r>
        <w:rPr>
          <w:bCs/>
          <w:b/>
        </w:rPr>
        <w:t xml:space="preserve">LSR Standard Application:</w:t>
      </w:r>
      <w:r>
        <w:t xml:space="preserve"> </w:t>
      </w:r>
      <w:r>
        <w:t xml:space="preserve">For products with significant land-based impacts, detailed application of the GHG Protocol Land Sector and Removals Standard, considering land use change and biogenic carbon flows, is essential.</w:t>
      </w:r>
    </w:p>
    <w:p>
      <w:pPr>
        <w:numPr>
          <w:ilvl w:val="0"/>
          <w:numId w:val="1019"/>
        </w:numPr>
        <w:pStyle w:val="Compact"/>
      </w:pPr>
      <w:r>
        <w:rPr>
          <w:bCs/>
          <w:b/>
        </w:rPr>
        <w:t xml:space="preserve">Circular Economy Integration:</w:t>
      </w:r>
      <w:r>
        <w:t xml:space="preserve"> </w:t>
      </w:r>
      <w:r>
        <w:t xml:space="preserve">Further detailed analysis of the circular/take-back programs (`ivjufjyxwe`) could quantify actual material recovery rates and the lifecycle benefits of refurbishment and reuse, beyond just recycling avoided emissions.</w:t>
      </w:r>
    </w:p>
    <w:bookmarkEnd w:id="47"/>
    <w:bookmarkStart w:id="48" w:name="c.-recommendations-for-carbon-reduction"/>
    <w:p>
      <w:pPr>
        <w:pStyle w:val="Heading3"/>
      </w:pPr>
      <w:r>
        <w:t xml:space="preserve">C. Recommendations for Carbon Reduction:</w:t>
      </w:r>
    </w:p>
    <w:p>
      <w:pPr>
        <w:numPr>
          <w:ilvl w:val="0"/>
          <w:numId w:val="1020"/>
        </w:numPr>
        <w:pStyle w:val="Compact"/>
      </w:pPr>
      <w:r>
        <w:rPr>
          <w:bCs/>
          <w:b/>
        </w:rPr>
        <w:t xml:space="preserve">Energy Efficiency &amp; Renewable Sourcing (Use Phase):</w:t>
      </w:r>
      <w:r>
        <w:t xml:space="preserve"> </w:t>
      </w:r>
      <w:r>
        <w:t xml:space="preserve">Focus on developing more energy-efficient product designs and exploring options for renewable energy integration during the product\'s use phase. User education on efficient use is also vital.</w:t>
      </w:r>
    </w:p>
    <w:p>
      <w:pPr>
        <w:numPr>
          <w:ilvl w:val="0"/>
          <w:numId w:val="1020"/>
        </w:numPr>
        <w:pStyle w:val="Compact"/>
      </w:pPr>
      <w:r>
        <w:rPr>
          <w:bCs/>
          <w:b/>
        </w:rPr>
        <w:t xml:space="preserve">Sustainable Material Sourcing:</w:t>
      </w:r>
      <w:r>
        <w:t xml:space="preserve"> </w:t>
      </w:r>
      <w:r>
        <w:t xml:space="preserve">Investigate alternative materials with lower embodied carbon, increase the use of recycled content, and engage with suppliers to improve upstream manufacturing processes.</w:t>
      </w:r>
    </w:p>
    <w:p>
      <w:pPr>
        <w:numPr>
          <w:ilvl w:val="0"/>
          <w:numId w:val="1020"/>
        </w:numPr>
        <w:pStyle w:val="Compact"/>
      </w:pPr>
      <w:r>
        <w:rPr>
          <w:bCs/>
          <w:b/>
        </w:rPr>
        <w:t xml:space="preserve">Optimized Logistics:</w:t>
      </w:r>
      <w:r>
        <w:t xml:space="preserve"> </w:t>
      </w:r>
      <w:r>
        <w:t xml:space="preserve">Seek opportunities to optimize transportation routes, consolidate shipments, and explore lower-emission transport modes where feasible, especially for last-mile delivery.</w:t>
      </w:r>
    </w:p>
    <w:p>
      <w:pPr>
        <w:numPr>
          <w:ilvl w:val="0"/>
          <w:numId w:val="1020"/>
        </w:numPr>
        <w:pStyle w:val="Compact"/>
      </w:pPr>
      <w:r>
        <w:rPr>
          <w:bCs/>
          <w:b/>
        </w:rPr>
        <w:t xml:space="preserve">Enhanced Circularity:</w:t>
      </w:r>
      <w:r>
        <w:t xml:space="preserve"> </w:t>
      </w:r>
      <w:r>
        <w:t xml:space="preserve">Strengthen existing take-back and refurbishment programs. Collaborate with recyclers to improve recycling infrastructure and ensure high-quality material recovery.</w:t>
      </w:r>
    </w:p>
    <w:p>
      <w:r>
        <w:pict>
          <v:rect style="width:0;height:1.5pt" o:hralign="center" o:hrstd="t" o:hr="t"/>
        </w:pict>
      </w:r>
    </w:p>
    <w:bookmarkEnd w:id="48"/>
    <w:bookmarkEnd w:id="49"/>
    <w:p>
      <w:pPr>
        <w:pStyle w:val="FirstParagraph"/>
      </w:pPr>
      <w:r>
        <w:t xml:space="preserve">Confidential - Internal Use Only</w:t>
      </w:r>
    </w:p>
    <w:p>
      <w:pPr>
        <w:pStyle w:val="BodyText"/>
      </w:pPr>
      <w:r>
        <w:t xml:space="preserve">Page</w:t>
      </w:r>
      <w:r>
        <w:t xml:space="preserve"> </w:t>
      </w:r>
      <w:r>
        <w:t xml:space="preserve"> </w:t>
      </w:r>
      <w:r>
        <w:t xml:space="preserve">of</w:t>
      </w:r>
      <w:r>
        <w:t xml:space="preserve"> </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Analysis for fdswutzwne</dc:title>
  <dc:creator/>
  <dc:description>A high-detail Product Carbon Footprint (PCF) analysis report for fdswutzwne, adhering to GHG Protocol standards and 2026 updates, performed by Senior Sustainability Consultant yfmxiwtijg for qpxwtjftmq.</dc:description>
  <dc:language>en</dc:language>
  <cp:keywords/>
  <dcterms:created xsi:type="dcterms:W3CDTF">2026-05-30T15:54:46Z</dcterms:created>
  <dcterms:modified xsi:type="dcterms:W3CDTF">2026-05-30T15:54:46Z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