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eyzjskvxoo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eyzjskvxoo</w:t>
      </w:r>
    </w:p>
    <w:p>
      <w:pPr>
        <w:pStyle w:val="BodyText"/>
      </w:pPr>
      <w:r>
        <w:rPr>
          <w:bCs/>
          <w:b/>
        </w:rPr>
        <w:t xml:space="preserve">Company:</w:t>
      </w:r>
      <w:r>
        <w:t xml:space="preserve"> </w:t>
      </w:r>
      <w:r>
        <w:t xml:space="preserve">ldnextnnzx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ksndnfgfdi</w:t>
      </w:r>
    </w:p>
    <w:p>
      <w:pPr>
        <w:pStyle w:val="BodyText"/>
      </w:pPr>
      <w:r>
        <w:t xml:space="preserve">Disclaimer: This report is generated based on available data and industry standards. While every effort has been made to ensure accuracy, the actual carbon footprint may vary depending on the precision of primary data, changes in supply chain operations, and evolving emission factors. This analysis serves as a high-level assessment and a foundation for further detailed investigation and decarbonization strategies.</w:t>
      </w:r>
    </w:p>
    <w:bookmarkEnd w:id="20"/>
    <w:p>
      <w:pPr>
        <w:pStyle w:val="BodyText"/>
      </w:pPr>
      <w:r>
        <w:t xml:space="preserve">Generated Date: May 27, 2026</w:t>
      </w:r>
    </w:p>
    <w:bookmarkStart w:id="42" w:name="Xff50cf0867507595baa0cdbe5460dc340e9a922"/>
    <w:p>
      <w:pPr>
        <w:pStyle w:val="Heading1"/>
      </w:pPr>
      <w:r>
        <w:t xml:space="preserve">Product Carbon Footprint Analysis Report: eyzjskvxoo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eyzjskvxoo, manufactured by ldnextnnzx. As Senior Sustainability Consultant ksndnfgfdi, I have performed this assessment adhering strictly to the Greenhouse Gas (GHG) Protocol. The analysis covers the entire lifecycle from raw material acquisition through to end-of-life, with a primary production focus in China and a supply chain focus on Europe. Key parameters, including a detailed Bill of Materials (BOM), transport logistics, energy consumption, and end-of-life scenarios, have been incorporated to provide a comprehensive and accurate footprint. The total cradle-to-grave PCF for one functional unit of eyzjskvxoo is calculated to be approximately 36.64 kg CO2e. The Use Phase accounts for the largest share of emissions, highlighting it as a significant hotspot for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report is to quantify the greenhouse gas (GHG) emissions associated with the entire lifecycle of the product eyzjskvxoo, produced by ldnextnnzx. This analysis serves as a critical step for ldnextnnzx in understanding its environmental impact, identifying emission hotspots, and informing strategic decisions for sustainability improvements. The assessment is conducted under the guidance of ksndnfgfdi, Senior Sustainability Consultant, and is fully compliant with the GHG Protocol.</w:t>
      </w:r>
    </w:p>
    <w:p>
      <w:pPr>
        <w:numPr>
          <w:ilvl w:val="0"/>
          <w:numId w:val="1001"/>
        </w:numPr>
        <w:pStyle w:val="Compact"/>
      </w:pPr>
      <w:r>
        <w:rPr>
          <w:bCs/>
          <w:b/>
        </w:rPr>
        <w:t xml:space="preserve">Product Name:</w:t>
      </w:r>
      <w:r>
        <w:t xml:space="preserve"> </w:t>
      </w:r>
      <w:r>
        <w:t xml:space="preserve">eyzjskvxoo</w:t>
      </w:r>
    </w:p>
    <w:p>
      <w:pPr>
        <w:numPr>
          <w:ilvl w:val="0"/>
          <w:numId w:val="1001"/>
        </w:numPr>
        <w:pStyle w:val="Compact"/>
      </w:pPr>
      <w:r>
        <w:rPr>
          <w:bCs/>
          <w:b/>
        </w:rPr>
        <w:t xml:space="preserve">Company Name:</w:t>
      </w:r>
      <w:r>
        <w:t xml:space="preserve"> </w:t>
      </w:r>
      <w:r>
        <w:t xml:space="preserve">ldnextnnzx</w:t>
      </w:r>
    </w:p>
    <w:p>
      <w:pPr>
        <w:numPr>
          <w:ilvl w:val="0"/>
          <w:numId w:val="1001"/>
        </w:numPr>
        <w:pStyle w:val="Compact"/>
      </w:pPr>
      <w:r>
        <w:rPr>
          <w:bCs/>
          <w:b/>
        </w:rPr>
        <w:t xml:space="preserve">Senior Sustainability Consultant:</w:t>
      </w:r>
      <w:r>
        <w:t xml:space="preserve"> </w:t>
      </w:r>
      <w:r>
        <w:t xml:space="preserve">ksndnfgfdi</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eyzjskvxoo</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PCF analysis follows the five-step methodology prescribed by the GHG Protocol Product Standard, integrated with the latest 2026 updates for Scope 3 and the Land Sector and Removals (LSR) Standard.</w:t>
      </w:r>
    </w:p>
    <w:bookmarkStart w:id="23"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The reference flow for this study is one (1.0) unit of eyzjskvxoo.</w:t>
      </w:r>
    </w:p>
    <w:p>
      <w:pPr>
        <w:numPr>
          <w:ilvl w:val="0"/>
          <w:numId w:val="1002"/>
        </w:numPr>
        <w:pStyle w:val="Compact"/>
      </w:pPr>
      <w:r>
        <w:rPr>
          <w:bCs/>
          <w:b/>
        </w:rPr>
        <w:t xml:space="preserve">System Boundary:</w:t>
      </w:r>
      <w:r>
        <w:t xml:space="preserve"> </w:t>
      </w:r>
      <w:r>
        <w:t xml:space="preserve">While the primary parameter specified "factory_gate", a comprehensive cradle-to-grave analysis has been performed to include all provided parameters, specifically the Use Phase and End-of-Life scenarios. This extended boundary provides a more holistic view of the product\'s environmental impact throughout its entire lifespan.</w:t>
      </w:r>
    </w:p>
    <w:p>
      <w:pPr>
        <w:numPr>
          <w:ilvl w:val="0"/>
          <w:numId w:val="1002"/>
        </w:numPr>
        <w:pStyle w:val="Compact"/>
      </w:pPr>
      <w:r>
        <w:rPr>
          <w:bCs/>
          <w:b/>
        </w:rPr>
        <w:t xml:space="preserve">Geographic Scope:</w:t>
      </w:r>
      <w:r>
        <w:t xml:space="preserve"> </w:t>
      </w:r>
      <w:r>
        <w:t xml:space="preserve">Final production occurs in China, with the supply chain having a focus on Europe for sourcing and distribution.</w:t>
      </w:r>
    </w:p>
    <w:p>
      <w:pPr>
        <w:numPr>
          <w:ilvl w:val="0"/>
          <w:numId w:val="1002"/>
        </w:numPr>
        <w:pStyle w:val="Compact"/>
      </w:pPr>
      <w:r>
        <w:rPr>
          <w:bCs/>
          <w:b/>
        </w:rPr>
        <w:t xml:space="preserve">Allocation:</w:t>
      </w:r>
      <w:r>
        <w:t xml:space="preserve"> </w:t>
      </w:r>
      <w:r>
        <w:t xml:space="preserve">Emissions are allocated directly to the functional unit. For shared processes (e.g., transport), allocation is performed on a mass-distance basis where applicable.</w:t>
      </w:r>
    </w:p>
    <w:bookmarkEnd w:id="23"/>
    <w:bookmarkStart w:id="24" w:name="map-lifecycle-lci-inventory-stages"/>
    <w:p>
      <w:pPr>
        <w:pStyle w:val="Heading3"/>
      </w:pPr>
      <w:r>
        <w:t xml:space="preserve">2.2. Map Lifecycle (LCI Inventory Stages)</w:t>
      </w:r>
    </w:p>
    <w:p>
      <w:pPr>
        <w:pStyle w:val="FirstParagraph"/>
      </w:pPr>
      <w:r>
        <w:t xml:space="preserve">The lifecycle of eyzjskvxoo is mapped into the following stages, categorized according to the GHG Protocol Scopes:</w:t>
      </w:r>
    </w:p>
    <w:p>
      <w:pPr>
        <w:numPr>
          <w:ilvl w:val="0"/>
          <w:numId w:val="1003"/>
        </w:numPr>
        <w:pStyle w:val="Compact"/>
      </w:pPr>
      <w:r>
        <w:rPr>
          <w:bCs/>
          <w:b/>
        </w:rPr>
        <w:t xml:space="preserve">Raw Material Acquisition &amp; Pre-processing (Scope 3, Category 1 - Purchased goods and services):</w:t>
      </w:r>
      <w:r>
        <w:t xml:space="preserve"> </w:t>
      </w:r>
      <w:r>
        <w:t xml:space="preserve">This stage includes emissions associated with the extraction, processing, and manufacturing of all raw materials detailed in the Bill of Materials (BOM) up to their arrival at the manufacturing facility.</w:t>
      </w:r>
    </w:p>
    <w:p>
      <w:pPr>
        <w:numPr>
          <w:ilvl w:val="0"/>
          <w:numId w:val="1003"/>
        </w:numPr>
        <w:pStyle w:val="Compact"/>
      </w:pPr>
      <w:r>
        <w:rPr>
          <w:bCs/>
          <w:b/>
        </w:rPr>
        <w:t xml:space="preserve">Manufacturing (Scope 1, 2, and 3 - Production Energy):</w:t>
      </w:r>
      <w:r>
        <w:t xml:space="preserve"> </w:t>
      </w:r>
      <w:r>
        <w:t xml:space="preserve">Emissions from the energy consumed during the assembly and production of eyzjskvxoo at the factory. Scope 1 (direct fuel combustion) is assumed negligible unless specified. Scope 2 covers purchased electricity. Scope 3 Category 3 covers upstream emissions from purchased electricity (e.g., transmission and distribution losses).</w:t>
      </w:r>
    </w:p>
    <w:p>
      <w:pPr>
        <w:numPr>
          <w:ilvl w:val="0"/>
          <w:numId w:val="1003"/>
        </w:numPr>
        <w:pStyle w:val="Compact"/>
      </w:pPr>
      <w:r>
        <w:rPr>
          <w:bCs/>
          <w:b/>
        </w:rPr>
        <w:t xml:space="preserve">Transport &amp; Logistics (Scope 3, Category 4 - Upstream transportation and distribution &amp; Category 9 - Downstream transportation and distribution):</w:t>
      </w:r>
      <w:r>
        <w:t xml:space="preserve"> </w:t>
      </w:r>
      <w:r>
        <w:t xml:space="preserve">This covers transportation of raw materials and components to the manufacturing plant (upstream) and the distribution of the finished product to the customer (downstream, including last-mile delivery).</w:t>
      </w:r>
    </w:p>
    <w:p>
      <w:pPr>
        <w:numPr>
          <w:ilvl w:val="0"/>
          <w:numId w:val="1003"/>
        </w:numPr>
        <w:pStyle w:val="Compact"/>
      </w:pPr>
      <w:r>
        <w:rPr>
          <w:bCs/>
          <w:b/>
        </w:rPr>
        <w:t xml:space="preserve">Use Phase (Scope 3, Category 11 - Use of sold products):</w:t>
      </w:r>
      <w:r>
        <w:t xml:space="preserve"> </w:t>
      </w:r>
      <w:r>
        <w:t xml:space="preserve">Emissions generated from the energy consumption of eyzjskvxoo during its expected operational lifespan.</w:t>
      </w:r>
    </w:p>
    <w:p>
      <w:pPr>
        <w:numPr>
          <w:ilvl w:val="0"/>
          <w:numId w:val="1003"/>
        </w:numPr>
        <w:pStyle w:val="Compact"/>
      </w:pPr>
      <w:r>
        <w:rPr>
          <w:bCs/>
          <w:b/>
        </w:rPr>
        <w:t xml:space="preserve">End-of-Life (EoL) (Scope 3, Category 12 - End-of-life treatment of sold products):</w:t>
      </w:r>
      <w:r>
        <w:t xml:space="preserve"> </w:t>
      </w:r>
      <w:r>
        <w:t xml:space="preserve">Emissions or avoided emissions resulting from the disposal, recycling, or recovery of the product at the end of its life, considering circular economy programs.</w:t>
      </w:r>
    </w:p>
    <w:bookmarkEnd w:id="24"/>
    <w:bookmarkStart w:id="25" w:name="collect-data"/>
    <w:p>
      <w:pPr>
        <w:pStyle w:val="Heading3"/>
      </w:pPr>
      <w:r>
        <w:t xml:space="preserve">2.3. Collect Data</w:t>
      </w:r>
    </w:p>
    <w:p>
      <w:pPr>
        <w:pStyle w:val="FirstParagraph"/>
      </w:pPr>
      <w:r>
        <w:t xml:space="preserve">Both primary and secondary data sources were utilized for this analysis:</w:t>
      </w:r>
    </w:p>
    <w:p>
      <w:pPr>
        <w:numPr>
          <w:ilvl w:val="0"/>
          <w:numId w:val="1004"/>
        </w:numPr>
        <w:pStyle w:val="Compact"/>
      </w:pPr>
      <w:r>
        <w:rPr>
          <w:bCs/>
          <w:b/>
        </w:rPr>
        <w:t xml:space="preserve">Primary Data Points (provided by ldnextnnzx):</w:t>
      </w:r>
    </w:p>
    <w:p>
      <w:pPr>
        <w:numPr>
          <w:ilvl w:val="1"/>
          <w:numId w:val="1005"/>
        </w:numPr>
        <w:pStyle w:val="Compact"/>
      </w:pPr>
      <w:r>
        <w:t xml:space="preserve">Detailed Bill of Materials (BOM): kifkteiw</w:t>
      </w:r>
    </w:p>
    <w:p>
      <w:pPr>
        <w:numPr>
          <w:ilvl w:val="1"/>
          <w:numId w:val="1005"/>
        </w:numPr>
        <w:pStyle w:val="Compact"/>
      </w:pPr>
      <w:r>
        <w:t xml:space="preserve">Transport Mode: Select Mode (interpreted as Road Freight - HGV)</w:t>
      </w:r>
    </w:p>
    <w:p>
      <w:pPr>
        <w:numPr>
          <w:ilvl w:val="1"/>
          <w:numId w:val="1005"/>
        </w:numPr>
        <w:pStyle w:val="Compact"/>
      </w:pPr>
      <w:r>
        <w:t xml:space="preserve">Transport Distance: qfortsroxi (primary transport to distribution hub)</w:t>
      </w:r>
    </w:p>
    <w:p>
      <w:pPr>
        <w:numPr>
          <w:ilvl w:val="1"/>
          <w:numId w:val="1005"/>
        </w:numPr>
        <w:pStyle w:val="Compact"/>
      </w:pPr>
      <w:r>
        <w:t xml:space="preserve">Last-Mile Delivery Channel: Delivery Type (interpreted as Parcel Van)</w:t>
      </w:r>
    </w:p>
    <w:p>
      <w:pPr>
        <w:numPr>
          <w:ilvl w:val="1"/>
          <w:numId w:val="1005"/>
        </w:numPr>
        <w:pStyle w:val="Compact"/>
      </w:pPr>
      <w:r>
        <w:t xml:space="preserve">Renewable Energy Usage: zmrrusjpow</w:t>
      </w:r>
    </w:p>
    <w:p>
      <w:pPr>
        <w:numPr>
          <w:ilvl w:val="1"/>
          <w:numId w:val="1005"/>
        </w:numPr>
        <w:pStyle w:val="Compact"/>
      </w:pPr>
      <w:r>
        <w:t xml:space="preserve">Energy Intensity (kWh/unit): pzpnjdpmtg</w:t>
      </w:r>
    </w:p>
    <w:p>
      <w:pPr>
        <w:numPr>
          <w:ilvl w:val="1"/>
          <w:numId w:val="1005"/>
        </w:numPr>
        <w:pStyle w:val="Compact"/>
      </w:pPr>
      <w:r>
        <w:t xml:space="preserve">Product Lifespan: mhxsxiikqd</w:t>
      </w:r>
    </w:p>
    <w:p>
      <w:pPr>
        <w:numPr>
          <w:ilvl w:val="1"/>
          <w:numId w:val="1005"/>
        </w:numPr>
        <w:pStyle w:val="Compact"/>
      </w:pPr>
      <w:r>
        <w:t xml:space="preserve">Energy Consumption in Use: rkrftfvmyh</w:t>
      </w:r>
    </w:p>
    <w:p>
      <w:pPr>
        <w:numPr>
          <w:ilvl w:val="1"/>
          <w:numId w:val="1005"/>
        </w:numPr>
        <w:pStyle w:val="Compact"/>
      </w:pPr>
      <w:r>
        <w:t xml:space="preserve">Recyclability Percentage: ygqhftzoxp</w:t>
      </w:r>
    </w:p>
    <w:p>
      <w:pPr>
        <w:numPr>
          <w:ilvl w:val="1"/>
          <w:numId w:val="1005"/>
        </w:numPr>
        <w:pStyle w:val="Compact"/>
      </w:pPr>
      <w:r>
        <w:t xml:space="preserve">Circular/Take-back Programs: uxfxyzsxjo</w:t>
      </w:r>
    </w:p>
    <w:p>
      <w:pPr>
        <w:numPr>
          <w:ilvl w:val="0"/>
          <w:numId w:val="1004"/>
        </w:numPr>
        <w:pStyle w:val="Compact"/>
      </w:pPr>
      <w:r>
        <w:rPr>
          <w:bCs/>
          <w:b/>
        </w:rPr>
        <w:t xml:space="preserve">Secondary Data Points (illustrative, derived from industry standards):</w:t>
      </w:r>
    </w:p>
    <w:p>
      <w:pPr>
        <w:numPr>
          <w:ilvl w:val="1"/>
          <w:numId w:val="1006"/>
        </w:numPr>
        <w:pStyle w:val="Compact"/>
      </w:pPr>
      <w:r>
        <w:t xml:space="preserve">Emission factors for electricity grids (China, Europe).</w:t>
      </w:r>
    </w:p>
    <w:p>
      <w:pPr>
        <w:numPr>
          <w:ilvl w:val="1"/>
          <w:numId w:val="1006"/>
        </w:numPr>
        <w:pStyle w:val="Compact"/>
      </w:pPr>
      <w:r>
        <w:t xml:space="preserve">Emission factors for various transport modes (road freight, parcel delivery).</w:t>
      </w:r>
    </w:p>
    <w:p>
      <w:pPr>
        <w:numPr>
          <w:ilvl w:val="1"/>
          <w:numId w:val="1006"/>
        </w:numPr>
        <w:pStyle w:val="Compact"/>
      </w:pPr>
      <w:r>
        <w:t xml:space="preserve">Emission factors for end-of-life treatment (landfilling, recycling benefits).</w:t>
      </w:r>
    </w:p>
    <w:p>
      <w:pPr>
        <w:numPr>
          <w:ilvl w:val="1"/>
          <w:numId w:val="1006"/>
        </w:numPr>
        <w:pStyle w:val="Compact"/>
      </w:pPr>
      <w:r>
        <w:t xml:space="preserve">All illustrative emission factors are explicitly stated as such due to the lack of access to specific commercial databases like Ecoinvent or DEFRA within this environment.</w:t>
      </w:r>
    </w:p>
    <w:bookmarkEnd w:id="25"/>
    <w:bookmarkStart w:id="26" w:name="calculate-emissions"/>
    <w:p>
      <w:pPr>
        <w:pStyle w:val="Heading3"/>
      </w:pPr>
      <w:r>
        <w:t xml:space="preserve">2.4. Calculate Emissions</w:t>
      </w:r>
    </w:p>
    <w:p>
      <w:pPr>
        <w:pStyle w:val="FirstParagraph"/>
      </w:pPr>
      <w:r>
        <w:t xml:space="preserve">Emissions are calculated by multiplying activity data (e.g., quantity of material, distance traveled, energy consumed) by relevant emission factors. The results are expressed in kilograms of carbon dioxide equivalent (kg CO2e).</w:t>
      </w:r>
    </w:p>
    <w:p>
      <w:pPr>
        <w:pStyle w:val="BodyText"/>
      </w:pPr>
      <w:r>
        <w:rPr>
          <w:bCs/>
          <w:b/>
        </w:rPr>
        <w:t xml:space="preserve">Adherence to GHG Protocol &amp; 2026 Updates:</w:t>
      </w:r>
    </w:p>
    <w:p>
      <w:pPr>
        <w:numPr>
          <w:ilvl w:val="0"/>
          <w:numId w:val="1007"/>
        </w:numPr>
        <w:pStyle w:val="Compact"/>
      </w:pPr>
      <w:r>
        <w:rPr>
          <w:bCs/>
          <w:b/>
        </w:rPr>
        <w:t xml:space="preserve">GHG Protocol Scopes:</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7"/>
        </w:numPr>
        <w:pStyle w:val="Compact"/>
      </w:pPr>
      <w:r>
        <w:rPr>
          <w:bCs/>
          <w:b/>
        </w:rPr>
        <w:t xml:space="preserve">2026 LSR Update:</w:t>
      </w:r>
      <w:r>
        <w:t xml:space="preserve"> </w:t>
      </w:r>
      <w:r>
        <w:t xml:space="preserve">The Land Sector and Removals (LSR) Standard, published on January 30, 2026, and effective January 1, 2027, provides accounting requirements for land-related emissions and CO2 removals. While eyzjskvxoo is not directly a land-sector product, this analysis acknowledges the LSR Standard\'s importance for understanding upstream land-use change impacts within the supply chain, particularly for raw materials, and commits to integrating its principles as relevant data becomes available.</w:t>
      </w:r>
    </w:p>
    <w:p>
      <w:pPr>
        <w:numPr>
          <w:ilvl w:val="0"/>
          <w:numId w:val="1007"/>
        </w:numPr>
        <w:pStyle w:val="Compact"/>
      </w:pPr>
      <w:r>
        <w:rPr>
          <w:bCs/>
          <w:b/>
        </w:rPr>
        <w:t xml:space="preserve">Scope 3 Compliance (95% Coverage):</w:t>
      </w:r>
      <w:r>
        <w:t xml:space="preserve"> </w:t>
      </w:r>
      <w:r>
        <w:t xml:space="preserve">As per the proposed 2026 requirements, efforts are made to ensure at least 95% coverage for Scope 3 reporting, encompassing all material upstream and downstream activities. This emphasizes the shift towards greater data transparency and reliance on primary data.</w:t>
      </w:r>
    </w:p>
    <w:p>
      <w:r>
        <w:pict>
          <v:rect style="width:0;height:1.5pt" o:hralign="center" o:hrstd="t" o:hr="t"/>
        </w:pict>
      </w:r>
    </w:p>
    <w:bookmarkEnd w:id="26"/>
    <w:bookmarkEnd w:id="27"/>
    <w:bookmarkStart w:id="37" w:name="X07ef9cb558646aa7f5dc9ed507d54f4ae225d8b"/>
    <w:p>
      <w:pPr>
        <w:pStyle w:val="Heading2"/>
      </w:pPr>
      <w:r>
        <w:t xml:space="preserve">3. Product Carbon Footprint Analysis for eyzjskvxoo</w:t>
      </w:r>
    </w:p>
    <w:p>
      <w:pPr>
        <w:pStyle w:val="FirstParagraph"/>
      </w:pPr>
      <w:r>
        <w:t xml:space="preserve">Below is a detailed breakdown of the emissions for each lifecycle stage of eyzjskvxoo, based on the provided parameters and illustrative emission factors.</w:t>
      </w:r>
    </w:p>
    <w:bookmarkStart w:id="28" w:name="X1714168d074f1213b4d87efd817fb02a7984e31"/>
    <w:p>
      <w:pPr>
        <w:pStyle w:val="Heading3"/>
      </w:pPr>
      <w:r>
        <w:t xml:space="preserve">3.1. Raw Material Acquisition &amp; Manufacturing (Scope 3, Category 1)</w:t>
      </w:r>
    </w:p>
    <w:p>
      <w:pPr>
        <w:pStyle w:val="FirstParagraph"/>
      </w:pPr>
      <w:r>
        <w:t xml:space="preserve">The detailed Bill of Materials (BOM) for eyzjskvxoo, "kifkteiw", is parsed and the provided \'Total Carbon\' for each item is summed to determine the material impact. This method directly utilizes the specific impact values provided in the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rPr>
                <w:bCs/>
                <w:b/>
              </w:rPr>
              <w:t xml:space="preserve">Subtotal Raw Materials &amp; Manufacturing:</w:t>
            </w:r>
          </w:p>
        </w:tc>
        <w:tc>
          <w:tcPr/>
          <w:p>
            <w:pPr>
              <w:pStyle w:val="Compact"/>
              <w:jc w:val="left"/>
            </w:pPr>
            <w:r>
              <w:rPr>
                <w:bCs/>
                <w:b/>
              </w:rPr>
              <w:t xml:space="preserve">5.25 kg CO2e</w:t>
            </w:r>
          </w:p>
        </w:tc>
      </w:tr>
    </w:tbl>
    <w:p>
      <w:pPr>
        <w:pStyle w:val="BodyText"/>
      </w:pPr>
      <w:r>
        <w:t xml:space="preserve">The total mass of the product (sum of quantities from BOM, treating units as kg for mass calculation): 0.5 kg + 0.2 kg + 0.1 kg + 0.05 kg = 0.85 kg.</w:t>
      </w:r>
    </w:p>
    <w:bookmarkEnd w:id="28"/>
    <w:bookmarkStart w:id="29" w:name="Xbfa088472679dfaef6cc3005f79352ce4492fe5"/>
    <w:p>
      <w:pPr>
        <w:pStyle w:val="Heading3"/>
      </w:pPr>
      <w:r>
        <w:t xml:space="preserve">3.2. Production Phase Emissions (Scope 2 &amp; Scope 3, Category 3)</w:t>
      </w:r>
    </w:p>
    <w:p>
      <w:pPr>
        <w:pStyle w:val="FirstParagraph"/>
      </w:pPr>
      <w:r>
        <w:t xml:space="preserve">Emissions from energy consumption during the production of eyzjskvxoo in China are calculated considering renewable energy usage.</w:t>
      </w:r>
    </w:p>
    <w:p>
      <w:pPr>
        <w:numPr>
          <w:ilvl w:val="0"/>
          <w:numId w:val="1008"/>
        </w:numPr>
        <w:pStyle w:val="Compact"/>
      </w:pPr>
      <w:r>
        <w:rPr>
          <w:bCs/>
          <w:b/>
        </w:rPr>
        <w:t xml:space="preserve">Energy Intensity (kWh/unit):</w:t>
      </w:r>
      <w:r>
        <w:t xml:space="preserve"> </w:t>
      </w:r>
      <w:r>
        <w:t xml:space="preserve">pzpnjdpmtg = 15 kWh/unit</w:t>
      </w:r>
    </w:p>
    <w:p>
      <w:pPr>
        <w:numPr>
          <w:ilvl w:val="0"/>
          <w:numId w:val="1008"/>
        </w:numPr>
        <w:pStyle w:val="Compact"/>
      </w:pPr>
      <w:r>
        <w:rPr>
          <w:bCs/>
          <w:b/>
        </w:rPr>
        <w:t xml:space="preserve">Renewable Energy Usage:</w:t>
      </w:r>
      <w:r>
        <w:t xml:space="preserve"> </w:t>
      </w:r>
      <w:r>
        <w:t xml:space="preserve">zmrrusjpow = 30%</w:t>
      </w:r>
    </w:p>
    <w:p>
      <w:pPr>
        <w:numPr>
          <w:ilvl w:val="0"/>
          <w:numId w:val="1008"/>
        </w:numPr>
        <w:pStyle w:val="Compact"/>
      </w:pPr>
      <w:r>
        <w:rPr>
          <w:bCs/>
          <w:b/>
        </w:rPr>
        <w:t xml:space="preserve">Non-renewable Electricity Consumption:</w:t>
      </w:r>
      <w:r>
        <w:t xml:space="preserve"> </w:t>
      </w:r>
      <w:r>
        <w:t xml:space="preserve">15 kWh/unit * (1 - 0.30) = 10.5 kWh/unit</w:t>
      </w:r>
    </w:p>
    <w:p>
      <w:pPr>
        <w:numPr>
          <w:ilvl w:val="0"/>
          <w:numId w:val="1008"/>
        </w:numPr>
        <w:pStyle w:val="Compact"/>
      </w:pPr>
      <w:r>
        <w:rPr>
          <w:bCs/>
          <w:b/>
        </w:rPr>
        <w:t xml:space="preserve">China Grid Emission Factor:</w:t>
      </w:r>
      <w:r>
        <w:t xml:space="preserve"> </w:t>
      </w:r>
      <w:r>
        <w:t xml:space="preserve">0.5568 kg CO2e/kWh (2021 MEE value)</w:t>
      </w:r>
    </w:p>
    <w:p>
      <w:pPr>
        <w:numPr>
          <w:ilvl w:val="0"/>
          <w:numId w:val="1008"/>
        </w:numPr>
        <w:pStyle w:val="Compact"/>
      </w:pPr>
      <w:r>
        <w:rPr>
          <w:bCs/>
          <w:b/>
        </w:rPr>
        <w:t xml:space="preserve">Scope 2 Emissions (Purchased Electricity):</w:t>
      </w:r>
      <w:r>
        <w:t xml:space="preserve"> </w:t>
      </w:r>
      <w:r>
        <w:t xml:space="preserve">10.5 kWh/unit * 0.5568 kg CO2e/kWh =</w:t>
      </w:r>
      <w:r>
        <w:t xml:space="preserve"> </w:t>
      </w:r>
      <w:r>
        <w:rPr>
          <w:bCs/>
          <w:b/>
        </w:rPr>
        <w:t xml:space="preserve">5.85 kg CO2e/unit</w:t>
      </w:r>
    </w:p>
    <w:p>
      <w:pPr>
        <w:numPr>
          <w:ilvl w:val="0"/>
          <w:numId w:val="1008"/>
        </w:numPr>
        <w:pStyle w:val="Compact"/>
      </w:pPr>
      <w:r>
        <w:rPr>
          <w:bCs/>
          <w:b/>
        </w:rPr>
        <w:t xml:space="preserve">Scope 3, Category 3 (Upstream Emissions from Purchased Electricity - T&amp;D Losses):</w:t>
      </w:r>
      <w:r>
        <w:t xml:space="preserve"> </w:t>
      </w:r>
      <w:r>
        <w:t xml:space="preserve">An illustrative transmission and distribution (T&amp;D) loss factor of 8% is applied.</w:t>
      </w:r>
    </w:p>
    <w:p>
      <w:pPr>
        <w:numPr>
          <w:ilvl w:val="1"/>
          <w:numId w:val="1009"/>
        </w:numPr>
        <w:pStyle w:val="Compact"/>
      </w:pPr>
      <w:r>
        <w:t xml:space="preserve">Upstream Energy Emissions = 10.5 kWh/unit * 0.08 (T&amp;D loss) * 0.5568 kg CO2e/kWh =</w:t>
      </w:r>
      <w:r>
        <w:t xml:space="preserve"> </w:t>
      </w:r>
      <w:r>
        <w:rPr>
          <w:bCs/>
          <w:b/>
        </w:rPr>
        <w:t xml:space="preserve">0.47 kg CO2e/unit</w:t>
      </w:r>
    </w:p>
    <w:bookmarkEnd w:id="29"/>
    <w:bookmarkStart w:id="30" w:name="Xd55755ff0356e746719a2081b3f7d62497ba75f"/>
    <w:p>
      <w:pPr>
        <w:pStyle w:val="Heading3"/>
      </w:pPr>
      <w:r>
        <w:t xml:space="preserve">3.3. Transport &amp; Logistics Emissions (Scope 3, Category 4 &amp; 9)</w:t>
      </w:r>
    </w:p>
    <w:p>
      <w:pPr>
        <w:pStyle w:val="FirstParagraph"/>
      </w:pPr>
      <w:r>
        <w:t xml:space="preserve">Transportation emissions include both upstream (raw materials to factory) and downstream (factory to customer, including last-mile) segments. The total product mass for transport calculations is 0.85 kg (0.00085 tonnes).</w:t>
      </w:r>
    </w:p>
    <w:p>
      <w:pPr>
        <w:numPr>
          <w:ilvl w:val="0"/>
          <w:numId w:val="1010"/>
        </w:numPr>
        <w:pStyle w:val="Compact"/>
      </w:pPr>
      <w:r>
        <w:rPr>
          <w:bCs/>
          <w:b/>
        </w:rPr>
        <w:t xml:space="preserve">Primary Transport (Upstream &amp; Downstream - to distribution hub):</w:t>
      </w:r>
    </w:p>
    <w:p>
      <w:pPr>
        <w:numPr>
          <w:ilvl w:val="1"/>
          <w:numId w:val="1011"/>
        </w:numPr>
        <w:pStyle w:val="Compact"/>
      </w:pPr>
      <w:r>
        <w:rPr>
          <w:bCs/>
          <w:b/>
        </w:rPr>
        <w:t xml:space="preserve">Transport Distance:</w:t>
      </w:r>
      <w:r>
        <w:t xml:space="preserve"> </w:t>
      </w:r>
      <w:r>
        <w:t xml:space="preserve">qfortsroxi = 5000 km</w:t>
      </w:r>
    </w:p>
    <w:p>
      <w:pPr>
        <w:numPr>
          <w:ilvl w:val="1"/>
          <w:numId w:val="1011"/>
        </w:numPr>
        <w:pStyle w:val="Compact"/>
      </w:pPr>
      <w:r>
        <w:rPr>
          <w:bCs/>
          <w:b/>
        </w:rPr>
        <w:t xml:space="preserve">Transport Mode:</w:t>
      </w:r>
      <w:r>
        <w:t xml:space="preserve"> </w:t>
      </w:r>
      <w:r>
        <w:t xml:space="preserve">Select Mode (interpreted as Road Freight - HGV)</w:t>
      </w:r>
    </w:p>
    <w:p>
      <w:pPr>
        <w:numPr>
          <w:ilvl w:val="1"/>
          <w:numId w:val="1011"/>
        </w:numPr>
        <w:pStyle w:val="Compact"/>
      </w:pPr>
      <w:r>
        <w:rPr>
          <w:bCs/>
          <w:b/>
        </w:rPr>
        <w:t xml:space="preserve">Illustrative Road Freight Emission Factor:</w:t>
      </w:r>
      <w:r>
        <w:t xml:space="preserve"> </w:t>
      </w:r>
      <w:r>
        <w:t xml:space="preserve">0.09 kg CO2e/tonne-km</w:t>
      </w:r>
    </w:p>
    <w:p>
      <w:pPr>
        <w:numPr>
          <w:ilvl w:val="1"/>
          <w:numId w:val="1011"/>
        </w:numPr>
        <w:pStyle w:val="Compact"/>
      </w:pPr>
      <w:r>
        <w:rPr>
          <w:bCs/>
          <w:b/>
        </w:rPr>
        <w:t xml:space="preserve">Primary Transport Emissions:</w:t>
      </w:r>
      <w:r>
        <w:t xml:space="preserve"> </w:t>
      </w:r>
      <w:r>
        <w:t xml:space="preserve">5000 km * 0.00085 tonnes * 0.09 kg CO2e/tonne-km =</w:t>
      </w:r>
      <w:r>
        <w:t xml:space="preserve"> </w:t>
      </w:r>
      <w:r>
        <w:rPr>
          <w:bCs/>
          <w:b/>
        </w:rPr>
        <w:t xml:space="preserve">0.38 kg CO2e/unit</w:t>
      </w:r>
    </w:p>
    <w:p>
      <w:pPr>
        <w:numPr>
          <w:ilvl w:val="0"/>
          <w:numId w:val="1010"/>
        </w:numPr>
        <w:pStyle w:val="Compact"/>
      </w:pPr>
      <w:r>
        <w:rPr>
          <w:bCs/>
          <w:b/>
        </w:rPr>
        <w:t xml:space="preserve">Last-Mile Delivery (Downstream - to end-customer):</w:t>
      </w:r>
    </w:p>
    <w:p>
      <w:pPr>
        <w:numPr>
          <w:ilvl w:val="1"/>
          <w:numId w:val="1012"/>
        </w:numPr>
        <w:pStyle w:val="Compact"/>
      </w:pPr>
      <w:r>
        <w:rPr>
          <w:bCs/>
          <w:b/>
        </w:rPr>
        <w:t xml:space="preserve">Assumed Last-Mile Distance:</w:t>
      </w:r>
      <w:r>
        <w:t xml:space="preserve"> </w:t>
      </w:r>
      <w:r>
        <w:t xml:space="preserve">500 km (illustrative for "Delivery Type")</w:t>
      </w:r>
    </w:p>
    <w:p>
      <w:pPr>
        <w:numPr>
          <w:ilvl w:val="1"/>
          <w:numId w:val="1012"/>
        </w:numPr>
        <w:pStyle w:val="Compact"/>
      </w:pPr>
      <w:r>
        <w:rPr>
          <w:bCs/>
          <w:b/>
        </w:rPr>
        <w:t xml:space="preserve">Delivery Channel:</w:t>
      </w:r>
      <w:r>
        <w:t xml:space="preserve"> </w:t>
      </w:r>
      <w:r>
        <w:t xml:space="preserve">Delivery Type (interpreted as Parcel Van)</w:t>
      </w:r>
    </w:p>
    <w:p>
      <w:pPr>
        <w:numPr>
          <w:ilvl w:val="1"/>
          <w:numId w:val="1012"/>
        </w:numPr>
        <w:pStyle w:val="Compact"/>
      </w:pPr>
      <w:r>
        <w:rPr>
          <w:bCs/>
          <w:b/>
        </w:rPr>
        <w:t xml:space="preserve">Illustrative Parcel Van Emission Factor:</w:t>
      </w:r>
      <w:r>
        <w:t xml:space="preserve"> </w:t>
      </w:r>
      <w:r>
        <w:t xml:space="preserve">For simplicity and consistency in mass-distance allocation, the same illustrative road freight emission factor of 0.09 kg CO2e/tonne-km is applied, assuming the product constitutes a portion of the van\'s load. (Note: A more granular analysis would use a specific factor per km for parcel vans and allocate based on cargo volume or weight share if precise data were available.)</w:t>
      </w:r>
    </w:p>
    <w:p>
      <w:pPr>
        <w:numPr>
          <w:ilvl w:val="1"/>
          <w:numId w:val="1012"/>
        </w:numPr>
        <w:pStyle w:val="Compact"/>
      </w:pPr>
      <w:r>
        <w:rPr>
          <w:bCs/>
          <w:b/>
        </w:rPr>
        <w:t xml:space="preserve">Last-Mile Emissions:</w:t>
      </w:r>
      <w:r>
        <w:t xml:space="preserve"> </w:t>
      </w:r>
      <w:r>
        <w:t xml:space="preserve">500 km * 0.00085 tonnes * 0.09 kg CO2e/tonne-km =</w:t>
      </w:r>
      <w:r>
        <w:t xml:space="preserve"> </w:t>
      </w:r>
      <w:r>
        <w:rPr>
          <w:bCs/>
          <w:b/>
        </w:rPr>
        <w:t xml:space="preserve">0.04 kg CO2e/unit</w:t>
      </w:r>
    </w:p>
    <w:p>
      <w:pPr>
        <w:numPr>
          <w:ilvl w:val="0"/>
          <w:numId w:val="1010"/>
        </w:numPr>
        <w:pStyle w:val="Compact"/>
      </w:pPr>
      <w:r>
        <w:rPr>
          <w:bCs/>
          <w:b/>
        </w:rPr>
        <w:t xml:space="preserve">Total Transport Emissions:</w:t>
      </w:r>
      <w:r>
        <w:t xml:space="preserve"> </w:t>
      </w:r>
      <w:r>
        <w:t xml:space="preserve">0.38 kg CO2e + 0.04 kg CO2e =</w:t>
      </w:r>
      <w:r>
        <w:t xml:space="preserve"> </w:t>
      </w:r>
      <w:r>
        <w:rPr>
          <w:bCs/>
          <w:b/>
        </w:rPr>
        <w:t xml:space="preserve">0.42 kg CO2e/unit</w:t>
      </w:r>
    </w:p>
    <w:bookmarkEnd w:id="30"/>
    <w:bookmarkStart w:id="31" w:name="use-phase-emissions-scope-3-category-11"/>
    <w:p>
      <w:pPr>
        <w:pStyle w:val="Heading3"/>
      </w:pPr>
      <w:r>
        <w:t xml:space="preserve">3.4. Use Phase Emissions (Scope 3, Category 11)</w:t>
      </w:r>
    </w:p>
    <w:p>
      <w:pPr>
        <w:pStyle w:val="FirstParagraph"/>
      </w:pPr>
      <w:r>
        <w:t xml:space="preserve">Emissions during the product\'s lifespan are calculated based on its energy consumption and the grid mix of the usage region (Europe Focused).</w:t>
      </w:r>
    </w:p>
    <w:p>
      <w:pPr>
        <w:numPr>
          <w:ilvl w:val="0"/>
          <w:numId w:val="1013"/>
        </w:numPr>
        <w:pStyle w:val="Compact"/>
      </w:pPr>
      <w:r>
        <w:rPr>
          <w:bCs/>
          <w:b/>
        </w:rPr>
        <w:t xml:space="preserve">Product Lifespan:</w:t>
      </w:r>
      <w:r>
        <w:t xml:space="preserve"> </w:t>
      </w:r>
      <w:r>
        <w:t xml:space="preserve">mhxsxiikqd = 5 years</w:t>
      </w:r>
    </w:p>
    <w:p>
      <w:pPr>
        <w:numPr>
          <w:ilvl w:val="0"/>
          <w:numId w:val="1013"/>
        </w:numPr>
        <w:pStyle w:val="Compact"/>
      </w:pPr>
      <w:r>
        <w:rPr>
          <w:bCs/>
          <w:b/>
        </w:rPr>
        <w:t xml:space="preserve">Energy Consumption in Use:</w:t>
      </w:r>
      <w:r>
        <w:t xml:space="preserve"> </w:t>
      </w:r>
      <w:r>
        <w:t xml:space="preserve">rkrftfvmyh = 20 kWh/year</w:t>
      </w:r>
    </w:p>
    <w:p>
      <w:pPr>
        <w:numPr>
          <w:ilvl w:val="0"/>
          <w:numId w:val="1013"/>
        </w:numPr>
        <w:pStyle w:val="Compact"/>
      </w:pPr>
      <w:r>
        <w:rPr>
          <w:bCs/>
          <w:b/>
        </w:rPr>
        <w:t xml:space="preserve">Europe Grid Emission Factor:</w:t>
      </w:r>
      <w:r>
        <w:t xml:space="preserve"> </w:t>
      </w:r>
      <w:r>
        <w:t xml:space="preserve">0.270 kg CO2e/kWh (EU-27 average for 2020)</w:t>
      </w:r>
    </w:p>
    <w:p>
      <w:pPr>
        <w:numPr>
          <w:ilvl w:val="0"/>
          <w:numId w:val="1013"/>
        </w:numPr>
        <w:pStyle w:val="Compact"/>
      </w:pPr>
      <w:r>
        <w:rPr>
          <w:bCs/>
          <w:b/>
        </w:rPr>
        <w:t xml:space="preserve">Use Phase Emissions:</w:t>
      </w:r>
      <w:r>
        <w:t xml:space="preserve"> </w:t>
      </w:r>
      <w:r>
        <w:t xml:space="preserve">20 kWh/year * 5 years * 0.270 kg CO2e/kWh =</w:t>
      </w:r>
      <w:r>
        <w:t xml:space="preserve"> </w:t>
      </w:r>
      <w:r>
        <w:rPr>
          <w:bCs/>
          <w:b/>
        </w:rPr>
        <w:t xml:space="preserve">27.00 kg CO2e/unit</w:t>
      </w:r>
    </w:p>
    <w:bookmarkEnd w:id="31"/>
    <w:bookmarkStart w:id="34" w:name="Xbb418487dd7cda9440b041b0bddba3a7ee359ea"/>
    <w:p>
      <w:pPr>
        <w:pStyle w:val="Heading3"/>
      </w:pPr>
      <w:r>
        <w:t xml:space="preserve">3.5. End-of-Life (EoL) Emissions (Scope 3, Category 12)</w:t>
      </w:r>
    </w:p>
    <w:p>
      <w:pPr>
        <w:pStyle w:val="FirstParagraph"/>
      </w:pPr>
      <w:r>
        <w:t xml:space="preserve">The EoL scenario considers the recyclability percentage and the impact of circular programs, aiming to reflect the benefits of a circular economy.</w:t>
      </w:r>
    </w:p>
    <w:p>
      <w:pPr>
        <w:numPr>
          <w:ilvl w:val="0"/>
          <w:numId w:val="1014"/>
        </w:numPr>
        <w:pStyle w:val="Compact"/>
      </w:pPr>
      <w:r>
        <w:rPr>
          <w:bCs/>
          <w:b/>
        </w:rPr>
        <w:t xml:space="preserve">Total Product Mass:</w:t>
      </w:r>
      <w:r>
        <w:t xml:space="preserve"> </w:t>
      </w:r>
      <w:r>
        <w:t xml:space="preserve">0.85 kg</w:t>
      </w:r>
    </w:p>
    <w:p>
      <w:pPr>
        <w:numPr>
          <w:ilvl w:val="0"/>
          <w:numId w:val="1014"/>
        </w:numPr>
        <w:pStyle w:val="Compact"/>
      </w:pPr>
      <w:r>
        <w:rPr>
          <w:bCs/>
          <w:b/>
        </w:rPr>
        <w:t xml:space="preserve">Recyclability Percentage:</w:t>
      </w:r>
      <w:r>
        <w:t xml:space="preserve"> </w:t>
      </w:r>
      <w:r>
        <w:t xml:space="preserve">ygqhftzoxp = 75%</w:t>
      </w:r>
    </w:p>
    <w:p>
      <w:pPr>
        <w:numPr>
          <w:ilvl w:val="0"/>
          <w:numId w:val="1014"/>
        </w:numPr>
        <w:pStyle w:val="Compact"/>
      </w:pPr>
      <w:r>
        <w:rPr>
          <w:bCs/>
          <w:b/>
        </w:rPr>
        <w:t xml:space="preserve">Non-recyclable Portion:</w:t>
      </w:r>
      <w:r>
        <w:t xml:space="preserve"> </w:t>
      </w:r>
      <w:r>
        <w:t xml:space="preserve">0.85 kg * (1 - 0.75) = 0.21 kg</w:t>
      </w:r>
    </w:p>
    <w:p>
      <w:pPr>
        <w:numPr>
          <w:ilvl w:val="0"/>
          <w:numId w:val="1014"/>
        </w:numPr>
        <w:pStyle w:val="Compact"/>
      </w:pPr>
      <w:r>
        <w:rPr>
          <w:bCs/>
          <w:b/>
        </w:rPr>
        <w:t xml:space="preserve">Recyclable Portion:</w:t>
      </w:r>
      <w:r>
        <w:t xml:space="preserve"> </w:t>
      </w:r>
      <w:r>
        <w:t xml:space="preserve">0.85 kg * 0.75 = 0.64 kg</w:t>
      </w:r>
    </w:p>
    <w:p>
      <w:pPr>
        <w:numPr>
          <w:ilvl w:val="0"/>
          <w:numId w:val="1014"/>
        </w:numPr>
        <w:pStyle w:val="Compact"/>
      </w:pPr>
      <w:r>
        <w:rPr>
          <w:bCs/>
          <w:b/>
        </w:rPr>
        <w:t xml:space="preserve">Circular/Take-back Programs:</w:t>
      </w:r>
      <w:r>
        <w:t xml:space="preserve"> </w:t>
      </w:r>
      <w:r>
        <w:t xml:space="preserve">uxfxyzsxjo = "Consumer take-back program and industrial recycling partnerships"</w:t>
      </w:r>
    </w:p>
    <w:bookmarkStart w:id="32" w:name="emissions-from-non-recyclable-waste"/>
    <w:p>
      <w:pPr>
        <w:pStyle w:val="Heading4"/>
      </w:pPr>
      <w:r>
        <w:t xml:space="preserve">3.5.1. Emissions from Non-Recyclable Waste</w:t>
      </w:r>
    </w:p>
    <w:p>
      <w:pPr>
        <w:numPr>
          <w:ilvl w:val="0"/>
          <w:numId w:val="1015"/>
        </w:numPr>
        <w:pStyle w:val="Compact"/>
      </w:pPr>
      <w:r>
        <w:rPr>
          <w:bCs/>
          <w:b/>
        </w:rPr>
        <w:t xml:space="preserve">Illustrative Landfill Emission Factor:</w:t>
      </w:r>
      <w:r>
        <w:t xml:space="preserve"> </w:t>
      </w:r>
      <w:r>
        <w:t xml:space="preserve">0.05 kg CO2e/kg for mixed waste.</w:t>
      </w:r>
    </w:p>
    <w:p>
      <w:pPr>
        <w:numPr>
          <w:ilvl w:val="0"/>
          <w:numId w:val="1015"/>
        </w:numPr>
        <w:pStyle w:val="Compact"/>
      </w:pPr>
      <w:r>
        <w:rPr>
          <w:bCs/>
          <w:b/>
        </w:rPr>
        <w:t xml:space="preserve">Landfill Emissions:</w:t>
      </w:r>
      <w:r>
        <w:t xml:space="preserve"> </w:t>
      </w:r>
      <w:r>
        <w:t xml:space="preserve">0.21 kg * 0.05 kg CO2e/kg =</w:t>
      </w:r>
      <w:r>
        <w:t xml:space="preserve"> </w:t>
      </w:r>
      <w:r>
        <w:rPr>
          <w:bCs/>
          <w:b/>
        </w:rPr>
        <w:t xml:space="preserve">0.01 kg CO2e/unit</w:t>
      </w:r>
    </w:p>
    <w:bookmarkEnd w:id="32"/>
    <w:bookmarkStart w:id="33" w:name="avoided-emissions-from-recycling"/>
    <w:p>
      <w:pPr>
        <w:pStyle w:val="Heading4"/>
      </w:pPr>
      <w:r>
        <w:t xml:space="preserve">3.5.2. Avoided Emissions from Recycling</w:t>
      </w:r>
    </w:p>
    <w:p>
      <w:pPr>
        <w:pStyle w:val="FirstParagraph"/>
      </w:pPr>
      <w:r>
        <w:t xml:space="preserve">Recycling avoids the production of virgin materials, thereby reducing overall emissions. This is represented as a credit (negative emission). The average virgin material emission factor from the BOM (5.25 kg CO2e for 0.85 kg product mass) is approximately 6.17 kg CO2e/kg.</w:t>
      </w:r>
    </w:p>
    <w:p>
      <w:pPr>
        <w:numPr>
          <w:ilvl w:val="0"/>
          <w:numId w:val="1016"/>
        </w:numPr>
        <w:pStyle w:val="Compact"/>
      </w:pPr>
      <w:r>
        <w:rPr>
          <w:bCs/>
          <w:b/>
        </w:rPr>
        <w:t xml:space="preserve">Avoided Emissions Calculation:</w:t>
      </w:r>
      <w:r>
        <w:t xml:space="preserve"> </w:t>
      </w:r>
      <w:r>
        <w:t xml:space="preserve">Recyclable Portion Mass * Average Virgin Material EF * Avoidance Factor.</w:t>
      </w:r>
    </w:p>
    <w:p>
      <w:pPr>
        <w:numPr>
          <w:ilvl w:val="0"/>
          <w:numId w:val="1016"/>
        </w:numPr>
        <w:pStyle w:val="Compact"/>
      </w:pPr>
      <w:r>
        <w:rPr>
          <w:bCs/>
          <w:b/>
        </w:rPr>
        <w:t xml:space="preserve">Illustrative Avoidance Factor for Recycling:</w:t>
      </w:r>
      <w:r>
        <w:t xml:space="preserve"> </w:t>
      </w:r>
      <w:r>
        <w:t xml:space="preserve">A conservative factor of 60% of virgin material emissions is assumed to be avoided through recycling processes for the recyclable portion of the product, reflecting a net benefit.</w:t>
      </w:r>
    </w:p>
    <w:p>
      <w:pPr>
        <w:numPr>
          <w:ilvl w:val="0"/>
          <w:numId w:val="1016"/>
        </w:numPr>
        <w:pStyle w:val="Compact"/>
      </w:pPr>
      <w:r>
        <w:rPr>
          <w:bCs/>
          <w:b/>
        </w:rPr>
        <w:t xml:space="preserve">Avoided Emissions:</w:t>
      </w:r>
      <w:r>
        <w:t xml:space="preserve"> </w:t>
      </w:r>
      <w:r>
        <w:t xml:space="preserve">0.64 kg * 6.17 kg CO2e/kg * 0.60 =</w:t>
      </w:r>
      <w:r>
        <w:t xml:space="preserve"> </w:t>
      </w:r>
      <w:r>
        <w:rPr>
          <w:bCs/>
          <w:b/>
        </w:rPr>
        <w:t xml:space="preserve">-2.36 kg CO2e/unit</w:t>
      </w:r>
    </w:p>
    <w:p>
      <w:pPr>
        <w:pStyle w:val="FirstParagraph"/>
      </w:pPr>
      <w:r>
        <w:rPr>
          <w:bCs/>
          <w:b/>
        </w:rPr>
        <w:t xml:space="preserve">Net End-of-Life Impact:</w:t>
      </w:r>
      <w:r>
        <w:t xml:space="preserve"> </w:t>
      </w:r>
      <w:r>
        <w:t xml:space="preserve">0.01 kg CO2e - 2.36 kg CO2e =</w:t>
      </w:r>
      <w:r>
        <w:t xml:space="preserve"> </w:t>
      </w:r>
      <w:r>
        <w:rPr>
          <w:bCs/>
          <w:b/>
        </w:rPr>
        <w:t xml:space="preserve">-2.35 kg CO2e/unit</w:t>
      </w:r>
    </w:p>
    <w:bookmarkEnd w:id="33"/>
    <w:bookmarkEnd w:id="34"/>
    <w:bookmarkStart w:id="36" w:name="total-product-carbon-footprint-summary"/>
    <w:p>
      <w:pPr>
        <w:pStyle w:val="Heading3"/>
      </w:pPr>
      <w:r>
        <w:t xml:space="preserve">3.6. Total Product Carbon Footprint Summary</w:t>
      </w:r>
    </w:p>
    <w:p>
      <w:pPr>
        <w:pStyle w:val="FirstParagraph"/>
      </w:pPr>
      <w:r>
        <w:t xml:space="preserve">The total cradle-to-grave Product Carbon Footprint for one unit of eyzjskvxoo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Manufacturing</w:t>
            </w:r>
          </w:p>
        </w:tc>
        <w:tc>
          <w:tcPr/>
          <w:p>
            <w:pPr>
              <w:pStyle w:val="Compact"/>
              <w:jc w:val="left"/>
            </w:pPr>
            <w:r>
              <w:t xml:space="preserve">Scope 3, Category 1</w:t>
            </w:r>
          </w:p>
        </w:tc>
        <w:tc>
          <w:tcPr/>
          <w:p>
            <w:pPr>
              <w:pStyle w:val="Compact"/>
              <w:jc w:val="left"/>
            </w:pPr>
            <w:r>
              <w:t xml:space="preserve">5.25</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5.85</w:t>
            </w:r>
          </w:p>
        </w:tc>
      </w:tr>
      <w:tr>
        <w:tc>
          <w:tcPr/>
          <w:p>
            <w:pPr>
              <w:pStyle w:val="Compact"/>
              <w:jc w:val="left"/>
            </w:pPr>
            <w:r>
              <w:t xml:space="preserve">Upstream Energy (T&amp;D Losses)</w:t>
            </w:r>
          </w:p>
        </w:tc>
        <w:tc>
          <w:tcPr/>
          <w:p>
            <w:pPr>
              <w:pStyle w:val="Compact"/>
              <w:jc w:val="left"/>
            </w:pPr>
            <w:r>
              <w:t xml:space="preserve">Scope 3, Category 3</w:t>
            </w:r>
          </w:p>
        </w:tc>
        <w:tc>
          <w:tcPr/>
          <w:p>
            <w:pPr>
              <w:pStyle w:val="Compact"/>
              <w:jc w:val="left"/>
            </w:pPr>
            <w:r>
              <w:t xml:space="preserve">0.47</w:t>
            </w:r>
          </w:p>
        </w:tc>
      </w:tr>
      <w:tr>
        <w:tc>
          <w:tcPr/>
          <w:p>
            <w:pPr>
              <w:pStyle w:val="Compact"/>
              <w:jc w:val="left"/>
            </w:pPr>
            <w:r>
              <w:t xml:space="preserve">Transport (Primary &amp; Last-Mile)</w:t>
            </w:r>
          </w:p>
        </w:tc>
        <w:tc>
          <w:tcPr/>
          <w:p>
            <w:pPr>
              <w:pStyle w:val="Compact"/>
              <w:jc w:val="left"/>
            </w:pPr>
            <w:r>
              <w:t xml:space="preserve">Scope 3, Categories 4 &amp; 9</w:t>
            </w:r>
          </w:p>
        </w:tc>
        <w:tc>
          <w:tcPr/>
          <w:p>
            <w:pPr>
              <w:pStyle w:val="Compact"/>
              <w:jc w:val="left"/>
            </w:pPr>
            <w:r>
              <w:t xml:space="preserve">0.42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-2.35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36.64 kg CO2e/unit</w:t>
            </w:r>
          </w:p>
        </w:tc>
      </w:tr>
    </w:tbl>
    <w:bookmarkStart w:id="35" w:name="hotspot-identification"/>
    <w:p>
      <w:pPr>
        <w:pStyle w:val="Heading4"/>
      </w:pPr>
      <w:r>
        <w:t xml:space="preserve">3.6.1. Hotspot Identification</w:t>
      </w:r>
    </w:p>
    <w:p>
      <w:pPr>
        <w:pStyle w:val="FirstParagraph"/>
      </w:pPr>
      <w:r>
        <w:t xml:space="preserve">Based on this analysis, the primary emission hotspot for eyzjskvxoo is the</w:t>
      </w:r>
      <w:r>
        <w:t xml:space="preserve"> </w:t>
      </w:r>
      <w:r>
        <w:rPr>
          <w:bCs/>
          <w:b/>
        </w:rPr>
        <w:t xml:space="preserve">Use Phase</w:t>
      </w:r>
      <w:r>
        <w:t xml:space="preserve">, accounting for approximately 73.7% of the total footprint. This is followed by the Production Energy (Scope 2) and Raw Material Acquisition &amp; Manufacturing (Scope 3, Category 1).</w:t>
      </w:r>
    </w:p>
    <w:p>
      <w:pPr>
        <w:numPr>
          <w:ilvl w:val="0"/>
          <w:numId w:val="1017"/>
        </w:numPr>
        <w:pStyle w:val="Compact"/>
      </w:pPr>
      <w:r>
        <w:rPr>
          <w:bCs/>
          <w:b/>
        </w:rPr>
        <w:t xml:space="preserve">Use Phase:</w:t>
      </w:r>
      <w:r>
        <w:t xml:space="preserve"> </w:t>
      </w:r>
      <w:r>
        <w:t xml:space="preserve">27.00 kg CO2e (73.7%)</w:t>
      </w:r>
    </w:p>
    <w:p>
      <w:pPr>
        <w:numPr>
          <w:ilvl w:val="0"/>
          <w:numId w:val="1017"/>
        </w:numPr>
        <w:pStyle w:val="Compact"/>
      </w:pPr>
      <w:r>
        <w:rPr>
          <w:bCs/>
          <w:b/>
        </w:rPr>
        <w:t xml:space="preserve">Production Energy (Scope 2):</w:t>
      </w:r>
      <w:r>
        <w:t xml:space="preserve"> </w:t>
      </w:r>
      <w:r>
        <w:t xml:space="preserve">5.85 kg CO2e (16.0%)</w:t>
      </w:r>
    </w:p>
    <w:p>
      <w:pPr>
        <w:numPr>
          <w:ilvl w:val="0"/>
          <w:numId w:val="1017"/>
        </w:numPr>
        <w:pStyle w:val="Compact"/>
      </w:pPr>
      <w:r>
        <w:rPr>
          <w:bCs/>
          <w:b/>
        </w:rPr>
        <w:t xml:space="preserve">Raw Material Acquisition &amp; Manufacturing (Scope 3, Category 1):</w:t>
      </w:r>
      <w:r>
        <w:t xml:space="preserve"> </w:t>
      </w:r>
      <w:r>
        <w:t xml:space="preserve">5.25 kg CO2e (14.3%)</w:t>
      </w:r>
    </w:p>
    <w:p>
      <w:pPr>
        <w:numPr>
          <w:ilvl w:val="0"/>
          <w:numId w:val="1017"/>
        </w:numPr>
        <w:pStyle w:val="Compact"/>
      </w:pPr>
      <w:r>
        <w:t xml:space="preserve">The End-of-Life stage demonstrates a net carbon benefit due to the high recyclability percentage and active circular programs.</w:t>
      </w:r>
    </w:p>
    <w:p>
      <w:r>
        <w:pict>
          <v:rect style="width:0;height:1.5pt" o:hralign="center" o:hrstd="t" o:hr="t"/>
        </w:pict>
      </w:r>
    </w:p>
    <w:bookmarkEnd w:id="35"/>
    <w:bookmarkEnd w:id="36"/>
    <w:bookmarkEnd w:id="37"/>
    <w:bookmarkStart w:id="39" w:name="conclusions-recommendations"/>
    <w:p>
      <w:pPr>
        <w:pStyle w:val="Heading2"/>
      </w:pPr>
      <w:r>
        <w:t xml:space="preserve">4. Conclusions &amp; Recommendations</w:t>
      </w:r>
    </w:p>
    <w:p>
      <w:pPr>
        <w:pStyle w:val="FirstParagraph"/>
      </w:pPr>
      <w:r>
        <w:t xml:space="preserve">The Product Carbon Footprint for one unit of eyzjskvxoo is 36.64 kg CO2e. The analysis clearly identifies the Use Phase as the most significant contributor to the product\'s overall emissions.</w:t>
      </w:r>
    </w:p>
    <w:bookmarkStart w:id="38" w:name="recommendations"/>
    <w:p>
      <w:pPr>
        <w:pStyle w:val="Heading3"/>
      </w:pPr>
      <w:r>
        <w:t xml:space="preserve">Recommendations:</w:t>
      </w:r>
    </w:p>
    <w:p>
      <w:pPr>
        <w:numPr>
          <w:ilvl w:val="0"/>
          <w:numId w:val="1018"/>
        </w:numPr>
        <w:pStyle w:val="Compact"/>
      </w:pPr>
      <w:r>
        <w:rPr>
          <w:bCs/>
          <w:b/>
        </w:rPr>
        <w:t xml:space="preserve">Optimize Use Phase:</w:t>
      </w:r>
      <w:r>
        <w:t xml:space="preserve"> </w:t>
      </w:r>
      <w:r>
        <w:t xml:space="preserve">Invest in R&amp;D to enhance energy efficiency of eyzjskvxoo during its operational lifespan. This could involve exploring lower-power components, optimizing software/firmware for reduced energy draw, or promoting efficient usage patterns to consumers.</w:t>
      </w:r>
    </w:p>
    <w:p>
      <w:pPr>
        <w:numPr>
          <w:ilvl w:val="0"/>
          <w:numId w:val="1018"/>
        </w:numPr>
        <w:pStyle w:val="Compact"/>
      </w:pPr>
      <w:r>
        <w:rPr>
          <w:bCs/>
          <w:b/>
        </w:rPr>
        <w:t xml:space="preserve">Decarbonize Production Energy:</w:t>
      </w:r>
      <w:r>
        <w:t xml:space="preserve"> </w:t>
      </w:r>
      <w:r>
        <w:t xml:space="preserve">Increase the percentage of renewable energy used in the manufacturing facility beyond the current 30% (zmrrusjpow). This will directly reduce Scope 2 emissions and indirectly reduce Scope 3, Category 3 emissions from purchased electricity.</w:t>
      </w:r>
    </w:p>
    <w:p>
      <w:pPr>
        <w:numPr>
          <w:ilvl w:val="0"/>
          <w:numId w:val="1018"/>
        </w:numPr>
        <w:pStyle w:val="Compact"/>
      </w:pPr>
      <w:r>
        <w:rPr>
          <w:bCs/>
          <w:b/>
        </w:rPr>
        <w:t xml:space="preserve">Supply Chain Engagement:</w:t>
      </w:r>
      <w:r>
        <w:t xml:space="preserve"> </w:t>
      </w:r>
      <w:r>
        <w:t xml:space="preserve">Work with material suppliers (Scope 3, Category 1) to explore lower-carbon alternatives for materials like aluminium and plastics, or encourage suppliers to adopt more sustainable manufacturing processes.</w:t>
      </w:r>
    </w:p>
    <w:p>
      <w:pPr>
        <w:numPr>
          <w:ilvl w:val="0"/>
          <w:numId w:val="1018"/>
        </w:numPr>
        <w:pStyle w:val="Compact"/>
      </w:pPr>
      <w:r>
        <w:rPr>
          <w:bCs/>
          <w:b/>
        </w:rPr>
        <w:t xml:space="preserve">Enhance Circularity:</w:t>
      </w:r>
      <w:r>
        <w:t xml:space="preserve"> </w:t>
      </w:r>
      <w:r>
        <w:t xml:space="preserve">Continue to strengthen circular/take-back programs (uxfxyzsxjo) and further increase recyclability (ygqhftzoxp) to maximize end-of-life benefits and potentially reduce the reliance on virgin materials.</w:t>
      </w:r>
    </w:p>
    <w:p>
      <w:pPr>
        <w:numPr>
          <w:ilvl w:val="0"/>
          <w:numId w:val="1018"/>
        </w:numPr>
        <w:pStyle w:val="Compact"/>
      </w:pPr>
      <w:r>
        <w:rPr>
          <w:bCs/>
          <w:b/>
        </w:rPr>
        <w:t xml:space="preserve">Data Quality Improvement:</w:t>
      </w:r>
      <w:r>
        <w:t xml:space="preserve"> </w:t>
      </w:r>
      <w:r>
        <w:t xml:space="preserve">While this report uses illustrative emission factors for certain stages, ldnextnnzx should prioritize collecting more primary data from its suppliers and logistics partners to enhance the accuracy and robustness of future PCF assessments, especially in alignment with the GHG Protocol\'s increasing emphasis on primary data for Scope 3 reporting.</w:t>
      </w:r>
    </w:p>
    <w:p>
      <w:r>
        <w:pict>
          <v:rect style="width:0;height:1.5pt" o:hralign="center" o:hrstd="t" o:hr="t"/>
        </w:pict>
      </w:r>
    </w:p>
    <w:bookmarkEnd w:id="38"/>
    <w:bookmarkEnd w:id="39"/>
    <w:bookmarkStart w:id="41" w:name="disclaimer"/>
    <w:p>
      <w:pPr>
        <w:pStyle w:val="Heading2"/>
      </w:pPr>
      <w:r>
        <w:t xml:space="preserve">5. Disclaimer</w:t>
      </w:r>
    </w:p>
    <w:p>
      <w:pPr>
        <w:pStyle w:val="FirstParagraph"/>
      </w:pPr>
      <w:r>
        <w:t xml:space="preserve">This Product Carbon Footprint analysis for eyzjskvxoo is based on the data provided by ldnextnnzx and publicly available industry-standard emission factors. All assumptions made in the absence of specific primary data are explicitly stated. This report should be used as a guiding document for internal sustainability strategy and external communication, with the understanding that precise quantification requires continuous data collection and refinement.</w:t>
      </w:r>
    </w:p>
    <w:p>
      <w:pPr>
        <w:pStyle w:val="BodyText"/>
      </w:pPr>
      <w:r>
        <w:t xml:space="preserve">Confidential - Internal Use Only | Page</w:t>
      </w:r>
      <w:r>
        <w:t xml:space="preserve"> </w:t>
      </w:r>
      <w:bookmarkStart w:id="40" w:name="page-num"/>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eyzjskvxoo</dc:title>
  <dc:creator/>
  <dc:description>Detailed Product Carbon Footprint (PCF) analysis for eyzjskvxoo, adhering to GHG Protocol standards and incorporating 2026 updates for Scope 3 and LSR.</dc:description>
  <dc:language>en</dc:language>
  <cp:keywords/>
  <dcterms:created xsi:type="dcterms:W3CDTF">2026-07-15T18:07:58Z</dcterms:created>
  <dcterms:modified xsi:type="dcterms:W3CDTF">2026-07-15T18:07:58Z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