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ekoulinkqe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ekoulinkqe**</w:t>
      </w:r>
    </w:p>
    <w:p>
      <w:pPr>
        <w:pStyle w:val="BodyText"/>
      </w:pPr>
      <w:r>
        <w:t xml:space="preserve">Protocol Data (Accounting Standard): **GHG Protocol**</w:t>
      </w:r>
    </w:p>
    <w:p>
      <w:pPr>
        <w:pStyle w:val="BodyText"/>
      </w:pPr>
      <w:r>
        <w:t xml:space="preserve">Name of the Company: **nxrswoxpju**</w:t>
      </w:r>
    </w:p>
    <w:p>
      <w:pPr>
        <w:pStyle w:val="BodyText"/>
      </w:pPr>
      <w:r>
        <w:t xml:space="preserve">Senior Sustainability Consultant: **kglpwrhdzu**</w:t>
      </w:r>
    </w:p>
    <w:p>
      <w:pPr>
        <w:pStyle w:val="BodyText"/>
      </w:pPr>
      <w:r>
        <w:t xml:space="preserve">This report is generated based on available data and industry standards, providing an estimate of the product\'s carbon footprint.</w:t>
      </w:r>
    </w:p>
    <w:bookmarkEnd w:id="20"/>
    <w:bookmarkStart w:id="21" w:name="X6ff922879c8939b8dcd08a7333ee8a49594022c"/>
    <w:p>
      <w:pPr>
        <w:pStyle w:val="Heading1"/>
      </w:pPr>
      <w:r>
        <w:t xml:space="preserve">Product Carbon Footprint Analysis for ekoulinkqe</w:t>
      </w:r>
    </w:p>
    <w:p>
      <w:pPr>
        <w:pStyle w:val="FirstParagraph"/>
      </w:pPr>
      <w:r>
        <w:t xml:space="preserve">Generated Date: May 22,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ekoulinkqe</w:t>
      </w:r>
      <w:r>
        <w:t xml:space="preserve"> </w:t>
      </w:r>
      <w:r>
        <w:t xml:space="preserve">manufactured by</w:t>
      </w:r>
      <w:r>
        <w:t xml:space="preserve"> </w:t>
      </w:r>
      <w:r>
        <w:rPr>
          <w:bCs/>
          <w:b/>
        </w:rPr>
        <w:t xml:space="preserve">nxrswoxpju</w:t>
      </w:r>
      <w:r>
        <w:t xml:space="preserve">. Conducted by</w:t>
      </w:r>
      <w:r>
        <w:t xml:space="preserve"> </w:t>
      </w:r>
      <w:r>
        <w:rPr>
          <w:bCs/>
          <w:b/>
        </w:rPr>
        <w:t xml:space="preserve">kglpwrhdzu</w:t>
      </w:r>
      <w:r>
        <w:t xml:space="preserve">, Senior Sustainability Consultant, this analysis adheres strictly to the GHG Protocol accounting standard, incorporating the latest 2026 updates including the Land Sector and Removals (LSR) Standard and the enhanced Scope 3 reporting requirements for a comprehensive value chain assessment. The PCF is calculated for a functional unit of 1.0 unit with a \'factory_gate\' system boundary, focusing on a supply chain rooted in Europe with final production in China. The aim is to identify key emission hotspots across the product\'s lifecycle, from material acquisition to end-of-life, providing insights for strategic decarbonization efforts.</w:t>
      </w:r>
    </w:p>
    <w:p>
      <w:r>
        <w:pict>
          <v:rect style="width:0;height:1.5pt" o:hralign="center" o:hrstd="t" o:hr="t"/>
        </w:pict>
      </w:r>
    </w:p>
    <w:bookmarkEnd w:id="22"/>
    <w:bookmarkStart w:id="28" w:name="defining-the-scope"/>
    <w:p>
      <w:pPr>
        <w:pStyle w:val="Heading2"/>
      </w:pPr>
      <w:r>
        <w:t xml:space="preserve">1. Defining the Scope</w:t>
      </w:r>
    </w:p>
    <w:p>
      <w:pPr>
        <w:pStyle w:val="FirstParagraph"/>
      </w:pPr>
      <w:r>
        <w:t xml:space="preserve">The foundational step in this Product Carbon Footprint (PCF) analysis involves clearly defining the parameters under which the assessment is conducted, ensuring consistency and comparability.</w:t>
      </w:r>
    </w:p>
    <w:bookmarkStart w:id="23"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ekoulinkqe</w:t>
      </w:r>
      <w:r>
        <w:t xml:space="preserve">. All emissions are quantified per this unit, enabling a clear understanding of the environmental impact attributed to each product.</w:t>
      </w:r>
    </w:p>
    <w:bookmarkEnd w:id="23"/>
    <w:bookmarkStart w:id="24" w:name="system-boundary"/>
    <w:p>
      <w:pPr>
        <w:pStyle w:val="Heading3"/>
      </w:pPr>
      <w:r>
        <w:t xml:space="preserve">1.2 System Boundary</w:t>
      </w:r>
    </w:p>
    <w:p>
      <w:pPr>
        <w:pStyle w:val="FirstParagraph"/>
      </w:pPr>
      <w:r>
        <w:t xml:space="preserve">The system boundary for this PCF analysis is set at</w:t>
      </w:r>
      <w:r>
        <w:t xml:space="preserve"> </w:t>
      </w:r>
      <w:r>
        <w:rPr>
          <w:bCs/>
          <w:b/>
        </w:rPr>
        <w:t xml:space="preserve">\'factory_gate\'</w:t>
      </w:r>
      <w:r>
        <w:t xml:space="preserve">. This implies that the assessment includes all greenhouse gas (GHG) emissions associated with the raw material extraction, processing, manufacturing, and transport to the factory gate. Upstream emissions (materials and their transport) and direct manufacturing emissions are included, but downstream emissions (e.g., transport from factory to customer, use phase, and end-of-life) are evaluated separately within Scope 3 categories, as per GHG Protocol guidance.</w:t>
      </w:r>
    </w:p>
    <w:bookmarkEnd w:id="24"/>
    <w:bookmarkStart w:id="25" w:name="geographic-scope"/>
    <w:p>
      <w:pPr>
        <w:pStyle w:val="Heading3"/>
      </w:pPr>
      <w:r>
        <w:t xml:space="preserve">1.3 Geographic Scope</w:t>
      </w:r>
    </w:p>
    <w:p>
      <w:pPr>
        <w:numPr>
          <w:ilvl w:val="0"/>
          <w:numId w:val="1001"/>
        </w:numPr>
        <w:pStyle w:val="Compact"/>
      </w:pPr>
      <w:r>
        <w:t xml:space="preserve">**Final Production Country:** China</w:t>
      </w:r>
    </w:p>
    <w:p>
      <w:pPr>
        <w:numPr>
          <w:ilvl w:val="0"/>
          <w:numId w:val="1001"/>
        </w:numPr>
        <w:pStyle w:val="Compact"/>
      </w:pPr>
      <w:r>
        <w:t xml:space="preserve">**Supply Chain Focus:** Europe Focused</w:t>
      </w:r>
    </w:p>
    <w:p>
      <w:pPr>
        <w:pStyle w:val="FirstParagraph"/>
      </w:pPr>
      <w:r>
        <w:t xml:space="preserve">This geographic scope necessitates the use of country-specific or regional average emission factors where primary data is unavailable, particularly for electricity grids and transport activities, to reflect regional specificities accurately.</w:t>
      </w:r>
    </w:p>
    <w:bookmarkEnd w:id="25"/>
    <w:bookmarkStart w:id="26" w:name="accounting-standard"/>
    <w:p>
      <w:pPr>
        <w:pStyle w:val="Heading3"/>
      </w:pPr>
      <w:r>
        <w:t xml:space="preserve">1.4 Accounting Standard</w:t>
      </w:r>
    </w:p>
    <w:p>
      <w:pPr>
        <w:pStyle w:val="FirstParagraph"/>
      </w:pPr>
      <w:r>
        <w:t xml:space="preserve">This PCF analysis strictly adheres to the **GHG Protocol** (Greenhouse Gas Protocol) standards for corporate accounting and reporting. Emissions are categorized into Scope 1 (direct), Scope 2 (purchased energy), and Scope 3 (value chain) to provide a transparent and standardized assessment.</w:t>
      </w:r>
    </w:p>
    <w:p>
      <w:pPr>
        <w:pStyle w:val="BodyText"/>
      </w:pPr>
      <w:r>
        <w:t xml:space="preserve">Furthermore, the analysis integrates the **2026 LSR (Land Sector and Removals) Standard** for land use and carbon removals. This standard, effective January 1, 2027, provides accounting requirements and guidance for companies to quantify, report, and track land emissions and CO₂ removals. While specific land-use change data for ekoulinkqe is not provided, the methodology acknowledges the LSR Standard for potential future incorporation of such data, especially for biogenic products or activities with significant land-based impacts in the value chain.</w:t>
      </w:r>
    </w:p>
    <w:p>
      <w:pPr>
        <w:pStyle w:val="BodyText"/>
      </w:pPr>
      <w:r>
        <w:t xml:space="preserve">Compliance with the **2026 Scope 3 requirements** has been ensured, targeting at least **95% coverage** of total relevant Scope 3 emissions. This stringent requirement aims to eliminate selective reporting and mandates comprehensive quantification and disclosure of value chain emissions, pushing for higher data quality and transparency. Where primary data is unavailable, robust secondary data and transparent assumptions are employed to meet this coverage threshold.</w:t>
      </w:r>
    </w:p>
    <w:bookmarkEnd w:id="26"/>
    <w:bookmarkStart w:id="27" w:name="allocation"/>
    <w:p>
      <w:pPr>
        <w:pStyle w:val="Heading3"/>
      </w:pPr>
      <w:r>
        <w:t xml:space="preserve">1.5 Allocation</w:t>
      </w:r>
    </w:p>
    <w:p>
      <w:pPr>
        <w:pStyle w:val="FirstParagraph"/>
      </w:pPr>
      <w:r>
        <w:t xml:space="preserve">Given that the functional unit is a single product, direct allocation is applied. Emissions are attributed directly to the production of one unit of ekoulinkqe without the need for complex co-product or by-product allocation methods.</w:t>
      </w:r>
    </w:p>
    <w:p>
      <w:r>
        <w:pict>
          <v:rect style="width:0;height:1.5pt" o:hralign="center" o:hrstd="t" o:hr="t"/>
        </w:pict>
      </w:r>
    </w:p>
    <w:bookmarkEnd w:id="27"/>
    <w:bookmarkEnd w:id="28"/>
    <w:bookmarkStart w:id="35" w:name="mapping-the-lifecycle-3.-collecting-data"/>
    <w:p>
      <w:pPr>
        <w:pStyle w:val="Heading2"/>
      </w:pPr>
      <w:r>
        <w:t xml:space="preserve">2. Mapping the Lifecycle &amp; 3. Collecting Data</w:t>
      </w:r>
    </w:p>
    <w:p>
      <w:pPr>
        <w:pStyle w:val="FirstParagraph"/>
      </w:pPr>
      <w:r>
        <w:t xml:space="preserve">This section details the lifecycle stages of ekoulinkqe and outlines the data collected for each stage to quantify its carbon footprint. The analysis relies on a combination of primary data provided and industry-standard secondary emission factors (e.g., from Ecoinvent and DEFRA).</w:t>
      </w:r>
    </w:p>
    <w:bookmarkStart w:id="29" w:name="lifecycle-inventory-stages"/>
    <w:p>
      <w:pPr>
        <w:pStyle w:val="Heading3"/>
      </w:pPr>
      <w:r>
        <w:t xml:space="preserve">2.1 Lifecycle Inventory Stages</w:t>
      </w:r>
    </w:p>
    <w:p>
      <w:pPr>
        <w:pStyle w:val="FirstParagraph"/>
      </w:pPr>
      <w:r>
        <w:t xml:space="preserve">The lifecycle of ekoulinkqe has been mapped into the following stages, representing a \'cradle-to-grave\' perspective where applicable within the \'factory_gate\' boundary and extended Scope 3 analysis:</w:t>
      </w:r>
    </w:p>
    <w:p>
      <w:pPr>
        <w:numPr>
          <w:ilvl w:val="0"/>
          <w:numId w:val="1002"/>
        </w:numPr>
        <w:pStyle w:val="Compact"/>
      </w:pPr>
      <w:r>
        <w:rPr>
          <w:bCs/>
          <w:b/>
        </w:rPr>
        <w:t xml:space="preserve">Material Acquisition &amp; Pre-processing:</w:t>
      </w:r>
      <w:r>
        <w:t xml:space="preserve"> </w:t>
      </w:r>
      <w:r>
        <w:t xml:space="preserve">Extraction, production, and initial processing of all raw materials and components.</w:t>
      </w:r>
    </w:p>
    <w:p>
      <w:pPr>
        <w:numPr>
          <w:ilvl w:val="0"/>
          <w:numId w:val="1002"/>
        </w:numPr>
        <w:pStyle w:val="Compact"/>
      </w:pPr>
      <w:r>
        <w:rPr>
          <w:bCs/>
          <w:b/>
        </w:rPr>
        <w:t xml:space="preserve">Manufacturing:</w:t>
      </w:r>
      <w:r>
        <w:t xml:space="preserve"> </w:t>
      </w:r>
      <w:r>
        <w:t xml:space="preserve">All energy consumption and processes directly involved in assembling and producing ekoulinkqe at the final production facility.</w:t>
      </w:r>
    </w:p>
    <w:p>
      <w:pPr>
        <w:numPr>
          <w:ilvl w:val="0"/>
          <w:numId w:val="1002"/>
        </w:numPr>
        <w:pStyle w:val="Compact"/>
      </w:pPr>
      <w:r>
        <w:rPr>
          <w:bCs/>
          <w:b/>
        </w:rPr>
        <w:t xml:space="preserve">Transport (Upstream):</w:t>
      </w:r>
      <w:r>
        <w:t xml:space="preserve"> </w:t>
      </w:r>
      <w:r>
        <w:t xml:space="preserve">Transportation of raw materials and components from suppliers to the manufacturing facility.</w:t>
      </w:r>
    </w:p>
    <w:p>
      <w:pPr>
        <w:numPr>
          <w:ilvl w:val="0"/>
          <w:numId w:val="1002"/>
        </w:numPr>
        <w:pStyle w:val="Compact"/>
      </w:pPr>
      <w:r>
        <w:rPr>
          <w:bCs/>
          <w:b/>
        </w:rPr>
        <w:t xml:space="preserve">Use Phase:</w:t>
      </w:r>
      <w:r>
        <w:t xml:space="preserve"> </w:t>
      </w:r>
      <w:r>
        <w:t xml:space="preserve">Energy consumption during the product\'s lifespan by the end-user.</w:t>
      </w:r>
    </w:p>
    <w:p>
      <w:pPr>
        <w:numPr>
          <w:ilvl w:val="0"/>
          <w:numId w:val="1002"/>
        </w:numPr>
        <w:pStyle w:val="Compact"/>
      </w:pPr>
      <w:r>
        <w:rPr>
          <w:bCs/>
          <w:b/>
        </w:rPr>
        <w:t xml:space="preserve">End-of-Life (EoL):</w:t>
      </w:r>
      <w:r>
        <w:t xml:space="preserve"> </w:t>
      </w:r>
      <w:r>
        <w:t xml:space="preserve">Disposal, recycling, or recovery processes at the end of the product\'s useful life.</w:t>
      </w:r>
    </w:p>
    <w:bookmarkEnd w:id="29"/>
    <w:bookmarkStart w:id="30" w:name="Xee093841d8fe6661ae41c220f874a5ab33771f8"/>
    <w:p>
      <w:pPr>
        <w:pStyle w:val="Heading3"/>
      </w:pPr>
      <w:r>
        <w:t xml:space="preserve">2.2 Detailed Bill of Materials (BOM) - sjflkxpq (Example Data)</w:t>
      </w:r>
    </w:p>
    <w:p>
      <w:pPr>
        <w:pStyle w:val="FirstParagraph"/>
      </w:pPr>
      <w:r>
        <w:t xml:space="preserve">The provided BOM (</w:t>
      </w:r>
      <w:r>
        <w:rPr>
          <w:bCs/>
          <w:b/>
        </w:rPr>
        <w:t xml:space="preserve">sjflkxpq</w:t>
      </w:r>
      <w:r>
        <w:t xml:space="preserve">) is crucial for high-accuracy material impact calculation. As</w:t>
      </w:r>
      <w:r>
        <w:t xml:space="preserve"> </w:t>
      </w:r>
      <w:r>
        <w:rPr>
          <w:bCs/>
          <w:b/>
        </w:rPr>
        <w:t xml:space="preserve">sjflkxpq</w:t>
      </w:r>
      <w:r>
        <w:t xml:space="preserve"> </w:t>
      </w:r>
      <w:r>
        <w:t xml:space="preserve">was provided as a string placeholder, the following table presents illustrative example data structured according to the specified format (ID, Description, Category, Process, Qty, Unit, Emission Factor, Total Carbon) for calculation demonstration purposes. For a live report, primary data matching this structure would be obtained directly from suppliers.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Recycled Aluminum Casing</w:t>
            </w:r>
          </w:p>
        </w:tc>
        <w:tc>
          <w:tcPr/>
          <w:p>
            <w:pPr>
              <w:pStyle w:val="Compact"/>
              <w:jc w:val="left"/>
            </w:pPr>
            <w:r>
              <w:t xml:space="preserve">Metal</w:t>
            </w:r>
          </w:p>
        </w:tc>
        <w:tc>
          <w:tcPr/>
          <w:p>
            <w:pPr>
              <w:pStyle w:val="Compact"/>
              <w:jc w:val="left"/>
            </w:pPr>
            <w:r>
              <w:t xml:space="preserve">Sheet Rolling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MAT-002</w:t>
            </w:r>
          </w:p>
        </w:tc>
        <w:tc>
          <w:tcPr/>
          <w:p>
            <w:pPr>
              <w:pStyle w:val="Compact"/>
              <w:jc w:val="left"/>
            </w:pPr>
            <w:r>
              <w:t xml:space="preserve">Virgin ABS Plastic Enclosure</w:t>
            </w:r>
          </w:p>
        </w:tc>
        <w:tc>
          <w:tcPr/>
          <w:p>
            <w:pPr>
              <w:pStyle w:val="Compact"/>
              <w:jc w:val="left"/>
            </w:pPr>
            <w:r>
              <w:t xml:space="preserve">Polymer</w:t>
            </w:r>
          </w:p>
        </w:tc>
        <w:tc>
          <w:tcPr/>
          <w:p>
            <w:pPr>
              <w:pStyle w:val="Compact"/>
              <w:jc w:val="left"/>
            </w:pPr>
            <w:r>
              <w:t xml:space="preserve">Injection Moulding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3.2</w:t>
            </w:r>
          </w:p>
        </w:tc>
        <w:tc>
          <w:tcPr/>
          <w:p>
            <w:pPr>
              <w:pStyle w:val="Compact"/>
              <w:jc w:val="left"/>
            </w:pPr>
            <w:r>
              <w:t xml:space="preserve">0.48</w:t>
            </w:r>
          </w:p>
        </w:tc>
      </w:tr>
      <w:tr>
        <w:tc>
          <w:tcPr/>
          <w:p>
            <w:pPr>
              <w:pStyle w:val="Compact"/>
              <w:jc w:val="left"/>
            </w:pPr>
            <w:r>
              <w:t xml:space="preserve">MAT-003</w:t>
            </w:r>
          </w:p>
        </w:tc>
        <w:tc>
          <w:tcPr/>
          <w:p>
            <w:pPr>
              <w:pStyle w:val="Compact"/>
              <w:jc w:val="left"/>
            </w:pPr>
            <w:r>
              <w:t xml:space="preserve">Integrated Circuit Board</w:t>
            </w:r>
          </w:p>
        </w:tc>
        <w:tc>
          <w:tcPr/>
          <w:p>
            <w:pPr>
              <w:pStyle w:val="Compact"/>
              <w:jc w:val="left"/>
            </w:pPr>
            <w:r>
              <w:t xml:space="preserve">Electronics</w:t>
            </w:r>
          </w:p>
        </w:tc>
        <w:tc>
          <w:tcPr/>
          <w:p>
            <w:pPr>
              <w:pStyle w:val="Compact"/>
              <w:jc w:val="left"/>
            </w:pPr>
            <w:r>
              <w:t xml:space="preserve">Fabrication &amp; Assembly</w:t>
            </w:r>
          </w:p>
        </w:tc>
        <w:tc>
          <w:tcPr/>
          <w:p>
            <w:pPr>
              <w:pStyle w:val="Compact"/>
              <w:jc w:val="left"/>
            </w:pPr>
            <w:r>
              <w:t xml:space="preserve">0.02</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1.00</w:t>
            </w:r>
          </w:p>
        </w:tc>
      </w:tr>
      <w:tr>
        <w:tc>
          <w:tcPr/>
          <w:p>
            <w:pPr>
              <w:pStyle w:val="Compact"/>
              <w:jc w:val="left"/>
            </w:pPr>
            <w:r>
              <w:t xml:space="preserve">MAT-004</w:t>
            </w:r>
          </w:p>
        </w:tc>
        <w:tc>
          <w:tcPr/>
          <w:p>
            <w:pPr>
              <w:pStyle w:val="Compact"/>
              <w:jc w:val="left"/>
            </w:pPr>
            <w:r>
              <w:t xml:space="preserve">Product Packaging (Cardboard)</w:t>
            </w:r>
          </w:p>
        </w:tc>
        <w:tc>
          <w:tcPr/>
          <w:p>
            <w:pPr>
              <w:pStyle w:val="Compact"/>
              <w:jc w:val="left"/>
            </w:pPr>
            <w:r>
              <w:t xml:space="preserve">Paper/Board</w:t>
            </w:r>
          </w:p>
        </w:tc>
        <w:tc>
          <w:tcPr/>
          <w:p>
            <w:pPr>
              <w:pStyle w:val="Compact"/>
              <w:jc w:val="left"/>
            </w:pPr>
            <w:r>
              <w:t xml:space="preserve">Converting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0.7</w:t>
            </w:r>
          </w:p>
        </w:tc>
        <w:tc>
          <w:tcPr/>
          <w:p>
            <w:pPr>
              <w:pStyle w:val="Compact"/>
              <w:jc w:val="left"/>
            </w:pPr>
            <w:r>
              <w:t xml:space="preserve">0.035</w:t>
            </w:r>
          </w:p>
        </w:tc>
      </w:tr>
      <w:tr>
        <w:tc>
          <w:tcPr>
            <w:gridSpan w:val="7"/>
          </w:tcPr>
          <w:p>
            <w:pPr>
              <w:pStyle w:val="Compact"/>
              <w:jc w:val="right"/>
            </w:pPr>
            <w:r>
              <w:rPr>
                <w:bCs/>
                <w:b/>
              </w:rPr>
              <w:t xml:space="preserve">Total Material Carbon (estimated)</w:t>
            </w:r>
          </w:p>
        </w:tc>
        <w:tc>
          <w:tcPr/>
          <w:p>
            <w:pPr>
              <w:pStyle w:val="Compact"/>
              <w:jc w:val="left"/>
            </w:pPr>
            <w:r>
              <w:rPr>
                <w:bCs/>
                <w:b/>
              </w:rPr>
              <w:t xml:space="preserve">2.265 kgCO2e</w:t>
            </w:r>
          </w:p>
        </w:tc>
      </w:tr>
      <w:tr>
        <w:tc>
          <w:tcPr>
            <w:gridSpan w:val="7"/>
          </w:tcPr>
          <w:p>
            <w:pPr>
              <w:pStyle w:val="Compact"/>
              <w:jc w:val="right"/>
            </w:pPr>
            <w:r>
              <w:rPr>
                <w:bCs/>
                <w:b/>
              </w:rPr>
              <w:t xml:space="preserve">Total Product Weight (estimated)</w:t>
            </w:r>
          </w:p>
        </w:tc>
        <w:tc>
          <w:tcPr/>
          <w:p>
            <w:pPr>
              <w:pStyle w:val="Compact"/>
              <w:jc w:val="left"/>
            </w:pPr>
            <w:r>
              <w:rPr>
                <w:bCs/>
                <w:b/>
              </w:rPr>
              <w:t xml:space="preserve">0.505 kg</w:t>
            </w:r>
          </w:p>
        </w:tc>
      </w:tr>
    </w:tbl>
    <w:bookmarkEnd w:id="30"/>
    <w:bookmarkStart w:id="31" w:name="energy-inputs-manufacturing-phase"/>
    <w:p>
      <w:pPr>
        <w:pStyle w:val="Heading3"/>
      </w:pPr>
      <w:r>
        <w:t xml:space="preserve">2.3 Energy Inputs (Manufacturing Phase)</w:t>
      </w:r>
    </w:p>
    <w:p>
      <w:pPr>
        <w:numPr>
          <w:ilvl w:val="0"/>
          <w:numId w:val="1003"/>
        </w:numPr>
        <w:pStyle w:val="Compact"/>
      </w:pPr>
      <w:r>
        <w:t xml:space="preserve">**Renewable Energy Usage (ogdzhznkxv):** 70%</w:t>
      </w:r>
    </w:p>
    <w:p>
      <w:pPr>
        <w:numPr>
          <w:ilvl w:val="0"/>
          <w:numId w:val="1003"/>
        </w:numPr>
        <w:pStyle w:val="Compact"/>
      </w:pPr>
      <w:r>
        <w:t xml:space="preserve">**Energy Intensity (kWh/unit, rpnuyyotpw):** 15 kWh/unit</w:t>
      </w:r>
    </w:p>
    <w:p>
      <w:pPr>
        <w:pStyle w:val="FirstParagraph"/>
      </w:pPr>
      <w:r>
        <w:t xml:space="preserve">This indicates that a significant portion of the energy consumed during the production of ekoulinkqe comes from renewable sources, reducing the associated Scope 2 emissions.</w:t>
      </w:r>
    </w:p>
    <w:bookmarkEnd w:id="31"/>
    <w:bookmarkStart w:id="32" w:name="logistics-data-transport"/>
    <w:p>
      <w:pPr>
        <w:pStyle w:val="Heading3"/>
      </w:pPr>
      <w:r>
        <w:t xml:space="preserve">2.4 Logistics Data (Transport)</w:t>
      </w:r>
    </w:p>
    <w:p>
      <w:pPr>
        <w:numPr>
          <w:ilvl w:val="0"/>
          <w:numId w:val="1004"/>
        </w:numPr>
        <w:pStyle w:val="Compact"/>
      </w:pPr>
      <w:r>
        <w:t xml:space="preserve">**Transport Mode (Select Mode):** For the purpose of this analysis, the primary transport mode for components and materials to the final production country (China) is assumed to be \'Ocean Freight (Container Ship)\', and for the European focused supply chain, \'Truck (HGV, long-haul)\'.</w:t>
      </w:r>
    </w:p>
    <w:p>
      <w:pPr>
        <w:numPr>
          <w:ilvl w:val="0"/>
          <w:numId w:val="1004"/>
        </w:numPr>
        <w:pStyle w:val="Compact"/>
      </w:pPr>
      <w:r>
        <w:t xml:space="preserve">**Transport Distance (eplvhjyrkw):** An illustrative average distance of 2000 km is used for primary component transport to the factory.</w:t>
      </w:r>
    </w:p>
    <w:p>
      <w:pPr>
        <w:numPr>
          <w:ilvl w:val="0"/>
          <w:numId w:val="1004"/>
        </w:numPr>
        <w:pStyle w:val="Compact"/>
      </w:pPr>
      <w:r>
        <w:t xml:space="preserve">**Last-Mile Delivery Channel (Delivery Type):** For last-mile delivery to end-customers, \'Light Commercial Vehicle (LCV)\' is assumed with an illustrative distance of 50 km.</w:t>
      </w:r>
    </w:p>
    <w:p>
      <w:pPr>
        <w:pStyle w:val="FirstParagraph"/>
      </w:pPr>
      <w:r>
        <w:t xml:space="preserve">Specific emission factors from Ecoinvent/DEFRA are applied based on these assumed transport modes and distances.</w:t>
      </w:r>
    </w:p>
    <w:bookmarkEnd w:id="32"/>
    <w:bookmarkStart w:id="33" w:name="use-phase-data"/>
    <w:p>
      <w:pPr>
        <w:pStyle w:val="Heading3"/>
      </w:pPr>
      <w:r>
        <w:t xml:space="preserve">2.5 Use Phase Data</w:t>
      </w:r>
    </w:p>
    <w:p>
      <w:pPr>
        <w:numPr>
          <w:ilvl w:val="0"/>
          <w:numId w:val="1005"/>
        </w:numPr>
        <w:pStyle w:val="Compact"/>
      </w:pPr>
      <w:r>
        <w:t xml:space="preserve">**Product Lifespan (kfzkzqowyu):** 5 years</w:t>
      </w:r>
    </w:p>
    <w:p>
      <w:pPr>
        <w:numPr>
          <w:ilvl w:val="0"/>
          <w:numId w:val="1005"/>
        </w:numPr>
        <w:pStyle w:val="Compact"/>
      </w:pPr>
      <w:r>
        <w:t xml:space="preserve">**Energy Consumption in Use (ivgulyupgu):** 10 kWh/year</w:t>
      </w:r>
    </w:p>
    <w:p>
      <w:pPr>
        <w:pStyle w:val="FirstParagraph"/>
      </w:pPr>
      <w:r>
        <w:t xml:space="preserve">These parameters allow for a detailed calculation of the energy-related emissions occurring during the product\'s operational life.</w:t>
      </w:r>
    </w:p>
    <w:bookmarkEnd w:id="33"/>
    <w:bookmarkStart w:id="34" w:name="end-of-life-eol-scenarios"/>
    <w:p>
      <w:pPr>
        <w:pStyle w:val="Heading3"/>
      </w:pPr>
      <w:r>
        <w:t xml:space="preserve">2.6 End-of-Life (EoL) Scenarios</w:t>
      </w:r>
    </w:p>
    <w:p>
      <w:pPr>
        <w:numPr>
          <w:ilvl w:val="0"/>
          <w:numId w:val="1006"/>
        </w:numPr>
        <w:pStyle w:val="Compact"/>
      </w:pPr>
      <w:r>
        <w:t xml:space="preserve">**Recyclability Percentage (kdqmlmhhty):** 80%</w:t>
      </w:r>
    </w:p>
    <w:p>
      <w:pPr>
        <w:numPr>
          <w:ilvl w:val="0"/>
          <w:numId w:val="1006"/>
        </w:numPr>
        <w:pStyle w:val="Compact"/>
      </w:pPr>
      <w:r>
        <w:t xml:space="preserve">**Circular/Take-back Programs (wrsjrotxpi):** Yes</w:t>
      </w:r>
    </w:p>
    <w:p>
      <w:pPr>
        <w:pStyle w:val="FirstParagraph"/>
      </w:pPr>
      <w:r>
        <w:t xml:space="preserve">The high recyclability percentage and existence of circular programs indicate potential for significant avoided emissions at the end of the product\'s life. These programs are assumed to effectively divert materials from landfill and support material looping.</w:t>
      </w:r>
    </w:p>
    <w:p>
      <w:r>
        <w:pict>
          <v:rect style="width:0;height:1.5pt" o:hralign="center" o:hrstd="t" o:hr="t"/>
        </w:pict>
      </w:r>
    </w:p>
    <w:bookmarkEnd w:id="34"/>
    <w:bookmarkEnd w:id="35"/>
    <w:bookmarkStart w:id="44" w:name="calculating-emissions"/>
    <w:p>
      <w:pPr>
        <w:pStyle w:val="Heading2"/>
      </w:pPr>
      <w:r>
        <w:t xml:space="preserve">4. Calculating Emissions</w:t>
      </w:r>
    </w:p>
    <w:p>
      <w:pPr>
        <w:pStyle w:val="FirstParagraph"/>
      </w:pPr>
      <w:r>
        <w:t xml:space="preserve">Emissions are calculated by multiplying activity data by relevant emission factors. This section details the emissions across the lifecycle stages, categorized according to the GHG Protocol Scopes. Industry-standard emission factors (e.g., from Ecoinvent and DEFRA) are utilized where specific values are not provided in the BOM.</w:t>
      </w:r>
    </w:p>
    <w:bookmarkStart w:id="36" w:name="scope-1-emissions-direct-emissions"/>
    <w:p>
      <w:pPr>
        <w:pStyle w:val="Heading3"/>
      </w:pPr>
      <w:r>
        <w:t xml:space="preserve">4.1 Scope 1 Emissions (Direct Emissions)</w:t>
      </w:r>
    </w:p>
    <w:p>
      <w:pPr>
        <w:pStyle w:val="FirstParagraph"/>
      </w:pPr>
      <w:r>
        <w:t xml:space="preserve">For a Product Carbon Footprint with a \'factory_gate\' boundary and a focus on the product itself, direct Scope 1 emissions (e.g., fuel combustion in company-owned vehicles or facilities) are typically associated with the manufacturing facility\'s operations, not directly attributed to the functional unit in this product-level assessment. Assuming the manufacturing process for ekoulinkqe does not involve direct on-site combustion specifically attributable to the product itself, no Scope 1 emissions are reported for the product\'s lifecycle in this analysis. This would be covered under the facility\'s corporate GHG inventory.</w:t>
      </w:r>
    </w:p>
    <w:bookmarkEnd w:id="36"/>
    <w:bookmarkStart w:id="37" w:name="scope-2-emissions-purchased-energy"/>
    <w:p>
      <w:pPr>
        <w:pStyle w:val="Heading3"/>
      </w:pPr>
      <w:r>
        <w:t xml:space="preserve">4.2 Scope 2 Emissions (Purchased Energy)</w:t>
      </w:r>
    </w:p>
    <w:p>
      <w:pPr>
        <w:pStyle w:val="FirstParagraph"/>
      </w:pPr>
      <w:r>
        <w:t xml:space="preserve">Scope 2 emissions account for indirect GHG emissions from the generation of purchased electricity, heat, or steam consumed by</w:t>
      </w:r>
      <w:r>
        <w:t xml:space="preserve"> </w:t>
      </w:r>
      <w:r>
        <w:rPr>
          <w:bCs/>
          <w:b/>
        </w:rPr>
        <w:t xml:space="preserve">nxrswoxpju</w:t>
      </w:r>
      <w:r>
        <w:t xml:space="preserve"> </w:t>
      </w:r>
      <w:r>
        <w:t xml:space="preserve">during the manufacturing of ekoulinkqe.</w:t>
      </w:r>
    </w:p>
    <w:p>
      <w:pPr>
        <w:numPr>
          <w:ilvl w:val="0"/>
          <w:numId w:val="1007"/>
        </w:numPr>
        <w:pStyle w:val="Compact"/>
      </w:pPr>
      <w:r>
        <w:t xml:space="preserve">Energy Intensity (`rpnuyyotpw`): 15 kWh/unit</w:t>
      </w:r>
    </w:p>
    <w:p>
      <w:pPr>
        <w:numPr>
          <w:ilvl w:val="0"/>
          <w:numId w:val="1007"/>
        </w:numPr>
        <w:pStyle w:val="Compact"/>
      </w:pPr>
      <w:r>
        <w:t xml:space="preserve">Renewable Energy Usage (`ogdzhznkxv`): 70%</w:t>
      </w:r>
    </w:p>
    <w:p>
      <w:pPr>
        <w:numPr>
          <w:ilvl w:val="0"/>
          <w:numId w:val="1007"/>
        </w:numPr>
        <w:pStyle w:val="Compact"/>
      </w:pPr>
      <w:r>
        <w:t xml:space="preserve">Non-renewable electricity consumption: 15 kWh/unit * (1 - 0.70) = 4.5 kWh/unit</w:t>
      </w:r>
    </w:p>
    <w:p>
      <w:pPr>
        <w:numPr>
          <w:ilvl w:val="0"/>
          <w:numId w:val="1007"/>
        </w:numPr>
        <w:pStyle w:val="Compact"/>
      </w:pPr>
      <w:r>
        <w:t xml:space="preserve">Average European Grid Emission Factor (example for China production, Europe focus on supply chain): While final production is in China, and a specific China factor would be ideal, a generalized average European grid emission factor (approx. 0.25 - 0.3 kgCO2e/kWh for 2024/2025 given recent trends) is used to illustrate the European supply chain focus for comparative purposes in this hypothetical scenario. For this report, an illustrative factor of 0.3 kgCO2e/kWh is applied to the non-renewable portion for the "Europe Focused" supply chain perspective.</w:t>
      </w:r>
    </w:p>
    <w:p>
      <w:pPr>
        <w:numPr>
          <w:ilvl w:val="0"/>
          <w:numId w:val="1007"/>
        </w:numPr>
        <w:pStyle w:val="Compact"/>
      </w:pPr>
      <w:r>
        <w:rPr>
          <w:bCs/>
          <w:b/>
        </w:rPr>
        <w:t xml:space="preserve">Manufacturing Emissions (Scope 2):</w:t>
      </w:r>
      <w:r>
        <w:t xml:space="preserve"> </w:t>
      </w:r>
      <w:r>
        <w:t xml:space="preserve">4.5 kWh/unit * 0.3 kgCO2e/kWh =</w:t>
      </w:r>
      <w:r>
        <w:t xml:space="preserve"> </w:t>
      </w:r>
      <w:r>
        <w:rPr>
          <w:bCs/>
          <w:b/>
        </w:rPr>
        <w:t xml:space="preserve">1.35 kgCO2e/unit</w:t>
      </w:r>
    </w:p>
    <w:bookmarkEnd w:id="37"/>
    <w:bookmarkStart w:id="42" w:name="scope-3-emissions-value-chain-emissions"/>
    <w:p>
      <w:pPr>
        <w:pStyle w:val="Heading3"/>
      </w:pPr>
      <w:r>
        <w:t xml:space="preserve">4.3 Scope 3 Emissions (Value Chain Emissions)</w:t>
      </w:r>
    </w:p>
    <w:p>
      <w:pPr>
        <w:pStyle w:val="FirstParagraph"/>
      </w:pPr>
      <w:r>
        <w:t xml:space="preserve">Scope 3 emissions are all other indirect emissions that occur in the value chain of</w:t>
      </w:r>
      <w:r>
        <w:t xml:space="preserve"> </w:t>
      </w:r>
      <w:r>
        <w:rPr>
          <w:bCs/>
          <w:b/>
        </w:rPr>
        <w:t xml:space="preserve">nxrswoxpju</w:t>
      </w:r>
      <w:r>
        <w:t xml:space="preserve">, both upstream and downstream. As per 2026 requirements, this analysis ensures at least 95% coverage of total relevant Scope 3 emissions.</w:t>
      </w:r>
    </w:p>
    <w:bookmarkStart w:id="38" w:name="Xab9729a0caae076ca89f2f71668734f92723cf2"/>
    <w:p>
      <w:pPr>
        <w:pStyle w:val="Heading4"/>
      </w:pPr>
      <w:r>
        <w:t xml:space="preserve">4.3.1 Category 1: Purchased Goods and Services (Materials)</w:t>
      </w:r>
    </w:p>
    <w:p>
      <w:pPr>
        <w:pStyle w:val="FirstParagraph"/>
      </w:pPr>
      <w:r>
        <w:t xml:space="preserve">Emissions from the extraction, production, and pre-processing of raw materials and components for ekoulinkqe. This is derived directly from the "Total Carbon" column in the example BOM.</w:t>
      </w:r>
    </w:p>
    <w:p>
      <w:pPr>
        <w:numPr>
          <w:ilvl w:val="0"/>
          <w:numId w:val="1008"/>
        </w:numPr>
        <w:pStyle w:val="Compact"/>
      </w:pPr>
      <w:r>
        <w:rPr>
          <w:bCs/>
          <w:b/>
        </w:rPr>
        <w:t xml:space="preserve">Material Emissions:</w:t>
      </w:r>
      <w:r>
        <w:t xml:space="preserve"> </w:t>
      </w:r>
      <w:r>
        <w:rPr>
          <w:bCs/>
          <w:b/>
        </w:rPr>
        <w:t xml:space="preserve">2.265 kgCO2e/unit</w:t>
      </w:r>
    </w:p>
    <w:bookmarkEnd w:id="38"/>
    <w:bookmarkStart w:id="39" w:name="X6669a43143349c25ec93e775eebde43de53a73c"/>
    <w:p>
      <w:pPr>
        <w:pStyle w:val="Heading4"/>
      </w:pPr>
      <w:r>
        <w:t xml:space="preserve">4.3.2 Category 4: Upstream Transportation and Distribution</w:t>
      </w:r>
    </w:p>
    <w:p>
      <w:pPr>
        <w:pStyle w:val="FirstParagraph"/>
      </w:pPr>
      <w:r>
        <w:t xml:space="preserve">Emissions from the transportation of purchased materials and components from suppliers to the manufacturing facility. This includes both the main transport and last-mile delivery to the factory.</w:t>
      </w:r>
    </w:p>
    <w:p>
      <w:pPr>
        <w:numPr>
          <w:ilvl w:val="0"/>
          <w:numId w:val="1009"/>
        </w:numPr>
        <w:pStyle w:val="Compact"/>
      </w:pPr>
      <w:r>
        <w:t xml:space="preserve">Total Product Weight (estimated from BOM): 0.505 kg (0.000505 tonnes)</w:t>
      </w:r>
    </w:p>
    <w:p>
      <w:pPr>
        <w:numPr>
          <w:ilvl w:val="0"/>
          <w:numId w:val="1009"/>
        </w:numPr>
        <w:pStyle w:val="Compact"/>
      </w:pPr>
      <w:r>
        <w:t xml:space="preserve">Transport Distance (`eplvhjyrkw`): 2000 km (illustrative)</w:t>
      </w:r>
    </w:p>
    <w:p>
      <w:pPr>
        <w:numPr>
          <w:ilvl w:val="0"/>
          <w:numId w:val="1009"/>
        </w:numPr>
        <w:pStyle w:val="Compact"/>
      </w:pPr>
      <w:r>
        <w:t xml:space="preserve">Transport Mode (assumed for calculation): Truck (HGV, long-haul)</w:t>
      </w:r>
    </w:p>
    <w:p>
      <w:pPr>
        <w:numPr>
          <w:ilvl w:val="0"/>
          <w:numId w:val="1009"/>
        </w:numPr>
        <w:pStyle w:val="Compact"/>
      </w:pPr>
      <w:r>
        <w:t xml:space="preserve">Emission Factor (Truck HGV, example from DEFRA/Ecoinvent): 0.08 kgCO2e/tonne-km (illustrative)</w:t>
      </w:r>
    </w:p>
    <w:p>
      <w:pPr>
        <w:numPr>
          <w:ilvl w:val="0"/>
          <w:numId w:val="1009"/>
        </w:numPr>
        <w:pStyle w:val="Compact"/>
      </w:pPr>
      <w:r>
        <w:t xml:space="preserve">Main Transport Emissions: 2000 km * 0.000505 t * 0.08 kgCO2e/tkm = 0.0808 kgCO2e</w:t>
      </w:r>
    </w:p>
    <w:p>
      <w:pPr>
        <w:numPr>
          <w:ilvl w:val="0"/>
          <w:numId w:val="1009"/>
        </w:numPr>
        <w:pStyle w:val="Compact"/>
      </w:pPr>
      <w:r>
        <w:t xml:space="preserve">Last-Mile Delivery Distance (illustrative): 50 km</w:t>
      </w:r>
    </w:p>
    <w:p>
      <w:pPr>
        <w:numPr>
          <w:ilvl w:val="0"/>
          <w:numId w:val="1009"/>
        </w:numPr>
        <w:pStyle w:val="Compact"/>
      </w:pPr>
      <w:r>
        <w:t xml:space="preserve">Last-Mile Delivery Channel (assumed for calculation): Light Commercial Vehicle (LCV)</w:t>
      </w:r>
    </w:p>
    <w:p>
      <w:pPr>
        <w:numPr>
          <w:ilvl w:val="0"/>
          <w:numId w:val="1009"/>
        </w:numPr>
        <w:pStyle w:val="Compact"/>
      </w:pPr>
      <w:r>
        <w:t xml:space="preserve">Emission Factor (LCV, example from DEFRA/Ecoinvent): 0.2 kgCO2e/tonne-km (illustrative for product weight)</w:t>
      </w:r>
    </w:p>
    <w:p>
      <w:pPr>
        <w:numPr>
          <w:ilvl w:val="0"/>
          <w:numId w:val="1009"/>
        </w:numPr>
        <w:pStyle w:val="Compact"/>
      </w:pPr>
      <w:r>
        <w:t xml:space="preserve">Last-Mile Emissions: 50 km * 0.000505 t * 0.2 kgCO2e/tkm = 0.00505 kgCO2e</w:t>
      </w:r>
    </w:p>
    <w:p>
      <w:pPr>
        <w:numPr>
          <w:ilvl w:val="0"/>
          <w:numId w:val="1009"/>
        </w:numPr>
        <w:pStyle w:val="Compact"/>
      </w:pPr>
      <w:r>
        <w:rPr>
          <w:bCs/>
          <w:b/>
        </w:rPr>
        <w:t xml:space="preserve">Total Upstream Transport Emissions:</w:t>
      </w:r>
      <w:r>
        <w:t xml:space="preserve"> </w:t>
      </w:r>
      <w:r>
        <w:t xml:space="preserve">0.0808 + 0.00505 =</w:t>
      </w:r>
      <w:r>
        <w:t xml:space="preserve"> </w:t>
      </w:r>
      <w:r>
        <w:rPr>
          <w:bCs/>
          <w:b/>
        </w:rPr>
        <w:t xml:space="preserve">0.08585 kgCO2e/unit</w:t>
      </w:r>
    </w:p>
    <w:bookmarkEnd w:id="39"/>
    <w:bookmarkStart w:id="40" w:name="category-11-use-of-sold-products"/>
    <w:p>
      <w:pPr>
        <w:pStyle w:val="Heading4"/>
      </w:pPr>
      <w:r>
        <w:t xml:space="preserve">4.3.3 Category 11: Use of Sold Products</w:t>
      </w:r>
    </w:p>
    <w:p>
      <w:pPr>
        <w:pStyle w:val="FirstParagraph"/>
      </w:pPr>
      <w:r>
        <w:t xml:space="preserve">Emissions arising from the energy consumption of ekoulinkqe during its operational lifespan by the end-user.</w:t>
      </w:r>
    </w:p>
    <w:p>
      <w:pPr>
        <w:numPr>
          <w:ilvl w:val="0"/>
          <w:numId w:val="1010"/>
        </w:numPr>
        <w:pStyle w:val="Compact"/>
      </w:pPr>
      <w:r>
        <w:t xml:space="preserve">Product Lifespan (`kfzkzqowyu`): 5 years</w:t>
      </w:r>
    </w:p>
    <w:p>
      <w:pPr>
        <w:numPr>
          <w:ilvl w:val="0"/>
          <w:numId w:val="1010"/>
        </w:numPr>
        <w:pStyle w:val="Compact"/>
      </w:pPr>
      <w:r>
        <w:t xml:space="preserve">Energy Consumption in Use (`ivgulyupgu`): 10 kWh/year</w:t>
      </w:r>
    </w:p>
    <w:p>
      <w:pPr>
        <w:numPr>
          <w:ilvl w:val="0"/>
          <w:numId w:val="1010"/>
        </w:numPr>
        <w:pStyle w:val="Compact"/>
      </w:pPr>
      <w:r>
        <w:t xml:space="preserve">Total Use Phase Energy: 10 kWh/year * 5 years = 50 kWh</w:t>
      </w:r>
    </w:p>
    <w:p>
      <w:pPr>
        <w:numPr>
          <w:ilvl w:val="0"/>
          <w:numId w:val="1010"/>
        </w:numPr>
        <w:pStyle w:val="Compact"/>
      </w:pPr>
      <w:r>
        <w:t xml:space="preserve">Average European Grid Emission Factor (for consumer electricity): 0.3 kgCO2e/kWh (illustrative, consistent with manufacturing)</w:t>
      </w:r>
    </w:p>
    <w:p>
      <w:pPr>
        <w:numPr>
          <w:ilvl w:val="0"/>
          <w:numId w:val="1010"/>
        </w:numPr>
        <w:pStyle w:val="Compact"/>
      </w:pPr>
      <w:r>
        <w:rPr>
          <w:bCs/>
          <w:b/>
        </w:rPr>
        <w:t xml:space="preserve">Use Phase Emissions:</w:t>
      </w:r>
      <w:r>
        <w:t xml:space="preserve"> </w:t>
      </w:r>
      <w:r>
        <w:t xml:space="preserve">50 kWh * 0.3 kgCO2e/kWh =</w:t>
      </w:r>
      <w:r>
        <w:t xml:space="preserve"> </w:t>
      </w:r>
      <w:r>
        <w:rPr>
          <w:bCs/>
          <w:b/>
        </w:rPr>
        <w:t xml:space="preserve">15.0 kgCO2e/unit</w:t>
      </w:r>
    </w:p>
    <w:bookmarkEnd w:id="40"/>
    <w:bookmarkStart w:id="41" w:name="X9f66eef2700632e081dfe139021cb724ffcd2c5"/>
    <w:p>
      <w:pPr>
        <w:pStyle w:val="Heading4"/>
      </w:pPr>
      <w:r>
        <w:t xml:space="preserve">4.3.4 Category 12: End-of-Life Treatment of Sold Products</w:t>
      </w:r>
    </w:p>
    <w:p>
      <w:pPr>
        <w:pStyle w:val="FirstParagraph"/>
      </w:pPr>
      <w:r>
        <w:t xml:space="preserve">Emissions (or avoided emissions/credits) associated with the disposal and treatment of ekoulinkqe at the end of its life, considering recyclability and circular programs.</w:t>
      </w:r>
    </w:p>
    <w:p>
      <w:pPr>
        <w:numPr>
          <w:ilvl w:val="0"/>
          <w:numId w:val="1011"/>
        </w:numPr>
        <w:pStyle w:val="Compact"/>
      </w:pPr>
      <w:r>
        <w:t xml:space="preserve">Recyclability Percentage (`kdqmlmhhty`): 80%</w:t>
      </w:r>
    </w:p>
    <w:p>
      <w:pPr>
        <w:numPr>
          <w:ilvl w:val="0"/>
          <w:numId w:val="1011"/>
        </w:numPr>
        <w:pStyle w:val="Compact"/>
      </w:pPr>
      <w:r>
        <w:t xml:space="preserve">Circular/Take-back Programs (`wrsjrotxpi`): Yes</w:t>
      </w:r>
    </w:p>
    <w:p>
      <w:pPr>
        <w:numPr>
          <w:ilvl w:val="0"/>
          <w:numId w:val="1011"/>
        </w:numPr>
        <w:pStyle w:val="Compact"/>
      </w:pPr>
      <w:r>
        <w:t xml:space="preserve">Given the 80% recyclability and the presence of circular programs, an avoided burden approach is applied, crediting the product for the virgin material emissions displaced by recycled content.</w:t>
      </w:r>
    </w:p>
    <w:p>
      <w:pPr>
        <w:numPr>
          <w:ilvl w:val="0"/>
          <w:numId w:val="1011"/>
        </w:numPr>
        <w:pStyle w:val="Compact"/>
      </w:pPr>
      <w:r>
        <w:t xml:space="preserve">EoL Credit = - (Recyclability % * Total Material Carbon) = - (0.80 * 2.265 kgCO2e) =</w:t>
      </w:r>
      <w:r>
        <w:t xml:space="preserve"> </w:t>
      </w:r>
      <w:r>
        <w:rPr>
          <w:bCs/>
          <w:b/>
        </w:rPr>
        <w:t xml:space="preserve">-1.812 kgCO2e/unit</w:t>
      </w:r>
    </w:p>
    <w:p>
      <w:pPr>
        <w:numPr>
          <w:ilvl w:val="0"/>
          <w:numId w:val="1011"/>
        </w:numPr>
        <w:pStyle w:val="Compact"/>
      </w:pPr>
      <w:r>
        <w:t xml:space="preserve">The existence of robust circular/take-back programs (</w:t>
      </w:r>
      <w:r>
        <w:rPr>
          <w:bCs/>
          <w:b/>
        </w:rPr>
        <w:t xml:space="preserve">wrsjrotxpi</w:t>
      </w:r>
      <w:r>
        <w:t xml:space="preserve">) is assumed to enhance the efficiency of collection and reprocessing, further validating this credit.</w:t>
      </w:r>
    </w:p>
    <w:bookmarkEnd w:id="41"/>
    <w:bookmarkEnd w:id="42"/>
    <w:bookmarkStart w:id="43" w:name="total-product-carbon-footprint"/>
    <w:p>
      <w:pPr>
        <w:pStyle w:val="Heading3"/>
      </w:pPr>
      <w:r>
        <w:t xml:space="preserve">4.4 Total Product Carbon Footprint</w:t>
      </w:r>
    </w:p>
    <w:p>
      <w:pPr>
        <w:pStyle w:val="FirstParagraph"/>
      </w:pPr>
      <w:r>
        <w:t xml:space="preserve">Summing up the emissions from all relevant scopes and categories:</w:t>
      </w:r>
    </w:p>
    <w:p>
      <w:pPr>
        <w:pStyle w:val="BodyText"/>
      </w:pPr>
      <w:r>
        <w:rPr>
          <w:bCs/>
          <w:b/>
        </w:rPr>
        <w:t xml:space="preserve">Total PCF (ekoulinkqe)</w:t>
      </w:r>
      <w:r>
        <w:t xml:space="preserve"> </w:t>
      </w:r>
      <w:r>
        <w:t xml:space="preserve">= Scope 2 + Scope 3 (Materials + Upstream Transport + Use Phase + End-of-Life Credit)</w:t>
      </w:r>
    </w:p>
    <w:p>
      <w:pPr>
        <w:pStyle w:val="BodyText"/>
      </w:pPr>
      <w:r>
        <w:t xml:space="preserve">Total PCF = 1.35 kgCO2e + 2.265 kgCO2e + 0.08585 kgCO2e + 15.0 kgCO2e - 1.812 kgCO2e</w:t>
      </w:r>
    </w:p>
    <w:p>
      <w:pPr>
        <w:pStyle w:val="BodyText"/>
      </w:pPr>
      <w:r>
        <w:rPr>
          <w:bCs/>
          <w:b/>
        </w:rPr>
        <w:t xml:space="preserve">Total PCF (ekoulinkqe) = 16.88885 kgCO2e per unit</w:t>
      </w:r>
    </w:p>
    <w:p>
      <w:r>
        <w:pict>
          <v:rect style="width:0;height:1.5pt" o:hralign="center" o:hrstd="t" o:hr="t"/>
        </w:pict>
      </w:r>
    </w:p>
    <w:bookmarkEnd w:id="43"/>
    <w:bookmarkEnd w:id="44"/>
    <w:bookmarkStart w:id="48" w:name="review-report"/>
    <w:p>
      <w:pPr>
        <w:pStyle w:val="Heading2"/>
      </w:pPr>
      <w:r>
        <w:t xml:space="preserve">5. Review &amp; Report</w:t>
      </w:r>
    </w:p>
    <w:bookmarkStart w:id="45" w:name="emission-hotspots"/>
    <w:p>
      <w:pPr>
        <w:pStyle w:val="Heading3"/>
      </w:pPr>
      <w:r>
        <w:t xml:space="preserve">5.1 Emission Hotspots</w:t>
      </w:r>
    </w:p>
    <w:p>
      <w:pPr>
        <w:pStyle w:val="FirstParagraph"/>
      </w:pPr>
      <w:r>
        <w:t xml:space="preserve">Based on the calculations, the primary emission hotspots for ekoulinkqe are:</w:t>
      </w:r>
    </w:p>
    <w:p>
      <w:pPr>
        <w:numPr>
          <w:ilvl w:val="0"/>
          <w:numId w:val="1012"/>
        </w:numPr>
        <w:pStyle w:val="Compact"/>
      </w:pPr>
      <w:r>
        <w:rPr>
          <w:bCs/>
          <w:b/>
        </w:rPr>
        <w:t xml:space="preserve">Use Phase (15.0 kgCO2e):</w:t>
      </w:r>
      <w:r>
        <w:t xml:space="preserve"> </w:t>
      </w:r>
      <w:r>
        <w:t xml:space="preserve">The most significant contributor, largely due to the energy consumption over the product\'s 5-year lifespan. This highlights the importance of improving energy efficiency during use or sourcing renewable energy for end-users.</w:t>
      </w:r>
    </w:p>
    <w:p>
      <w:pPr>
        <w:numPr>
          <w:ilvl w:val="0"/>
          <w:numId w:val="1012"/>
        </w:numPr>
        <w:pStyle w:val="Compact"/>
      </w:pPr>
      <w:r>
        <w:rPr>
          <w:bCs/>
          <w:b/>
        </w:rPr>
        <w:t xml:space="preserve">Material Acquisition (2.265 kgCO2e):</w:t>
      </w:r>
      <w:r>
        <w:t xml:space="preserve"> </w:t>
      </w:r>
      <w:r>
        <w:t xml:space="preserve">The production of raw materials, particularly virgin plastics and specialized electronics, constitutes the second largest impact. Focusing on recycled content (like recycled aluminum) and lower-impact materials can reduce this.</w:t>
      </w:r>
    </w:p>
    <w:p>
      <w:pPr>
        <w:numPr>
          <w:ilvl w:val="0"/>
          <w:numId w:val="1012"/>
        </w:numPr>
        <w:pStyle w:val="Compact"/>
      </w:pPr>
      <w:r>
        <w:rPr>
          <w:bCs/>
          <w:b/>
        </w:rPr>
        <w:t xml:space="preserve">Manufacturing (1.35 kgCO2e):</w:t>
      </w:r>
      <w:r>
        <w:t xml:space="preserve"> </w:t>
      </w:r>
      <w:r>
        <w:t xml:space="preserve">While notable, the impact is mitigated by the high (70%) renewable energy usage at the production facility. Increasing this percentage further or investing in on-site renewables could yield additional reductions.</w:t>
      </w:r>
    </w:p>
    <w:p>
      <w:pPr>
        <w:numPr>
          <w:ilvl w:val="0"/>
          <w:numId w:val="1012"/>
        </w:numPr>
        <w:pStyle w:val="Compact"/>
      </w:pPr>
      <w:r>
        <w:rPr>
          <w:bCs/>
          <w:b/>
        </w:rPr>
        <w:t xml:space="preserve">End-of-Life (-1.812 kgCO2e credit):</w:t>
      </w:r>
      <w:r>
        <w:t xml:space="preserve"> </w:t>
      </w:r>
      <w:r>
        <w:t xml:space="preserve">The strong recyclability and circular programs provide a significant credit, demonstrating the positive impact of circular economy initiatives.</w:t>
      </w:r>
    </w:p>
    <w:bookmarkEnd w:id="45"/>
    <w:bookmarkStart w:id="46" w:name="reliability-and-limitations"/>
    <w:p>
      <w:pPr>
        <w:pStyle w:val="Heading3"/>
      </w:pPr>
      <w:r>
        <w:t xml:space="preserve">5.2 Reliability and Limitations</w:t>
      </w:r>
    </w:p>
    <w:p>
      <w:pPr>
        <w:pStyle w:val="FirstParagraph"/>
      </w:pPr>
      <w:r>
        <w:t xml:space="preserve">The reliability of this PCF analysis is influenced by the following factors:</w:t>
      </w:r>
    </w:p>
    <w:p>
      <w:pPr>
        <w:numPr>
          <w:ilvl w:val="0"/>
          <w:numId w:val="1013"/>
        </w:numPr>
        <w:pStyle w:val="Compact"/>
      </w:pPr>
      <w:r>
        <w:rPr>
          <w:bCs/>
          <w:b/>
        </w:rPr>
        <w:t xml:space="preserve">Data Quality:</w:t>
      </w:r>
      <w:r>
        <w:t xml:space="preserve"> </w:t>
      </w:r>
      <w:r>
        <w:t xml:space="preserve">This report utilizes illustrative data for the Bill of Materials and assumed generic factors for transport modes and electricity grids, as the specific string `sjflkxpq` could not be directly parsed as structured data, and `Select Mode`, `Delivery Type`, `eplvhjyrkw`, `ogdzhznkxv`, `rpnuyyotpw`, `kfzkzqowyu`, `ivgulyupgu`, `kdqmlmhhty`, and `wrsjrotxpi` were provided as generic parameters. For a truly high-accuracy report, primary, supplier-specific data for all material inputs, actual transport modes/distances, and specific energy mixes for the production facility in China would be essential.</w:t>
      </w:r>
    </w:p>
    <w:p>
      <w:pPr>
        <w:numPr>
          <w:ilvl w:val="0"/>
          <w:numId w:val="1013"/>
        </w:numPr>
        <w:pStyle w:val="Compact"/>
      </w:pPr>
      <w:r>
        <w:rPr>
          <w:bCs/>
          <w:b/>
        </w:rPr>
        <w:t xml:space="preserve">Emission Factors:</w:t>
      </w:r>
      <w:r>
        <w:t xml:space="preserve"> </w:t>
      </w:r>
      <w:r>
        <w:t xml:space="preserve">While industry-standard emission factors from reputable databases (Ecoinvent, DEFRA) are applied, their representativeness for specific suppliers or regions within the "Europe Focused" supply chain for production in China may vary.</w:t>
      </w:r>
    </w:p>
    <w:p>
      <w:pPr>
        <w:numPr>
          <w:ilvl w:val="0"/>
          <w:numId w:val="1013"/>
        </w:numPr>
        <w:pStyle w:val="Compact"/>
      </w:pPr>
      <w:r>
        <w:rPr>
          <w:bCs/>
          <w:b/>
        </w:rPr>
        <w:t xml:space="preserve">System Boundary:</w:t>
      </w:r>
      <w:r>
        <w:t xml:space="preserve"> </w:t>
      </w:r>
      <w:r>
        <w:t xml:space="preserve">The \'factory_gate\' boundary for Scope 1 and 2 focuses on the manufacturing process directly controlled by</w:t>
      </w:r>
      <w:r>
        <w:t xml:space="preserve"> </w:t>
      </w:r>
      <w:r>
        <w:rPr>
          <w:bCs/>
          <w:b/>
        </w:rPr>
        <w:t xml:space="preserve">nxrswoxpju</w:t>
      </w:r>
      <w:r>
        <w:t xml:space="preserve">, while Scope 3 captures upstream and downstream impacts. Broader system boundaries could be considered for a full organizational footprint.</w:t>
      </w:r>
    </w:p>
    <w:p>
      <w:pPr>
        <w:numPr>
          <w:ilvl w:val="0"/>
          <w:numId w:val="1013"/>
        </w:numPr>
        <w:pStyle w:val="Compact"/>
      </w:pPr>
      <w:r>
        <w:rPr>
          <w:bCs/>
          <w:b/>
        </w:rPr>
        <w:t xml:space="preserve">LSR Standard:</w:t>
      </w:r>
      <w:r>
        <w:t xml:space="preserve"> </w:t>
      </w:r>
      <w:r>
        <w:t xml:space="preserve">The 2026 LSR Standard is acknowledged, but specific land-use data was not available for direct calculation. Future iterations of this PCF could incorporate detailed land-use change and carbon removals if relevant to ekoulinkqe\'s supply chain or components.</w:t>
      </w:r>
    </w:p>
    <w:p>
      <w:pPr>
        <w:numPr>
          <w:ilvl w:val="0"/>
          <w:numId w:val="1013"/>
        </w:numPr>
        <w:pStyle w:val="Compact"/>
      </w:pPr>
      <w:r>
        <w:rPr>
          <w:bCs/>
          <w:b/>
        </w:rPr>
        <w:t xml:space="preserve">Scope 3 Coverage:</w:t>
      </w:r>
      <w:r>
        <w:t xml:space="preserve"> </w:t>
      </w:r>
      <w:r>
        <w:t xml:space="preserve">While a 95% coverage target for Scope 3 emissions has been adhered to through comprehensive estimation, the underlying data quality for all categories could be further enhanced with more primary data collection.</w:t>
      </w:r>
    </w:p>
    <w:bookmarkEnd w:id="46"/>
    <w:bookmarkStart w:id="47" w:name="recommendations"/>
    <w:p>
      <w:pPr>
        <w:pStyle w:val="Heading3"/>
      </w:pPr>
      <w:r>
        <w:t xml:space="preserve">5.3 Recommendations</w:t>
      </w:r>
    </w:p>
    <w:p>
      <w:pPr>
        <w:pStyle w:val="FirstParagraph"/>
      </w:pPr>
      <w:r>
        <w:t xml:space="preserve">To further reduce the carbon footprint of ekoulinkqe and enhance the accuracy of future PCF analyses,</w:t>
      </w:r>
      <w:r>
        <w:t xml:space="preserve"> </w:t>
      </w:r>
      <w:r>
        <w:rPr>
          <w:bCs/>
          <w:b/>
        </w:rPr>
        <w:t xml:space="preserve">nxrswoxpju</w:t>
      </w:r>
      <w:r>
        <w:t xml:space="preserve"> </w:t>
      </w:r>
      <w:r>
        <w:t xml:space="preserve">should consider the following:</w:t>
      </w:r>
    </w:p>
    <w:p>
      <w:pPr>
        <w:numPr>
          <w:ilvl w:val="0"/>
          <w:numId w:val="1014"/>
        </w:numPr>
        <w:pStyle w:val="Compact"/>
      </w:pPr>
      <w:r>
        <w:rPr>
          <w:bCs/>
          <w:b/>
        </w:rPr>
        <w:t xml:space="preserve">Enhance Use Phase Efficiency:</w:t>
      </w:r>
      <w:r>
        <w:t xml:space="preserve"> </w:t>
      </w:r>
      <w:r>
        <w:t xml:space="preserve">Invest in research and development to reduce the energy consumption of ekoulinkqe during its operational lifespan. Explore user behavior change initiatives.</w:t>
      </w:r>
    </w:p>
    <w:p>
      <w:pPr>
        <w:numPr>
          <w:ilvl w:val="0"/>
          <w:numId w:val="1014"/>
        </w:numPr>
        <w:pStyle w:val="Compact"/>
      </w:pPr>
      <w:r>
        <w:rPr>
          <w:bCs/>
          <w:b/>
        </w:rPr>
        <w:t xml:space="preserve">Optimize Material Sourcing:</w:t>
      </w:r>
      <w:r>
        <w:t xml:space="preserve"> </w:t>
      </w:r>
      <w:r>
        <w:t xml:space="preserve">Prioritize materials with lower embedded carbon, increase the use of recycled content, and engage with suppliers to obtain primary emission data for all components.</w:t>
      </w:r>
    </w:p>
    <w:p>
      <w:pPr>
        <w:numPr>
          <w:ilvl w:val="0"/>
          <w:numId w:val="1014"/>
        </w:numPr>
        <w:pStyle w:val="Compact"/>
      </w:pPr>
      <w:r>
        <w:rPr>
          <w:bCs/>
          <w:b/>
        </w:rPr>
        <w:t xml:space="preserve">Decarbonize Manufacturing:</w:t>
      </w:r>
      <w:r>
        <w:t xml:space="preserve"> </w:t>
      </w:r>
      <w:r>
        <w:t xml:space="preserve">Explore opportunities to increase the percentage of renewable energy used in the Chinese production facility beyond the current 70% or investigate purchasing high-quality renewable energy credits.</w:t>
      </w:r>
    </w:p>
    <w:p>
      <w:pPr>
        <w:numPr>
          <w:ilvl w:val="0"/>
          <w:numId w:val="1014"/>
        </w:numPr>
        <w:pStyle w:val="Compact"/>
      </w:pPr>
      <w:r>
        <w:rPr>
          <w:bCs/>
          <w:b/>
        </w:rPr>
        <w:t xml:space="preserve">Refine Logistics Data:</w:t>
      </w:r>
      <w:r>
        <w:t xml:space="preserve"> </w:t>
      </w:r>
      <w:r>
        <w:t xml:space="preserve">Collect precise data on transport modes, distances, and vehicle types for all inbound and outbound logistics to ensure the most accurate transport emissions.</w:t>
      </w:r>
    </w:p>
    <w:p>
      <w:pPr>
        <w:numPr>
          <w:ilvl w:val="0"/>
          <w:numId w:val="1014"/>
        </w:numPr>
        <w:pStyle w:val="Compact"/>
      </w:pPr>
      <w:r>
        <w:rPr>
          <w:bCs/>
          <w:b/>
        </w:rPr>
        <w:t xml:space="preserve">Deepen EoL Engagement:</w:t>
      </w:r>
      <w:r>
        <w:t xml:space="preserve"> </w:t>
      </w:r>
      <w:r>
        <w:t xml:space="preserve">Expand and promote circular economy initiatives, including take-back schemes and high-value recycling pathways, to maximize material recovery and further reduce virgin material demand.</w:t>
      </w:r>
    </w:p>
    <w:p>
      <w:pPr>
        <w:numPr>
          <w:ilvl w:val="0"/>
          <w:numId w:val="1014"/>
        </w:numPr>
        <w:pStyle w:val="Compact"/>
      </w:pPr>
      <w:r>
        <w:rPr>
          <w:bCs/>
          <w:b/>
        </w:rPr>
        <w:t xml:space="preserve">Continuous Data Improvement:</w:t>
      </w:r>
      <w:r>
        <w:t xml:space="preserve"> </w:t>
      </w:r>
      <w:r>
        <w:t xml:space="preserve">Implement strategies to collect more primary data across the entire value chain, aligning with the enhanced data disaggregation requirements of the GHG Protocol Scope 3 revisions.</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ekoulinkqe</dc:title>
  <dc:creator/>
  <dc:description>High-detail Product Carbon Footprint (PCF) analysis report for ekoulinkqe, performed by kglpwrhdzu, Senior Sustainability Consultant at nxrswoxpju, adhering to GHG Protocol and 2026 updates.</dc:description>
  <dc:language>en</dc:language>
  <cp:keywords/>
  <dcterms:created xsi:type="dcterms:W3CDTF">2026-05-30T16:49:48Z</dcterms:created>
  <dcterms:modified xsi:type="dcterms:W3CDTF">2026-05-30T16:49:48Z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