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dpiempwffp</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for dpiempwffp</w:t>
      </w:r>
    </w:p>
    <w:p>
      <w:pPr>
        <w:pStyle w:val="BodyText"/>
      </w:pPr>
      <w:r>
        <w:rPr>
          <w:bCs/>
          <w:b/>
        </w:rPr>
        <w:t xml:space="preserve">Company Name:</w:t>
      </w:r>
      <w:r>
        <w:t xml:space="preserve"> </w:t>
      </w:r>
      <w:r>
        <w:t xml:space="preserve">xzqsvlgovd</w:t>
      </w:r>
    </w:p>
    <w:p>
      <w:pPr>
        <w:pStyle w:val="BodyText"/>
      </w:pPr>
      <w:r>
        <w:rPr>
          <w:bCs/>
          <w:b/>
        </w:rPr>
        <w:t xml:space="preserve">Senior Sustainability Consultant:</w:t>
      </w:r>
      <w:r>
        <w:t xml:space="preserve"> </w:t>
      </w:r>
      <w:r>
        <w:t xml:space="preserve">mpfiitkdkr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environmental impacts may vary based on specific operational details and evolving methodologies.</w:t>
      </w:r>
    </w:p>
    <w:bookmarkEnd w:id="20"/>
    <w:bookmarkStart w:id="21" w:name="X84afaf6570ec3966b5c03c70b4ade07d0fe31e9"/>
    <w:p>
      <w:pPr>
        <w:pStyle w:val="Heading1"/>
      </w:pPr>
      <w:r>
        <w:t xml:space="preserve">Product Carbon Footprint Analysis for dpiempwffp</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xzqsvlgovd</w:t>
      </w:r>
    </w:p>
    <w:p>
      <w:pPr>
        <w:pStyle w:val="BodyText"/>
      </w:pPr>
      <w:r>
        <w:rPr>
          <w:bCs/>
          <w:b/>
        </w:rPr>
        <w:t xml:space="preserve">Senior Sustainability Consultant:</w:t>
      </w:r>
      <w:r>
        <w:t xml:space="preserve"> </w:t>
      </w:r>
      <w:r>
        <w:t xml:space="preserve">mpfiitkdkr</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dpiempwffp</w:t>
      </w:r>
      <w:r>
        <w:t xml:space="preserve"> </w:t>
      </w:r>
      <w:r>
        <w:t xml:space="preserve">manufactured by</w:t>
      </w:r>
      <w:r>
        <w:t xml:space="preserve"> </w:t>
      </w:r>
      <w:r>
        <w:rPr>
          <w:bCs/>
          <w:b/>
        </w:rPr>
        <w:t xml:space="preserve">xzqsvlgovd</w:t>
      </w:r>
      <w:r>
        <w:t xml:space="preserve">. The analysis adheres to the GHG Protocol accounting standard, incorporating the latest 2026 Land Sector and Removals (LSR) Standard updates and ensuring a comprehensive Scope 3 coverage of at least 95%. The primary objective is to quantify the total greenhouse gas (GHG) emissions across the product\'s lifecycle, expressed in carbon dioxide equivalents (CO2e), to identify key emission hotspots and inform strategic decarbonization efforts. The assessment employs a \'Cradle-to-Grave\' system boundary to capture impacts from raw material acquisition, manufacturing, transportation, product use, and end-of-life phases, leveraging specific company data and industry-standard emission factors.</w:t>
      </w:r>
    </w:p>
    <w:bookmarkEnd w:id="22"/>
    <w:p>
      <w:r>
        <w:pict>
          <v:rect style="width:0;height:1.5pt" o:hralign="center" o:hrstd="t" o:hr="t"/>
        </w:pict>
      </w:r>
    </w:p>
    <w:bookmarkStart w:id="31"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dpiempwffp</w:t>
      </w:r>
      <w:r>
        <w:t xml:space="preserve"> </w:t>
      </w:r>
      <w:r>
        <w:t xml:space="preserve">is calculated following a systematic methodology aligned with the GHG Protocol, a globally recognized standard for GHG accounting. This approach ensures a comprehensive and transparent assessment of emissions across the product\'s value chain.</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dpiempwffp</w:t>
      </w:r>
      <w:r>
        <w:t xml:space="preserve">. This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While the parameter \'factory_gate\' was provided, the detailed requirements for this analysis, including the expansion of the \'Use Phase\' and the incorporation of \'End-of-Life\' scenarios, necessitate a broader \'Cradle-to-Grave\' system boundary for a complete PCF. This boundary encompasses all processes from raw material extraction (cradle), through manufacturing, transportation, product use, and ultimately to the product\'s disposal or recycling (grave). This holistic approach ensures all significant emissions across the value chain are considered.</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This geographic context influences the selection of regional electricity grids, transportation modes, and emission factors.</w:t>
      </w:r>
    </w:p>
    <w:p>
      <w:pPr>
        <w:numPr>
          <w:ilvl w:val="0"/>
          <w:numId w:val="1001"/>
        </w:numPr>
        <w:pStyle w:val="Compact"/>
      </w:pPr>
      <w:r>
        <w:rPr>
          <w:bCs/>
          <w:b/>
        </w:rPr>
        <w:t xml:space="preserve">Allocation:</w:t>
      </w:r>
      <w:r>
        <w:t xml:space="preserve"> </w:t>
      </w:r>
      <w:r>
        <w:t xml:space="preserve">Emissions are allocated directly to the functional unit. In cases of co-products or by-products, established GHG Protocol allocation rules would be applied to ensure fair distribution of environmental burdens.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dpiempwffp</w:t>
      </w:r>
      <w:r>
        <w:t xml:space="preserve"> </w:t>
      </w:r>
      <w:r>
        <w:t xml:space="preserve">is mapped into distinct stages to systematically identify and quantify all relevant inputs and outputs. These stages align with the typical product lifecycle, categorizing emissions according to the GHG Protocol\'s Scope 1, 2, and 3 definitions:</w:t>
      </w:r>
    </w:p>
    <w:p>
      <w:pPr>
        <w:numPr>
          <w:ilvl w:val="0"/>
          <w:numId w:val="1002"/>
        </w:numPr>
        <w:pStyle w:val="Compact"/>
      </w:pPr>
      <w:r>
        <w:rPr>
          <w:bCs/>
          <w:b/>
        </w:rPr>
        <w:t xml:space="preserve">Materials Acquisition &amp; Pre-processing (Scope 3 - Upstream):</w:t>
      </w:r>
      <w:r>
        <w:t xml:space="preserve"> </w:t>
      </w:r>
      <w:r>
        <w:t xml:space="preserve">Extraction and processing of raw materials. This includes all inputs for the Detailed Bill of Materials (BOM).</w:t>
      </w:r>
    </w:p>
    <w:p>
      <w:pPr>
        <w:numPr>
          <w:ilvl w:val="0"/>
          <w:numId w:val="1002"/>
        </w:numPr>
        <w:pStyle w:val="Compact"/>
      </w:pPr>
      <w:r>
        <w:rPr>
          <w:bCs/>
          <w:b/>
        </w:rPr>
        <w:t xml:space="preserve">Manufacturing (Scope 1, 2, &amp; 3 - Upstream):</w:t>
      </w:r>
      <w:r>
        <w:t xml:space="preserve"> </w:t>
      </w:r>
      <w:r>
        <w:t xml:space="preserve">Production of the product at</w:t>
      </w:r>
      <w:r>
        <w:t xml:space="preserve"> </w:t>
      </w:r>
      <w:r>
        <w:rPr>
          <w:bCs/>
          <w:b/>
        </w:rPr>
        <w:t xml:space="preserve">xzqsvlgovd\'s</w:t>
      </w:r>
      <w:r>
        <w:t xml:space="preserve"> </w:t>
      </w:r>
      <w:r>
        <w:t xml:space="preserve">facilities in China. This covers direct emissions (Scope 1), purchased electricity (Scope 2), and upstream emissions from capital goods, waste generated in operations, etc. (Scope 3).</w:t>
      </w:r>
    </w:p>
    <w:p>
      <w:pPr>
        <w:numPr>
          <w:ilvl w:val="0"/>
          <w:numId w:val="1002"/>
        </w:numPr>
        <w:pStyle w:val="Compact"/>
      </w:pPr>
      <w:r>
        <w:rPr>
          <w:bCs/>
          <w:b/>
        </w:rPr>
        <w:t xml:space="preserve">Transportation &amp; Distribution (Scope 3 - Upstream &amp; Downstream):</w:t>
      </w:r>
      <w:r>
        <w:t xml:space="preserve"> </w:t>
      </w:r>
      <w:r>
        <w:t xml:space="preserve">Movement of raw materials to the factory, intermediate products between processing sites, and the final product to the customer. This includes both inbound logistics (upstream) and outbound logistics, including last-mile delivery (downstream).</w:t>
      </w:r>
    </w:p>
    <w:p>
      <w:pPr>
        <w:numPr>
          <w:ilvl w:val="0"/>
          <w:numId w:val="1002"/>
        </w:numPr>
        <w:pStyle w:val="Compact"/>
      </w:pPr>
      <w:r>
        <w:rPr>
          <w:bCs/>
          <w:b/>
        </w:rPr>
        <w:t xml:space="preserve">Use Phase (Scope 3 - Downstream):</w:t>
      </w:r>
      <w:r>
        <w:t xml:space="preserve"> </w:t>
      </w:r>
      <w:r>
        <w:t xml:space="preserve">Energy consumption and other impacts associated with the product\'s use by the end-consumer over its lifespan.</w:t>
      </w:r>
    </w:p>
    <w:p>
      <w:pPr>
        <w:numPr>
          <w:ilvl w:val="0"/>
          <w:numId w:val="1002"/>
        </w:numPr>
        <w:pStyle w:val="Compact"/>
      </w:pPr>
      <w:r>
        <w:rPr>
          <w:bCs/>
          <w:b/>
        </w:rPr>
        <w:t xml:space="preserve">End-of-Life (EoL) (Scope 3 - Downstream):</w:t>
      </w:r>
      <w:r>
        <w:t xml:space="preserve"> </w:t>
      </w:r>
      <w:r>
        <w:t xml:space="preserve">Disposal, recycling, or recovery processes at the end of the product\'s useful life.</w:t>
      </w:r>
    </w:p>
    <w:p>
      <w:pPr>
        <w:pStyle w:val="FirstParagraph"/>
      </w:pPr>
      <w:r>
        <w:t xml:space="preserve">The 2026 LSR Standard is applied, which sets requirements for corporate GHG accounting that cover emissions and carbon removals from agricultural and land use activities. While the primary focus of</w:t>
      </w:r>
      <w:r>
        <w:t xml:space="preserve"> </w:t>
      </w:r>
      <w:r>
        <w:rPr>
          <w:bCs/>
          <w:b/>
        </w:rPr>
        <w:t xml:space="preserve">dpiempwffp</w:t>
      </w:r>
      <w:r>
        <w:t xml:space="preserve"> </w:t>
      </w:r>
      <w:r>
        <w:t xml:space="preserve">may not be agricultural, potential land-use change impacts within the raw material supply chain (e.g., bio-based components) are considered. This standard also provides guidance for reporting technological CO2 removals and CO2 capture with geologic storage.</w:t>
      </w:r>
    </w:p>
    <w:bookmarkEnd w:id="24"/>
    <w:bookmarkStart w:id="30" w:name="Xb57f50a89bf1f3f1837369be949d9d60d6c1272"/>
    <w:p>
      <w:pPr>
        <w:pStyle w:val="Heading3"/>
      </w:pPr>
      <w:r>
        <w:t xml:space="preserve">1.3. Collect Data (Primary/Secondary Data Points)</w:t>
      </w:r>
    </w:p>
    <w:p>
      <w:pPr>
        <w:pStyle w:val="FirstParagraph"/>
      </w:pPr>
      <w:r>
        <w:t xml:space="preserve">Data collection involves gathering both primary data (specific to xzqsvlgovd and its direct suppliers) and secondary data (industry averages, databases, and scientific literature). The GHG Protocol Scope 3 revision for 2026 emphasizes mandatory data disaggregation by source type (primary vs. secondary) to enhance transparency and data quality.</w:t>
      </w:r>
    </w:p>
    <w:bookmarkStart w:id="25" w:name="Xe3c43772a5af2ccdec01823e568b649df51a99e"/>
    <w:p>
      <w:pPr>
        <w:pStyle w:val="Heading4"/>
      </w:pPr>
      <w:r>
        <w:t xml:space="preserve">Detailed Breakdown of Materials (Based on provided BOM: hwqniuhu)</w:t>
      </w:r>
    </w:p>
    <w:p>
      <w:pPr>
        <w:pStyle w:val="FirstParagraph"/>
      </w:pPr>
      <w:r>
        <w:t xml:space="preserve">The following table represents the structure of the provided Bill of Materials (BOM) \'hwqniuhu\'. For the purpose of this illustrative report, sample data is used that adheres to the specified format for each item: ID, Description, Category, Process, Qty, Unit, Emission Factor (kg CO2e/unit), and Total Carbon (kg CO2e). Actual calculations would use precise data from \'hwqniuhu\'.</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MTRL001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(Virgin)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MTRL002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Virgin Polymer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MTRL003</w:t>
            </w:r>
          </w:p>
        </w:tc>
        <w:tc>
          <w:tcPr/>
          <w:p>
            <w:pPr>
              <w:pStyle w:val="Compact"/>
              <w:jc w:val="left"/>
            </w:pPr>
            <w:r>
              <w:t xml:space="preserve">Silicon Chipset</w:t>
            </w:r>
          </w:p>
        </w:tc>
        <w:tc>
          <w:tcPr/>
          <w:p>
            <w:pPr>
              <w:pStyle w:val="Compact"/>
              <w:jc w:val="left"/>
            </w:pPr>
            <w:r>
              <w:t xml:space="preserve">Silicon</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2.00</w:t>
            </w:r>
          </w:p>
        </w:tc>
      </w:tr>
      <w:tr>
        <w:tc>
          <w:tcPr/>
          <w:p>
            <w:pPr>
              <w:pStyle w:val="Compact"/>
              <w:jc w:val="left"/>
            </w:pPr>
            <w:r>
              <w:t xml:space="preserve">MTRL004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Production (Virgin)</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MTRL005</w:t>
            </w:r>
          </w:p>
        </w:tc>
        <w:tc>
          <w:tcPr/>
          <w:p>
            <w:pPr>
              <w:pStyle w:val="Compact"/>
              <w:jc w:val="left"/>
            </w:pPr>
            <w:r>
              <w:t xml:space="preserve">Lithium-ion Battery</w:t>
            </w:r>
          </w:p>
        </w:tc>
        <w:tc>
          <w:tcPr/>
          <w:p>
            <w:pPr>
              <w:pStyle w:val="Compact"/>
              <w:jc w:val="left"/>
            </w:pPr>
            <w:r>
              <w:t xml:space="preserve">Chemicals/Components</w:t>
            </w:r>
          </w:p>
        </w:tc>
        <w:tc>
          <w:tcPr/>
          <w:p>
            <w:pPr>
              <w:pStyle w:val="Compact"/>
              <w:jc w:val="left"/>
            </w:pPr>
            <w:r>
              <w:t xml:space="preserve">Battery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gridSpan w:val="7"/>
          </w:tcPr>
          <w:p>
            <w:pPr>
              <w:pStyle w:val="Compact"/>
              <w:jc w:val="left"/>
            </w:pPr>
            <w:r>
              <w:t xml:space="preserve">Total Material Carbon Footprint</w:t>
            </w:r>
          </w:p>
        </w:tc>
        <w:tc>
          <w:tcPr/>
          <w:p>
            <w:pPr>
              <w:pStyle w:val="Compact"/>
              <w:jc w:val="left"/>
            </w:pPr>
            <w:r>
              <w:t xml:space="preserve">10.50</w:t>
            </w:r>
          </w:p>
        </w:tc>
      </w:tr>
    </w:tbl>
    <w:p>
      <w:pPr>
        <w:pStyle w:val="BodyText"/>
      </w:pPr>
      <w:r>
        <w:rPr>
          <w:iCs/>
          <w:i/>
        </w:rPr>
        <w:t xml:space="preserve">Note: Emission factors are illustrative and reflect common ranges for primary production. Metal and plastic production are energy-intensive processes contributing significantly to global emissions. Silicon wafer production is also highly energy-intensive.</w:t>
      </w:r>
    </w:p>
    <w:bookmarkEnd w:id="25"/>
    <w:bookmarkStart w:id="26" w:name="X9fafd1be188c41aad825c404b4cb1e9c58e795b"/>
    <w:p>
      <w:pPr>
        <w:pStyle w:val="Heading4"/>
      </w:pPr>
      <w:r>
        <w:t xml:space="preserve">Detailed Breakdown of Energy Inputs (Manufacturing Phase)</w:t>
      </w:r>
    </w:p>
    <w:p>
      <w:pPr>
        <w:numPr>
          <w:ilvl w:val="0"/>
          <w:numId w:val="1003"/>
        </w:numPr>
        <w:pStyle w:val="Compact"/>
      </w:pPr>
      <w:r>
        <w:rPr>
          <w:bCs/>
          <w:b/>
        </w:rPr>
        <w:t xml:space="preserve">Energy Intensity (kWh/unit):</w:t>
      </w:r>
      <w:r>
        <w:t xml:space="preserve"> </w:t>
      </w:r>
      <w:r>
        <w:t xml:space="preserve">`spufjnvljw` (e.g., 10 kWh/unit)</w:t>
      </w:r>
    </w:p>
    <w:p>
      <w:pPr>
        <w:numPr>
          <w:ilvl w:val="0"/>
          <w:numId w:val="1003"/>
        </w:numPr>
        <w:pStyle w:val="Compact"/>
      </w:pPr>
      <w:r>
        <w:rPr>
          <w:bCs/>
          <w:b/>
        </w:rPr>
        <w:t xml:space="preserve">Renewable Energy Usage:</w:t>
      </w:r>
      <w:r>
        <w:t xml:space="preserve"> </w:t>
      </w:r>
      <w:r>
        <w:t xml:space="preserve">`oqxwkekvpx` (e.g., 50%)</w:t>
      </w:r>
    </w:p>
    <w:p>
      <w:pPr>
        <w:numPr>
          <w:ilvl w:val="0"/>
          <w:numId w:val="1003"/>
        </w:numPr>
        <w:pStyle w:val="Compact"/>
      </w:pPr>
      <w:r>
        <w:rPr>
          <w:bCs/>
          <w:b/>
        </w:rPr>
        <w:t xml:space="preserve">Grid Electricity Emission Factor (China):</w:t>
      </w:r>
      <w:r>
        <w:t xml:space="preserve"> </w:t>
      </w:r>
      <w:r>
        <w:t xml:space="preserve">Approximately 0.6 kg CO2e/kWh (Illustrative, actual factor would depend on specific regional grid mix)</w:t>
      </w:r>
    </w:p>
    <w:p>
      <w:pPr>
        <w:numPr>
          <w:ilvl w:val="0"/>
          <w:numId w:val="1003"/>
        </w:numPr>
        <w:pStyle w:val="Compact"/>
      </w:pPr>
      <w:r>
        <w:rPr>
          <w:bCs/>
          <w:b/>
        </w:rPr>
        <w:t xml:space="preserve">Manufacturing Waste:</w:t>
      </w:r>
      <w:r>
        <w:t xml:space="preserve"> </w:t>
      </w:r>
      <w:r>
        <w:t xml:space="preserve">Quantified by type and disposal method.</w:t>
      </w:r>
    </w:p>
    <w:p>
      <w:pPr>
        <w:numPr>
          <w:ilvl w:val="0"/>
          <w:numId w:val="1003"/>
        </w:numPr>
        <w:pStyle w:val="Compact"/>
      </w:pPr>
      <w:r>
        <w:rPr>
          <w:bCs/>
          <w:b/>
        </w:rPr>
        <w:t xml:space="preserve">Water Consumption:</w:t>
      </w:r>
      <w:r>
        <w:t xml:space="preserve"> </w:t>
      </w:r>
      <w:r>
        <w:t xml:space="preserve">Quantified by volume.</w:t>
      </w:r>
    </w:p>
    <w:p>
      <w:pPr>
        <w:pStyle w:val="FirstParagraph"/>
      </w:pPr>
      <w:r>
        <w:t xml:space="preserve">For the manufacturing site in China, the total electricity consumption per unit is `spufjnvljw` kWh. Given `oqxwkekvpx` renewable energy usage, the remaining portion draws from the grid mix.</w:t>
      </w:r>
    </w:p>
    <w:bookmarkEnd w:id="26"/>
    <w:bookmarkStart w:id="27" w:name="logistics-data"/>
    <w:p>
      <w:pPr>
        <w:pStyle w:val="Heading4"/>
      </w:pPr>
      <w:r>
        <w:t xml:space="preserve">Logistics Data</w:t>
      </w:r>
    </w:p>
    <w:p>
      <w:pPr>
        <w:numPr>
          <w:ilvl w:val="0"/>
          <w:numId w:val="1004"/>
        </w:numPr>
        <w:pStyle w:val="Compact"/>
      </w:pPr>
      <w:r>
        <w:rPr>
          <w:bCs/>
          <w:b/>
        </w:rPr>
        <w:t xml:space="preserve">Inbound Transport (Raw Materials from Europe to China):</w:t>
      </w:r>
    </w:p>
    <w:p>
      <w:pPr>
        <w:numPr>
          <w:ilvl w:val="1"/>
          <w:numId w:val="1005"/>
        </w:numPr>
        <w:pStyle w:val="Compact"/>
      </w:pPr>
      <w:r>
        <w:t xml:space="preserve">Mode:</w:t>
      </w:r>
      <w:r>
        <w:t xml:space="preserve"> </w:t>
      </w:r>
      <w:r>
        <w:rPr>
          <w:bCs/>
          <w:b/>
        </w:rPr>
        <w:t xml:space="preserve">Select Mode</w:t>
      </w:r>
      <w:r>
        <w:t xml:space="preserve"> </w:t>
      </w:r>
      <w:r>
        <w:t xml:space="preserve">(e.g., Ocean Freight, then Road Freight)</w:t>
      </w:r>
    </w:p>
    <w:p>
      <w:pPr>
        <w:numPr>
          <w:ilvl w:val="1"/>
          <w:numId w:val="1005"/>
        </w:numPr>
        <w:pStyle w:val="Compact"/>
      </w:pPr>
      <w:r>
        <w:t xml:space="preserve">Distance:</w:t>
      </w:r>
      <w:r>
        <w:t xml:space="preserve"> </w:t>
      </w:r>
      <w:r>
        <w:rPr>
          <w:bCs/>
          <w:b/>
        </w:rPr>
        <w:t xml:space="preserve">ijhjwxktov</w:t>
      </w:r>
      <w:r>
        <w:t xml:space="preserve"> </w:t>
      </w:r>
      <w:r>
        <w:t xml:space="preserve">(e.g., 15,000 km Ocean + 500 km Road)</w:t>
      </w:r>
    </w:p>
    <w:p>
      <w:pPr>
        <w:numPr>
          <w:ilvl w:val="1"/>
          <w:numId w:val="1005"/>
        </w:numPr>
        <w:pStyle w:val="Compact"/>
      </w:pPr>
      <w:r>
        <w:t xml:space="preserve">Weight: Total weight of materials from BOM (e.g., 1.15 kg)</w:t>
      </w:r>
    </w:p>
    <w:p>
      <w:pPr>
        <w:numPr>
          <w:ilvl w:val="0"/>
          <w:numId w:val="1004"/>
        </w:numPr>
        <w:pStyle w:val="Compact"/>
      </w:pPr>
      <w:r>
        <w:rPr>
          <w:bCs/>
          <w:b/>
        </w:rPr>
        <w:t xml:space="preserve">Outbound Transport (Finished Product from China to Europe):</w:t>
      </w:r>
    </w:p>
    <w:p>
      <w:pPr>
        <w:numPr>
          <w:ilvl w:val="1"/>
          <w:numId w:val="1006"/>
        </w:numPr>
        <w:pStyle w:val="Compact"/>
      </w:pPr>
      <w:r>
        <w:t xml:space="preserve">Mode:</w:t>
      </w:r>
      <w:r>
        <w:t xml:space="preserve"> </w:t>
      </w:r>
      <w:r>
        <w:rPr>
          <w:bCs/>
          <w:b/>
        </w:rPr>
        <w:t xml:space="preserve">Select Mode</w:t>
      </w:r>
      <w:r>
        <w:t xml:space="preserve"> </w:t>
      </w:r>
      <w:r>
        <w:t xml:space="preserve">(e.g., Ocean Freight, then Road Freight)</w:t>
      </w:r>
    </w:p>
    <w:p>
      <w:pPr>
        <w:numPr>
          <w:ilvl w:val="1"/>
          <w:numId w:val="1006"/>
        </w:numPr>
        <w:pStyle w:val="Compact"/>
      </w:pPr>
      <w:r>
        <w:t xml:space="preserve">Distance:</w:t>
      </w:r>
      <w:r>
        <w:t xml:space="preserve"> </w:t>
      </w:r>
      <w:r>
        <w:rPr>
          <w:bCs/>
          <w:b/>
        </w:rPr>
        <w:t xml:space="preserve">ijhjwxktov</w:t>
      </w:r>
      <w:r>
        <w:t xml:space="preserve"> </w:t>
      </w:r>
      <w:r>
        <w:t xml:space="preserve">(e.g., 15,000 km Ocean + 1,000 km Road)</w:t>
      </w:r>
    </w:p>
    <w:p>
      <w:pPr>
        <w:numPr>
          <w:ilvl w:val="1"/>
          <w:numId w:val="1006"/>
        </w:numPr>
        <w:pStyle w:val="Compact"/>
      </w:pPr>
      <w:r>
        <w:t xml:space="preserve">Weight: Product weight (e.g., 1.2 kg)</w:t>
      </w:r>
    </w:p>
    <w:p>
      <w:pPr>
        <w:numPr>
          <w:ilvl w:val="0"/>
          <w:numId w:val="1004"/>
        </w:numPr>
        <w:pStyle w:val="Compact"/>
      </w:pPr>
      <w:r>
        <w:rPr>
          <w:bCs/>
          <w:b/>
        </w:rPr>
        <w:t xml:space="preserve">Last-Mile Delivery Channel (Europe):</w:t>
      </w:r>
      <w:r>
        <w:t xml:space="preserve"> </w:t>
      </w:r>
      <w:r>
        <w:rPr>
          <w:bCs/>
          <w:b/>
        </w:rPr>
        <w:t xml:space="preserve">Delivery Type</w:t>
      </w:r>
      <w:r>
        <w:t xml:space="preserve"> </w:t>
      </w:r>
      <w:r>
        <w:t xml:space="preserve">(e.g., Parcel Delivery - Road)</w:t>
      </w:r>
    </w:p>
    <w:bookmarkEnd w:id="27"/>
    <w:bookmarkStart w:id="28" w:name="use-phase-data"/>
    <w:p>
      <w:pPr>
        <w:pStyle w:val="Heading4"/>
      </w:pPr>
      <w:r>
        <w:t xml:space="preserve">Use Phase Data</w:t>
      </w:r>
    </w:p>
    <w:p>
      <w:pPr>
        <w:numPr>
          <w:ilvl w:val="0"/>
          <w:numId w:val="1007"/>
        </w:numPr>
        <w:pStyle w:val="Compact"/>
      </w:pPr>
      <w:r>
        <w:rPr>
          <w:bCs/>
          <w:b/>
        </w:rPr>
        <w:t xml:space="preserve">Product Lifespan:</w:t>
      </w:r>
      <w:r>
        <w:t xml:space="preserve"> </w:t>
      </w:r>
      <w:r>
        <w:t xml:space="preserve">`njleguvsvl` (e.g., 5 years)</w:t>
      </w:r>
    </w:p>
    <w:p>
      <w:pPr>
        <w:numPr>
          <w:ilvl w:val="0"/>
          <w:numId w:val="1007"/>
        </w:numPr>
        <w:pStyle w:val="Compact"/>
      </w:pPr>
      <w:r>
        <w:rPr>
          <w:bCs/>
          <w:b/>
        </w:rPr>
        <w:t xml:space="preserve">Energy Consumption in Use:</w:t>
      </w:r>
      <w:r>
        <w:t xml:space="preserve"> </w:t>
      </w:r>
      <w:r>
        <w:t xml:space="preserve">`mvfqefjjvw` (e.g., 20 kWh/year)</w:t>
      </w:r>
    </w:p>
    <w:bookmarkEnd w:id="28"/>
    <w:bookmarkStart w:id="29" w:name="end-of-life-eol-data"/>
    <w:p>
      <w:pPr>
        <w:pStyle w:val="Heading4"/>
      </w:pPr>
      <w:r>
        <w:t xml:space="preserve">End-of-Life (EoL) Data</w:t>
      </w:r>
    </w:p>
    <w:p>
      <w:pPr>
        <w:numPr>
          <w:ilvl w:val="0"/>
          <w:numId w:val="1008"/>
        </w:numPr>
        <w:pStyle w:val="Compact"/>
      </w:pPr>
      <w:r>
        <w:rPr>
          <w:bCs/>
          <w:b/>
        </w:rPr>
        <w:t xml:space="preserve">Recyclability Percentage:</w:t>
      </w:r>
      <w:r>
        <w:t xml:space="preserve"> </w:t>
      </w:r>
      <w:r>
        <w:t xml:space="preserve">`rtvftzwdzk` (e.g., 70% recyclable)</w:t>
      </w:r>
    </w:p>
    <w:p>
      <w:pPr>
        <w:numPr>
          <w:ilvl w:val="0"/>
          <w:numId w:val="1008"/>
        </w:numPr>
        <w:pStyle w:val="Compact"/>
      </w:pPr>
      <w:r>
        <w:rPr>
          <w:bCs/>
          <w:b/>
        </w:rPr>
        <w:t xml:space="preserve">Circular/Take-back Programs:</w:t>
      </w:r>
      <w:r>
        <w:t xml:space="preserve"> </w:t>
      </w:r>
      <w:r>
        <w:t xml:space="preserve">`srslrhulve` (e.g., Company actively implements take-back programs for product components.)</w:t>
      </w:r>
    </w:p>
    <w:p>
      <w:pPr>
        <w:numPr>
          <w:ilvl w:val="0"/>
          <w:numId w:val="1008"/>
        </w:numPr>
        <w:pStyle w:val="Compact"/>
      </w:pPr>
      <w:r>
        <w:rPr>
          <w:bCs/>
          <w:b/>
        </w:rPr>
        <w:t xml:space="preserve">Disposal Scenarios:</w:t>
      </w:r>
      <w:r>
        <w:t xml:space="preserve"> </w:t>
      </w:r>
      <w:r>
        <w:t xml:space="preserve">Recycling, Incineration, Landfill (based on material composition and regional infrastructure). Recycling metals and plastics significantly reduces CO2 emissions compared to virgin production.</w:t>
      </w:r>
    </w:p>
    <w:bookmarkEnd w:id="29"/>
    <w:bookmarkEnd w:id="30"/>
    <w:bookmarkEnd w:id="31"/>
    <w:p>
      <w:r>
        <w:pict>
          <v:rect style="width:0;height:1.5pt" o:hralign="center" o:hrstd="t" o:hr="t"/>
        </w:pict>
      </w:r>
    </w:p>
    <w:bookmarkStart w:id="38" w:name="X2c62247db19834934c44c209ad423fe06ba5c64"/>
    <w:p>
      <w:pPr>
        <w:pStyle w:val="Heading2"/>
      </w:pPr>
      <w:r>
        <w:t xml:space="preserve">2. Calculation of Emissions (Activity × Emission Factor = CO2e)</w:t>
      </w:r>
    </w:p>
    <w:p>
      <w:pPr>
        <w:pStyle w:val="FirstParagraph"/>
      </w:pPr>
      <w:r>
        <w:t xml:space="preserve">Emissions are calculated for each lifecycle stage by multiplying activity data (e.g., kg of material, kWh of energy, km of transport) by relevant emission factors (EFs). Industry-standard emission factors from databases like Ecoinvent and DEFRA are utilized for high accuracy. All results are expressed in kilograms of carbon dioxide equivalent (kg CO2e).</w:t>
      </w:r>
    </w:p>
    <w:bookmarkStart w:id="32" w:name="X1198c8af25dd1a2ebffa686809674f976343a37"/>
    <w:p>
      <w:pPr>
        <w:pStyle w:val="Heading3"/>
      </w:pPr>
      <w:r>
        <w:t xml:space="preserve">2.1. Material Acquisition &amp; Pre-processing (Scope 3 - Upstream)</w:t>
      </w:r>
    </w:p>
    <w:p>
      <w:pPr>
        <w:pStyle w:val="FirstParagraph"/>
      </w:pPr>
      <w:r>
        <w:t xml:space="preserve">Using the illustrative BOM data:</w:t>
      </w:r>
    </w:p>
    <w:p>
      <w:pPr>
        <w:pStyle w:val="BodyText"/>
      </w:pPr>
      <w:r>
        <w:t xml:space="preserve">Total Material Carbon Footprint: 10.50 kg CO2e</w:t>
      </w:r>
    </w:p>
    <w:bookmarkEnd w:id="32"/>
    <w:bookmarkStart w:id="33" w:name="X42e7cd3afcbc2216d02f5f826b1845398e09e5a"/>
    <w:p>
      <w:pPr>
        <w:pStyle w:val="Heading3"/>
      </w:pPr>
      <w:r>
        <w:t xml:space="preserve">2.2. Manufacturing Phase (Scope 1, 2, &amp; 3 - Upstream)</w:t>
      </w:r>
    </w:p>
    <w:p>
      <w:pPr>
        <w:numPr>
          <w:ilvl w:val="0"/>
          <w:numId w:val="1009"/>
        </w:numPr>
        <w:pStyle w:val="Compact"/>
      </w:pPr>
      <w:r>
        <w:rPr>
          <w:bCs/>
          <w:b/>
        </w:rPr>
        <w:t xml:space="preserve">Direct Emissions (Scope 1):</w:t>
      </w:r>
      <w:r>
        <w:t xml:space="preserve"> </w:t>
      </w:r>
      <w:r>
        <w:t xml:space="preserve">Assumed negligible for direct process emissions from fuel combustion on-site, primarily focusing on electricity. If any on-site fuel combustion exists, emissions would be calculated here.</w:t>
      </w:r>
    </w:p>
    <w:p>
      <w:pPr>
        <w:numPr>
          <w:ilvl w:val="0"/>
          <w:numId w:val="1009"/>
        </w:numPr>
        <w:pStyle w:val="Compact"/>
      </w:pPr>
      <w:r>
        <w:rPr>
          <w:bCs/>
          <w:b/>
        </w:rPr>
        <w:t xml:space="preserve">Purchased Electricity (Scope 2):</w:t>
      </w:r>
    </w:p>
    <w:p>
      <w:pPr>
        <w:numPr>
          <w:ilvl w:val="1"/>
          <w:numId w:val="1010"/>
        </w:numPr>
        <w:pStyle w:val="Compact"/>
      </w:pPr>
      <w:r>
        <w:t xml:space="preserve">Total Electricity Consumption: `spufjnvljw` kWh/unit (e.g., 10 kWh/unit)</w:t>
      </w:r>
    </w:p>
    <w:p>
      <w:pPr>
        <w:numPr>
          <w:ilvl w:val="1"/>
          <w:numId w:val="1010"/>
        </w:numPr>
        <w:pStyle w:val="Compact"/>
      </w:pPr>
      <w:r>
        <w:t xml:space="preserve">Renewable Energy Usage: `oqxwkekvpx` (e.g., 50%)</w:t>
      </w:r>
    </w:p>
    <w:p>
      <w:pPr>
        <w:numPr>
          <w:ilvl w:val="1"/>
          <w:numId w:val="1010"/>
        </w:numPr>
        <w:pStyle w:val="Compact"/>
      </w:pPr>
      <w:r>
        <w:t xml:space="preserve">Non-Renewable Electricity: 10 kWh * (1 - 0.50) = 5 kWh/unit</w:t>
      </w:r>
    </w:p>
    <w:p>
      <w:pPr>
        <w:numPr>
          <w:ilvl w:val="1"/>
          <w:numId w:val="1010"/>
        </w:numPr>
        <w:pStyle w:val="Compact"/>
      </w:pPr>
      <w:r>
        <w:t xml:space="preserve">Emission Factor (China Grid, illustrative): 0.6 kg CO2e/kWh</w:t>
      </w:r>
    </w:p>
    <w:p>
      <w:pPr>
        <w:numPr>
          <w:ilvl w:val="1"/>
          <w:numId w:val="1010"/>
        </w:numPr>
        <w:pStyle w:val="Compact"/>
      </w:pPr>
      <w:r>
        <w:t xml:space="preserve">Scope 2 Emissions: 5 kWh/unit * 0.6 kg CO2e/kWh = 3.0 kg CO2e/unit</w:t>
      </w:r>
    </w:p>
    <w:p>
      <w:pPr>
        <w:numPr>
          <w:ilvl w:val="0"/>
          <w:numId w:val="1009"/>
        </w:numPr>
        <w:pStyle w:val="Compact"/>
      </w:pPr>
      <w:r>
        <w:rPr>
          <w:bCs/>
          <w:b/>
        </w:rPr>
        <w:t xml:space="preserve">Other Upstream Scope 3 Emissions (e.g., capital goods, waste):</w:t>
      </w:r>
      <w:r>
        <w:t xml:space="preserve"> </w:t>
      </w:r>
      <w:r>
        <w:t xml:space="preserve">These are often estimated or calculated using more detailed data. For this report, we\'ll assume an additional 1.0 kg CO2e/unit.</w:t>
      </w:r>
    </w:p>
    <w:p>
      <w:pPr>
        <w:pStyle w:val="FirstParagraph"/>
      </w:pPr>
      <w:r>
        <w:rPr>
          <w:bCs/>
          <w:b/>
        </w:rPr>
        <w:t xml:space="preserve">Total Manufacturing Emissions:</w:t>
      </w:r>
      <w:r>
        <w:t xml:space="preserve"> </w:t>
      </w:r>
      <w:r>
        <w:t xml:space="preserve">3.0 (Scope 2) + 1.0 (Scope 3) = 4.0 kg CO2e/unit</w:t>
      </w:r>
    </w:p>
    <w:bookmarkEnd w:id="33"/>
    <w:bookmarkStart w:id="34" w:name="transportation-distribution-scope-3"/>
    <w:p>
      <w:pPr>
        <w:pStyle w:val="Heading3"/>
      </w:pPr>
      <w:r>
        <w:t xml:space="preserve">2.3. Transportation &amp; Distribution (Scope 3)</w:t>
      </w:r>
    </w:p>
    <w:p>
      <w:pPr>
        <w:pStyle w:val="FirstParagraph"/>
      </w:pPr>
      <w:r>
        <w:t xml:space="preserve">Illustrative calculations based on assumed values:</w:t>
      </w:r>
    </w:p>
    <w:p>
      <w:pPr>
        <w:numPr>
          <w:ilvl w:val="0"/>
          <w:numId w:val="1011"/>
        </w:numPr>
        <w:pStyle w:val="Compact"/>
      </w:pPr>
      <w:r>
        <w:rPr>
          <w:bCs/>
          <w:b/>
        </w:rPr>
        <w:t xml:space="preserve">Inbound Logistics (Raw Materials):</w:t>
      </w:r>
    </w:p>
    <w:p>
      <w:pPr>
        <w:numPr>
          <w:ilvl w:val="1"/>
          <w:numId w:val="1012"/>
        </w:numPr>
        <w:pStyle w:val="Compact"/>
      </w:pPr>
      <w:r>
        <w:t xml:space="preserve">Total Material Weight: 1.15 kg</w:t>
      </w:r>
    </w:p>
    <w:p>
      <w:pPr>
        <w:numPr>
          <w:ilvl w:val="1"/>
          <w:numId w:val="1012"/>
        </w:numPr>
        <w:pStyle w:val="Compact"/>
      </w:pPr>
      <w:r>
        <w:t xml:space="preserve">Ocean Freight (e.g., 15,000 km): 1.15 kg * 15,000 km * 0.00003 kg CO2e/(kg·km) (illustrative ocean EF) = 0.52 kg CO2e</w:t>
      </w:r>
    </w:p>
    <w:p>
      <w:pPr>
        <w:numPr>
          <w:ilvl w:val="1"/>
          <w:numId w:val="1012"/>
        </w:numPr>
        <w:pStyle w:val="Compact"/>
      </w:pPr>
      <w:r>
        <w:t xml:space="preserve">Road Freight (e.g., 500 km, Europe Focused): 1.15 kg * 500 km * 0.092 kg CO2e/(tonne·km) (GLEC HGV &gt;20t Europe and South America, 2019) = 0.053 kg CO2e (0.00115 tonnes * 500 km * 0.092 kg CO2e/tonne-km)</w:t>
      </w:r>
    </w:p>
    <w:p>
      <w:pPr>
        <w:numPr>
          <w:ilvl w:val="1"/>
          <w:numId w:val="1012"/>
        </w:numPr>
        <w:pStyle w:val="Compact"/>
      </w:pPr>
      <w:r>
        <w:t xml:space="preserve">Total Inbound Transport: 0.52 + 0.053 = 0.57 kg CO2e</w:t>
      </w:r>
    </w:p>
    <w:p>
      <w:pPr>
        <w:numPr>
          <w:ilvl w:val="0"/>
          <w:numId w:val="1011"/>
        </w:numPr>
        <w:pStyle w:val="Compact"/>
      </w:pPr>
      <w:r>
        <w:rPr>
          <w:bCs/>
          <w:b/>
        </w:rPr>
        <w:t xml:space="preserve">Outbound Logistics (Finished Product to Europe):</w:t>
      </w:r>
    </w:p>
    <w:p>
      <w:pPr>
        <w:numPr>
          <w:ilvl w:val="1"/>
          <w:numId w:val="1013"/>
        </w:numPr>
        <w:pStyle w:val="Compact"/>
      </w:pPr>
      <w:r>
        <w:t xml:space="preserve">Product Weight: 1.2 kg (assuming final product weight)</w:t>
      </w:r>
    </w:p>
    <w:p>
      <w:pPr>
        <w:numPr>
          <w:ilvl w:val="1"/>
          <w:numId w:val="1013"/>
        </w:numPr>
        <w:pStyle w:val="Compact"/>
      </w:pPr>
      <w:r>
        <w:t xml:space="preserve">Ocean Freight (e.g., 15,000 km): 1.2 kg * 15,000 km * 0.00003 kg CO2e/(kg·km) = 0.54 kg CO2e</w:t>
      </w:r>
    </w:p>
    <w:p>
      <w:pPr>
        <w:numPr>
          <w:ilvl w:val="1"/>
          <w:numId w:val="1013"/>
        </w:numPr>
        <w:pStyle w:val="Compact"/>
      </w:pPr>
      <w:r>
        <w:t xml:space="preserve">Road Freight (e.g., 1,000 km, Europe Focused): 1.2 kg * 1,000 km * 0.092 kg CO2e/(tonne·km) = 0.11 kg CO2e (0.0012 tonnes * 1000 km * 0.092 kg CO2e/tonne-km)</w:t>
      </w:r>
    </w:p>
    <w:p>
      <w:pPr>
        <w:numPr>
          <w:ilvl w:val="1"/>
          <w:numId w:val="1013"/>
        </w:numPr>
        <w:pStyle w:val="Compact"/>
      </w:pPr>
      <w:r>
        <w:t xml:space="preserve">Last-Mile Delivery (e.g., Parcel Delivery - Road, illustrative for 500km): 0.23 kg CO2e/package (average emissions for pickup and delivery) * 1 unit = 0.23 kg CO2e (or could use an EF per kg.km from DEFRA, BEIS for parcel services)</w:t>
      </w:r>
    </w:p>
    <w:p>
      <w:pPr>
        <w:numPr>
          <w:ilvl w:val="1"/>
          <w:numId w:val="1013"/>
        </w:numPr>
        <w:pStyle w:val="Compact"/>
      </w:pPr>
      <w:r>
        <w:t xml:space="preserve">Total Outbound Transport: 0.54 + 0.11 + 0.23 = 0.88 kg CO2e</w:t>
      </w:r>
    </w:p>
    <w:p>
      <w:pPr>
        <w:pStyle w:val="FirstParagraph"/>
      </w:pPr>
      <w:r>
        <w:rPr>
          <w:bCs/>
          <w:b/>
        </w:rPr>
        <w:t xml:space="preserve">Total Transportation &amp; Distribution Emissions:</w:t>
      </w:r>
      <w:r>
        <w:t xml:space="preserve"> </w:t>
      </w:r>
      <w:r>
        <w:t xml:space="preserve">0.57 + 0.88 = 1.45 kg CO2e/unit</w:t>
      </w:r>
    </w:p>
    <w:bookmarkEnd w:id="34"/>
    <w:bookmarkStart w:id="35" w:name="use-phase-scope-3---downstream"/>
    <w:p>
      <w:pPr>
        <w:pStyle w:val="Heading3"/>
      </w:pPr>
      <w:r>
        <w:t xml:space="preserve">2.4. Use Phase (Scope 3 - Downstream)</w:t>
      </w:r>
    </w:p>
    <w:p>
      <w:pPr>
        <w:numPr>
          <w:ilvl w:val="0"/>
          <w:numId w:val="1014"/>
        </w:numPr>
        <w:pStyle w:val="Compact"/>
      </w:pPr>
      <w:r>
        <w:t xml:space="preserve">Product Lifespan: `njleguvsvl` (e.g., 5 years)</w:t>
      </w:r>
    </w:p>
    <w:p>
      <w:pPr>
        <w:numPr>
          <w:ilvl w:val="0"/>
          <w:numId w:val="1014"/>
        </w:numPr>
        <w:pStyle w:val="Compact"/>
      </w:pPr>
      <w:r>
        <w:t xml:space="preserve">Energy Consumption in Use: `mvfqefjjvw` (e.g., 20 kWh/year)</w:t>
      </w:r>
    </w:p>
    <w:p>
      <w:pPr>
        <w:numPr>
          <w:ilvl w:val="0"/>
          <w:numId w:val="1014"/>
        </w:numPr>
        <w:pStyle w:val="Compact"/>
      </w:pPr>
      <w:r>
        <w:t xml:space="preserve">Total Energy Consumption in Use: 20 kWh/year * 5 years = 100 kWh/unit</w:t>
      </w:r>
    </w:p>
    <w:p>
      <w:pPr>
        <w:numPr>
          <w:ilvl w:val="0"/>
          <w:numId w:val="1014"/>
        </w:numPr>
        <w:pStyle w:val="Compact"/>
      </w:pPr>
      <w:r>
        <w:t xml:space="preserve">Emission Factor (Europe Grid Average, illustrative): 0.3 kg CO2e/kWh (assuming product is used in Europe, actual factor depends on country mix)</w:t>
      </w:r>
    </w:p>
    <w:p>
      <w:pPr>
        <w:numPr>
          <w:ilvl w:val="0"/>
          <w:numId w:val="1014"/>
        </w:numPr>
        <w:pStyle w:val="Compact"/>
      </w:pPr>
      <w:r>
        <w:t xml:space="preserve">Use Phase Emissions: 100 kWh/unit * 0.3 kg CO2e/kWh = 30.0 kg CO2e/unit</w:t>
      </w:r>
    </w:p>
    <w:p>
      <w:pPr>
        <w:numPr>
          <w:ilvl w:val="0"/>
          <w:numId w:val="1014"/>
        </w:numPr>
        <w:pStyle w:val="Compact"/>
      </w:pPr>
      <w:r>
        <w:rPr>
          <w:iCs/>
          <w:i/>
        </w:rPr>
        <w:t xml:space="preserve">Note: Energy consumption during the use phase often represents a significant portion of a product\'s overall carbon footprint, especially for electronic devices.</w:t>
      </w:r>
    </w:p>
    <w:p>
      <w:pPr>
        <w:pStyle w:val="FirstParagraph"/>
      </w:pPr>
      <w:r>
        <w:rPr>
          <w:bCs/>
          <w:b/>
        </w:rPr>
        <w:t xml:space="preserve">Total Use Phase Emissions:</w:t>
      </w:r>
      <w:r>
        <w:t xml:space="preserve"> </w:t>
      </w:r>
      <w:r>
        <w:t xml:space="preserve">30.0 kg CO2e/unit</w:t>
      </w:r>
    </w:p>
    <w:bookmarkEnd w:id="35"/>
    <w:bookmarkStart w:id="36" w:name="end-of-life-eol-scope-3---downstream"/>
    <w:p>
      <w:pPr>
        <w:pStyle w:val="Heading3"/>
      </w:pPr>
      <w:r>
        <w:t xml:space="preserve">2.5. End-of-Life (EoL) (Scope 3 - Downstream)</w:t>
      </w:r>
    </w:p>
    <w:p>
      <w:pPr>
        <w:pStyle w:val="FirstParagraph"/>
      </w:pPr>
      <w:r>
        <w:t xml:space="preserve">The EoL scenario accounts for `rtvftzwdzk` recyclability and `srslrhulve` circular programs. Assuming 70% recyclability and 30% to landfill/incineration (for non-recyclable parts/losses).</w:t>
      </w:r>
    </w:p>
    <w:p>
      <w:pPr>
        <w:pStyle w:val="BodyText"/>
      </w:pPr>
      <w:r>
        <w:t xml:space="preserve">The calculation for EoL involves the emissions/credits from disposal, recycling, and recovery. Recycling generally has a lower carbon footprint than producing virgin materials and helps in waste reduction.</w:t>
      </w:r>
    </w:p>
    <w:p>
      <w:pPr>
        <w:numPr>
          <w:ilvl w:val="0"/>
          <w:numId w:val="1015"/>
        </w:numPr>
        <w:pStyle w:val="Compact"/>
      </w:pPr>
      <w:r>
        <w:t xml:space="preserve">Product Weight: 1.2 kg</w:t>
      </w:r>
    </w:p>
    <w:p>
      <w:pPr>
        <w:numPr>
          <w:ilvl w:val="0"/>
          <w:numId w:val="1015"/>
        </w:numPr>
        <w:pStyle w:val="Compact"/>
      </w:pPr>
      <w:r>
        <w:t xml:space="preserve">Recycled Portion (70%): 1.2 kg * 0.70 = 0.84 kg</w:t>
      </w:r>
    </w:p>
    <w:p>
      <w:pPr>
        <w:numPr>
          <w:ilvl w:val="0"/>
          <w:numId w:val="1015"/>
        </w:numPr>
        <w:pStyle w:val="Compact"/>
      </w:pPr>
      <w:r>
        <w:t xml:space="preserve">Disposal Portion (30% to landfill/incineration): 1.2 kg * 0.30 = 0.36 kg</w:t>
      </w:r>
    </w:p>
    <w:p>
      <w:pPr>
        <w:numPr>
          <w:ilvl w:val="0"/>
          <w:numId w:val="1015"/>
        </w:numPr>
        <w:pStyle w:val="Compact"/>
      </w:pPr>
      <w:r>
        <w:t xml:space="preserve">Emission Factor for Recycling (net benefit/emission depends on material and process): For demonstration, let\'s assume a credit of -1.0 kg CO2e/kg for recycled materials due to avoided virgin production and 0.5 kg CO2e/kg for disposal (net for incineration/landfill emissions).</w:t>
      </w:r>
    </w:p>
    <w:p>
      <w:pPr>
        <w:numPr>
          <w:ilvl w:val="0"/>
          <w:numId w:val="1015"/>
        </w:numPr>
        <w:pStyle w:val="Compact"/>
      </w:pPr>
      <w:r>
        <w:t xml:space="preserve">Emissions/Credits from Recycling: 0.84 kg * (-1.0 kg CO2e/kg) = -0.84 kg CO2e</w:t>
      </w:r>
    </w:p>
    <w:p>
      <w:pPr>
        <w:numPr>
          <w:ilvl w:val="0"/>
          <w:numId w:val="1015"/>
        </w:numPr>
        <w:pStyle w:val="Compact"/>
      </w:pPr>
      <w:r>
        <w:t xml:space="preserve">Emissions from Disposal: 0.36 kg * 0.5 kg CO2e/kg = 0.18 kg CO2e</w:t>
      </w:r>
    </w:p>
    <w:p>
      <w:pPr>
        <w:pStyle w:val="FirstParagraph"/>
      </w:pPr>
      <w:r>
        <w:rPr>
          <w:bCs/>
          <w:b/>
        </w:rPr>
        <w:t xml:space="preserve">Total End-of-Life Emissions:</w:t>
      </w:r>
      <w:r>
        <w:t xml:space="preserve"> </w:t>
      </w:r>
      <w:r>
        <w:t xml:space="preserve">-0.84 + 0.18 = -0.66 kg CO2e/unit (This shows a net benefit from recycling efforts.)</w:t>
      </w:r>
    </w:p>
    <w:p>
      <w:pPr>
        <w:pStyle w:val="BodyText"/>
      </w:pPr>
      <w:r>
        <w:rPr>
          <w:iCs/>
          <w:i/>
        </w:rPr>
        <w:t xml:space="preserve">Note: Circular economy strategies, including robust take-back and recycling programs, are crucial for reducing the overall product carbon footprint and align with GHG Protocol\'s focus on value chain emissions.</w:t>
      </w:r>
    </w:p>
    <w:bookmarkEnd w:id="36"/>
    <w:bookmarkStart w:id="37" w:name="X63a18bfad5b9e3f1aa0bcceefd316f8a5313226"/>
    <w:p>
      <w:pPr>
        <w:pStyle w:val="Heading3"/>
      </w:pPr>
      <w:r>
        <w:t xml:space="preserve">2.6. Total Product Carbon Footprint (PCF) for dpiempwffp</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10.50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Manufacturing (Other Scope 3 Upstream)</w:t>
            </w:r>
          </w:p>
        </w:tc>
        <w:tc>
          <w:tcPr/>
          <w:p>
            <w:pPr>
              <w:pStyle w:val="Compact"/>
              <w:jc w:val="left"/>
            </w:pPr>
            <w:r>
              <w:t xml:space="preserve">Scope 3 (Upstream)</w:t>
            </w:r>
          </w:p>
        </w:tc>
        <w:tc>
          <w:tcPr/>
          <w:p>
            <w:pPr>
              <w:pStyle w:val="Compact"/>
              <w:jc w:val="left"/>
            </w:pPr>
            <w:r>
              <w:t xml:space="preserve">1.00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1.45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45.29</w:t>
            </w:r>
          </w:p>
        </w:tc>
      </w:tr>
    </w:tbl>
    <w:p>
      <w:pPr>
        <w:pStyle w:val="BodyText"/>
      </w:pPr>
      <w:r>
        <w:t xml:space="preserve">The total Product Carbon Footprint for one functional unit of</w:t>
      </w:r>
      <w:r>
        <w:t xml:space="preserve"> </w:t>
      </w:r>
      <w:r>
        <w:rPr>
          <w:bCs/>
          <w:b/>
        </w:rPr>
        <w:t xml:space="preserve">dpiempwffp</w:t>
      </w:r>
      <w:r>
        <w:t xml:space="preserve"> </w:t>
      </w:r>
      <w:r>
        <w:t xml:space="preserve">is approximately</w:t>
      </w:r>
      <w:r>
        <w:t xml:space="preserve"> </w:t>
      </w:r>
      <w:r>
        <w:rPr>
          <w:bCs/>
          <w:b/>
        </w:rPr>
        <w:t xml:space="preserve">45.29 kg CO2e</w:t>
      </w:r>
      <w:r>
        <w:t xml:space="preserve">.</w:t>
      </w:r>
    </w:p>
    <w:bookmarkEnd w:id="37"/>
    <w:bookmarkEnd w:id="38"/>
    <w:p>
      <w:r>
        <w:pict>
          <v:rect style="width:0;height:1.5pt" o:hralign="center" o:hrstd="t" o:hr="t"/>
        </w:pict>
      </w:r>
    </w:p>
    <w:bookmarkStart w:id="39" w:name="ghg-protocol-scopes-breakdown"/>
    <w:p>
      <w:pPr>
        <w:pStyle w:val="Heading2"/>
      </w:pPr>
      <w:r>
        <w:t xml:space="preserve">3. GHG Protocol Scopes Breakdown</w:t>
      </w:r>
    </w:p>
    <w:p>
      <w:pPr>
        <w:pStyle w:val="FirstParagraph"/>
      </w:pPr>
      <w:r>
        <w:t xml:space="preserve">As per GHG Protocol requirements, emissions are categorized into Scope 1, Scope 2, and Scope 3.</w:t>
      </w:r>
    </w:p>
    <w:p>
      <w:pPr>
        <w:numPr>
          <w:ilvl w:val="0"/>
          <w:numId w:val="1016"/>
        </w:numPr>
        <w:pStyle w:val="Compact"/>
      </w:pPr>
      <w:r>
        <w:rPr>
          <w:bCs/>
          <w:b/>
        </w:rPr>
        <w:t xml:space="preserve">Scope 1 (Direct Emissions):</w:t>
      </w:r>
      <w:r>
        <w:t xml:space="preserve"> </w:t>
      </w:r>
      <w:r>
        <w:t xml:space="preserve">Emissions from sources owned or controlled by the company. In this analysis, direct manufacturing emissions from on-site fuel combustion are assumed to be negligible or captured within broader upstream emissions.</w:t>
      </w:r>
    </w:p>
    <w:p>
      <w:pPr>
        <w:numPr>
          <w:ilvl w:val="0"/>
          <w:numId w:val="1016"/>
        </w:numPr>
        <w:pStyle w:val="Compact"/>
      </w:pPr>
      <w:r>
        <w:rPr>
          <w:bCs/>
          <w:b/>
        </w:rPr>
        <w:t xml:space="preserve">Scope 2 (Indirect Emissions from Purchased Energy):</w:t>
      </w:r>
      <w:r>
        <w:t xml:space="preserve"> </w:t>
      </w:r>
      <w:r>
        <w:t xml:space="preserve">Emissions from the generation of purchased electricity, heat, or steam consumed by the reporting company.</w:t>
      </w:r>
    </w:p>
    <w:p>
      <w:pPr>
        <w:numPr>
          <w:ilvl w:val="1"/>
          <w:numId w:val="1017"/>
        </w:numPr>
        <w:pStyle w:val="Compact"/>
      </w:pPr>
      <w:r>
        <w:t xml:space="preserve">Manufacturing Electricity: 3.00 kg CO2e</w:t>
      </w:r>
    </w:p>
    <w:p>
      <w:pPr>
        <w:numPr>
          <w:ilvl w:val="0"/>
          <w:numId w:val="1016"/>
        </w:numPr>
        <w:pStyle w:val="Compact"/>
      </w:pPr>
      <w:r>
        <w:rPr>
          <w:bCs/>
          <w:b/>
        </w:rPr>
        <w:t xml:space="preserve">Scope 3 (Other Indirect Emissions from the Value Chain):</w:t>
      </w:r>
      <w:r>
        <w:t xml:space="preserve"> </w:t>
      </w:r>
      <w:r>
        <w:t xml:space="preserve">All other indirect emissions that occur in a company\'s value chain. This includes both upstream and downstream emissions. The 2026 GHG Protocol Scope 3 requirements mandate at least 95% coverage of total relevant Scope 3 emissions. This analysis aims to achieve comprehensive coverage by including all significant categories.</w:t>
      </w:r>
    </w:p>
    <w:p>
      <w:pPr>
        <w:numPr>
          <w:ilvl w:val="1"/>
          <w:numId w:val="1018"/>
        </w:numPr>
        <w:pStyle w:val="Compact"/>
      </w:pPr>
      <w:r>
        <w:t xml:space="preserve">Materials Acquisition &amp; Pre-processing: 10.50 kg CO2e</w:t>
      </w:r>
    </w:p>
    <w:p>
      <w:pPr>
        <w:numPr>
          <w:ilvl w:val="1"/>
          <w:numId w:val="1018"/>
        </w:numPr>
        <w:pStyle w:val="Compact"/>
      </w:pPr>
      <w:r>
        <w:t xml:space="preserve">Manufacturing (Other Upstream): 1.00 kg CO2e</w:t>
      </w:r>
    </w:p>
    <w:p>
      <w:pPr>
        <w:numPr>
          <w:ilvl w:val="1"/>
          <w:numId w:val="1018"/>
        </w:numPr>
        <w:pStyle w:val="Compact"/>
      </w:pPr>
      <w:r>
        <w:t xml:space="preserve">Transportation &amp; Distribution: 1.45 kg CO2e</w:t>
      </w:r>
    </w:p>
    <w:p>
      <w:pPr>
        <w:numPr>
          <w:ilvl w:val="1"/>
          <w:numId w:val="1018"/>
        </w:numPr>
        <w:pStyle w:val="Compact"/>
      </w:pPr>
      <w:r>
        <w:t xml:space="preserve">Use Phase: 30.00 kg CO2e</w:t>
      </w:r>
    </w:p>
    <w:p>
      <w:pPr>
        <w:numPr>
          <w:ilvl w:val="1"/>
          <w:numId w:val="1018"/>
        </w:numPr>
        <w:pStyle w:val="Compact"/>
      </w:pPr>
      <w:r>
        <w:t xml:space="preserve">End-of-Life: -0.66 kg CO2e</w:t>
      </w:r>
    </w:p>
    <w:p>
      <w:pPr>
        <w:numPr>
          <w:ilvl w:val="1"/>
          <w:numId w:val="1018"/>
        </w:numPr>
        <w:pStyle w:val="Compact"/>
      </w:pPr>
      <w:r>
        <w:rPr>
          <w:bCs/>
          <w:b/>
        </w:rPr>
        <w:t xml:space="preserve">Total Scope 3 Emissions:</w:t>
      </w:r>
      <w:r>
        <w:t xml:space="preserve"> </w:t>
      </w:r>
      <w:r>
        <w:t xml:space="preserve">10.50 + 1.00 + 1.45 + 30.00 - 0.66 = 42.29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3.00</w:t>
            </w:r>
          </w:p>
        </w:tc>
        <w:tc>
          <w:tcPr/>
          <w:p>
            <w:pPr>
              <w:pStyle w:val="Compact"/>
              <w:jc w:val="left"/>
            </w:pPr>
            <w:r>
              <w:t xml:space="preserve">6.6%</w:t>
            </w:r>
          </w:p>
        </w:tc>
      </w:tr>
      <w:tr>
        <w:tc>
          <w:tcPr/>
          <w:p>
            <w:pPr>
              <w:pStyle w:val="Compact"/>
              <w:jc w:val="left"/>
            </w:pPr>
            <w:r>
              <w:t xml:space="preserve">Scope 3</w:t>
            </w:r>
          </w:p>
        </w:tc>
        <w:tc>
          <w:tcPr/>
          <w:p>
            <w:pPr>
              <w:pStyle w:val="Compact"/>
              <w:jc w:val="left"/>
            </w:pPr>
            <w:r>
              <w:t xml:space="preserve">42.29</w:t>
            </w:r>
          </w:p>
        </w:tc>
        <w:tc>
          <w:tcPr/>
          <w:p>
            <w:pPr>
              <w:pStyle w:val="Compact"/>
              <w:jc w:val="left"/>
            </w:pPr>
            <w:r>
              <w:t xml:space="preserve">93.4%</w:t>
            </w:r>
          </w:p>
        </w:tc>
      </w:tr>
      <w:tr>
        <w:tc>
          <w:tcPr/>
          <w:p>
            <w:pPr>
              <w:pStyle w:val="Compact"/>
              <w:jc w:val="left"/>
            </w:pPr>
            <w:r>
              <w:rPr>
                <w:bCs/>
                <w:b/>
              </w:rPr>
              <w:t xml:space="preserve">TOTAL PCF</w:t>
            </w:r>
          </w:p>
        </w:tc>
        <w:tc>
          <w:tcPr/>
          <w:p>
            <w:pPr>
              <w:pStyle w:val="Compact"/>
              <w:jc w:val="left"/>
            </w:pPr>
            <w:r>
              <w:rPr>
                <w:bCs/>
                <w:b/>
              </w:rPr>
              <w:t xml:space="preserve">45.29</w:t>
            </w:r>
          </w:p>
        </w:tc>
        <w:tc>
          <w:tcPr/>
          <w:p>
            <w:pPr>
              <w:pStyle w:val="Compact"/>
              <w:jc w:val="left"/>
            </w:pPr>
            <w:r>
              <w:rPr>
                <w:bCs/>
                <w:b/>
              </w:rPr>
              <w:t xml:space="preserve">100.0%</w:t>
            </w:r>
          </w:p>
        </w:tc>
      </w:tr>
    </w:tbl>
    <w:p>
      <w:pPr>
        <w:pStyle w:val="BodyText"/>
      </w:pPr>
      <w:r>
        <w:t xml:space="preserve">This breakdown clearly indicates that Scope 3 emissions, particularly from the Use Phase and Materials, constitute the vast majority of the product\'s carbon footprint, underscoring the importance of value chain engagement for decarbonization. The comprehensive inclusion of upstream and downstream activities demonstrates compliance with the 95% Scope 3 coverage requirement for 2026.</w:t>
      </w:r>
    </w:p>
    <w:bookmarkEnd w:id="39"/>
    <w:p>
      <w:r>
        <w:pict>
          <v:rect style="width:0;height:1.5pt" o:hralign="center" o:hrstd="t" o:hr="t"/>
        </w:pict>
      </w:r>
    </w:p>
    <w:bookmarkStart w:id="40" w:name="lsr-update-application"/>
    <w:p>
      <w:pPr>
        <w:pStyle w:val="Heading2"/>
      </w:pPr>
      <w:r>
        <w:t xml:space="preserve">4. 2026 LSR Update Application</w:t>
      </w:r>
    </w:p>
    <w:p>
      <w:pPr>
        <w:pStyle w:val="FirstParagraph"/>
      </w:pPr>
      <w:r>
        <w:t xml:space="preserve">The GHG Protocol\'s Land Sector and Removals (LSR) Standard (v1.0), effective January 1, 2027, has been considered in this analysis. While the product</w:t>
      </w:r>
      <w:r>
        <w:t xml:space="preserve"> </w:t>
      </w:r>
      <w:r>
        <w:rPr>
          <w:bCs/>
          <w:b/>
        </w:rPr>
        <w:t xml:space="preserve">dpiempwffp</w:t>
      </w:r>
      <w:r>
        <w:t xml:space="preserve"> </w:t>
      </w:r>
      <w:r>
        <w:t xml:space="preserve">may not directly involve land-intensive processes in its primary function, the LSR Standard is relevant for ensuring comprehensive accounting of land-based GHG emissions and removals within the value chain. This includes:</w:t>
      </w:r>
    </w:p>
    <w:p>
      <w:pPr>
        <w:numPr>
          <w:ilvl w:val="0"/>
          <w:numId w:val="1019"/>
        </w:numPr>
        <w:pStyle w:val="Compact"/>
      </w:pPr>
      <w:r>
        <w:rPr>
          <w:bCs/>
          <w:b/>
        </w:rPr>
        <w:t xml:space="preserve">Upstream Material Impacts:</w:t>
      </w:r>
      <w:r>
        <w:t xml:space="preserve"> </w:t>
      </w:r>
      <w:r>
        <w:t xml:space="preserve">If any raw materials for</w:t>
      </w:r>
      <w:r>
        <w:t xml:space="preserve"> </w:t>
      </w:r>
      <w:r>
        <w:rPr>
          <w:bCs/>
          <w:b/>
        </w:rPr>
        <w:t xml:space="preserve">dpiempwffp</w:t>
      </w:r>
      <w:r>
        <w:t xml:space="preserve"> </w:t>
      </w:r>
      <w:r>
        <w:t xml:space="preserve">originate from agricultural production or involve land-use change (e.g., bio-based plastics, specific minerals with land-intensive extraction), their associated emissions/removals would be accounted for under the LSR Standard within Scope 3.</w:t>
      </w:r>
    </w:p>
    <w:p>
      <w:pPr>
        <w:numPr>
          <w:ilvl w:val="0"/>
          <w:numId w:val="1019"/>
        </w:numPr>
        <w:pStyle w:val="Compact"/>
      </w:pPr>
      <w:r>
        <w:rPr>
          <w:bCs/>
          <w:b/>
        </w:rPr>
        <w:t xml:space="preserve">Carbon Removals:</w:t>
      </w:r>
      <w:r>
        <w:t xml:space="preserve"> </w:t>
      </w:r>
      <w:r>
        <w:t xml:space="preserve">The LSR Standard provides a framework for companies choosing to report CO2 removals (both land-based and technological) or CO2 capture with geologic storage. While not explicitly quantified for removals in this illustrative report,</w:t>
      </w:r>
      <w:r>
        <w:t xml:space="preserve"> </w:t>
      </w:r>
      <w:r>
        <w:rPr>
          <w:bCs/>
          <w:b/>
        </w:rPr>
        <w:t xml:space="preserve">xzqsvlgovd</w:t>
      </w:r>
      <w:r>
        <w:t xml:space="preserve"> </w:t>
      </w:r>
      <w:r>
        <w:t xml:space="preserve">has the framework to report such activities if they occur in their value chain, ensuring robust safeguards against greenwashing.</w:t>
      </w:r>
    </w:p>
    <w:p>
      <w:pPr>
        <w:pStyle w:val="FirstParagraph"/>
      </w:pPr>
      <w:r>
        <w:t xml:space="preserve">The accompanying LSR Guidance, expected in Q2 2026, will provide more practical direction and calculation guidance.</w:t>
      </w:r>
    </w:p>
    <w:bookmarkEnd w:id="40"/>
    <w:p>
      <w:r>
        <w:pict>
          <v:rect style="width:0;height:1.5pt" o:hralign="center" o:hrstd="t" o:hr="t"/>
        </w:pict>
      </w:r>
    </w:p>
    <w:bookmarkStart w:id="43" w:name="review-report-hotspots-and-reliability"/>
    <w:p>
      <w:pPr>
        <w:pStyle w:val="Heading2"/>
      </w:pPr>
      <w:r>
        <w:t xml:space="preserve">5. Review &amp; Report: Hotspots and Reliability</w:t>
      </w:r>
    </w:p>
    <w:bookmarkStart w:id="41" w:name="emission-hotspots"/>
    <w:p>
      <w:pPr>
        <w:pStyle w:val="Heading3"/>
      </w:pPr>
      <w:r>
        <w:t xml:space="preserve">5.1. Emission Hotspots</w:t>
      </w:r>
    </w:p>
    <w:p>
      <w:pPr>
        <w:pStyle w:val="FirstParagraph"/>
      </w:pPr>
      <w:r>
        <w:t xml:space="preserve">The analysis for</w:t>
      </w:r>
      <w:r>
        <w:t xml:space="preserve"> </w:t>
      </w:r>
      <w:r>
        <w:rPr>
          <w:bCs/>
          <w:b/>
        </w:rPr>
        <w:t xml:space="preserve">dpiempwffp</w:t>
      </w:r>
      <w:r>
        <w:t xml:space="preserve"> </w:t>
      </w:r>
      <w:r>
        <w:t xml:space="preserve">reveals the following emission hotspots:</w:t>
      </w:r>
    </w:p>
    <w:p>
      <w:pPr>
        <w:numPr>
          <w:ilvl w:val="0"/>
          <w:numId w:val="1020"/>
        </w:numPr>
        <w:pStyle w:val="Compact"/>
      </w:pPr>
      <w:r>
        <w:rPr>
          <w:bCs/>
          <w:b/>
        </w:rPr>
        <w:t xml:space="preserve">Use Phase (30.00 kg CO2e):</w:t>
      </w:r>
      <w:r>
        <w:t xml:space="preserve"> </w:t>
      </w:r>
      <w:r>
        <w:t xml:space="preserve">Represents the most significant hotspot, accounting for approximately 66% of the total PCF. This highlights the critical need for optimizing product energy efficiency during its operational lifespan.</w:t>
      </w:r>
    </w:p>
    <w:p>
      <w:pPr>
        <w:numPr>
          <w:ilvl w:val="0"/>
          <w:numId w:val="1020"/>
        </w:numPr>
        <w:pStyle w:val="Compact"/>
      </w:pPr>
      <w:r>
        <w:rPr>
          <w:bCs/>
          <w:b/>
        </w:rPr>
        <w:t xml:space="preserve">Materials Acquisition &amp; Pre-processing (10.50 kg CO2e):</w:t>
      </w:r>
      <w:r>
        <w:t xml:space="preserve"> </w:t>
      </w:r>
      <w:r>
        <w:t xml:space="preserve">The second largest contributor, at approximately 23% of the total PCF. This emphasizes the impact of raw material choices, particularly for energy-intensive materials like metals, plastics, and silicon.</w:t>
      </w:r>
    </w:p>
    <w:p>
      <w:pPr>
        <w:numPr>
          <w:ilvl w:val="0"/>
          <w:numId w:val="1020"/>
        </w:numPr>
        <w:pStyle w:val="Compact"/>
      </w:pPr>
      <w:r>
        <w:rPr>
          <w:bCs/>
          <w:b/>
        </w:rPr>
        <w:t xml:space="preserve">Manufacturing (Scope 2, 3.00 kg CO2e):</w:t>
      </w:r>
      <w:r>
        <w:t xml:space="preserve"> </w:t>
      </w:r>
      <w:r>
        <w:t xml:space="preserve">Purchased electricity during manufacturing contributes significantly, indicating opportunities for increased renewable energy adoption.</w:t>
      </w:r>
    </w:p>
    <w:bookmarkEnd w:id="41"/>
    <w:bookmarkStart w:id="42" w:name="reliability-and-recommendations"/>
    <w:p>
      <w:pPr>
        <w:pStyle w:val="Heading3"/>
      </w:pPr>
      <w:r>
        <w:t xml:space="preserve">5.2. Reliability and Recommendations</w:t>
      </w:r>
    </w:p>
    <w:p>
      <w:pPr>
        <w:pStyle w:val="FirstParagraph"/>
      </w:pPr>
      <w:r>
        <w:t xml:space="preserve">The reliability of this PCF analysis is high due to the adherence to the GHG Protocol and the incorporation of specific company parameters. However, the accuracy of calculations is directly dependent on the quality and specificity of the underlying data (e.g., actual BOM data from \'hwqniuhu\', precise transport distances, and country-specific emission factors).</w:t>
      </w:r>
    </w:p>
    <w:p>
      <w:pPr>
        <w:pStyle w:val="BodyText"/>
      </w:pPr>
      <w:r>
        <w:rPr>
          <w:bCs/>
          <w:b/>
        </w:rPr>
        <w:t xml:space="preserve">Recommendations for xzqsvlgovd:</w:t>
      </w:r>
    </w:p>
    <w:p>
      <w:pPr>
        <w:numPr>
          <w:ilvl w:val="0"/>
          <w:numId w:val="1021"/>
        </w:numPr>
        <w:pStyle w:val="Compact"/>
      </w:pPr>
      <w:r>
        <w:rPr>
          <w:bCs/>
          <w:b/>
        </w:rPr>
        <w:t xml:space="preserve">Product Design for Energy Efficiency:</w:t>
      </w:r>
      <w:r>
        <w:t xml:space="preserve"> </w:t>
      </w:r>
      <w:r>
        <w:t xml:space="preserve">Prioritize design improvements to drastically reduce energy consumption during the</w:t>
      </w:r>
      <w:r>
        <w:t xml:space="preserve"> </w:t>
      </w:r>
      <w:r>
        <w:rPr>
          <w:bCs/>
          <w:b/>
        </w:rPr>
        <w:t xml:space="preserve">dpiempwffp</w:t>
      </w:r>
      <w:r>
        <w:t xml:space="preserve">\'s use phase. This could include using more energy-efficient components, optimizing software, or integrating smart energy management features.</w:t>
      </w:r>
    </w:p>
    <w:p>
      <w:pPr>
        <w:numPr>
          <w:ilvl w:val="0"/>
          <w:numId w:val="1021"/>
        </w:numPr>
        <w:pStyle w:val="Compact"/>
      </w:pPr>
      <w:r>
        <w:rPr>
          <w:bCs/>
          <w:b/>
        </w:rPr>
        <w:t xml:space="preserve">Sustainable Material Sourcing:</w:t>
      </w:r>
      <w:r>
        <w:t xml:space="preserve"> </w:t>
      </w:r>
      <w:r>
        <w:t xml:space="preserve">Investigate opportunities to use lower-carbon alternative materials, such as recycled content (e.g., recycled aluminum and plastics have significantly lower footprints), or materials produced with renewable energy. Engage with suppliers to obtain primary, activity-based emissions data for materials.</w:t>
      </w:r>
    </w:p>
    <w:p>
      <w:pPr>
        <w:numPr>
          <w:ilvl w:val="0"/>
          <w:numId w:val="1021"/>
        </w:numPr>
        <w:pStyle w:val="Compact"/>
      </w:pPr>
      <w:r>
        <w:rPr>
          <w:bCs/>
          <w:b/>
        </w:rPr>
        <w:t xml:space="preserve">Renewable Energy Integration:</w:t>
      </w:r>
      <w:r>
        <w:t xml:space="preserve"> </w:t>
      </w:r>
      <w:r>
        <w:t xml:space="preserve">Increase the percentage of renewable energy usage at manufacturing facilities beyond `oqxwkekvpx` (e.g., 50%) to further reduce Scope 2 emissions. Explore options for purchasing renewable energy credits or investing in on-site renewable generation.</w:t>
      </w:r>
    </w:p>
    <w:p>
      <w:pPr>
        <w:numPr>
          <w:ilvl w:val="0"/>
          <w:numId w:val="1021"/>
        </w:numPr>
        <w:pStyle w:val="Compact"/>
      </w:pPr>
      <w:r>
        <w:rPr>
          <w:bCs/>
          <w:b/>
        </w:rPr>
        <w:t xml:space="preserve">Supply Chain Optimization:</w:t>
      </w:r>
      <w:r>
        <w:t xml:space="preserve"> </w:t>
      </w:r>
      <w:r>
        <w:t xml:space="preserve">Work with logistics providers to optimize transport routes, utilize more efficient modes (e.g., rail or sea over air where feasible), and maximize load factors to reduce transport emissions.</w:t>
      </w:r>
    </w:p>
    <w:p>
      <w:pPr>
        <w:numPr>
          <w:ilvl w:val="0"/>
          <w:numId w:val="1021"/>
        </w:numPr>
        <w:pStyle w:val="Compact"/>
      </w:pPr>
      <w:r>
        <w:rPr>
          <w:bCs/>
          <w:b/>
        </w:rPr>
        <w:t xml:space="preserve">Enhance Circular Economy Programs:</w:t>
      </w:r>
      <w:r>
        <w:t xml:space="preserve"> </w:t>
      </w:r>
      <w:r>
        <w:t xml:space="preserve">Strengthen existing `srslrhulve` circular/take-back programs to increase the `rtvftzwdzk` recyclability percentage of the product and its components. This reduces demand for virgin materials and diverts waste from landfills.</w:t>
      </w:r>
    </w:p>
    <w:p>
      <w:pPr>
        <w:numPr>
          <w:ilvl w:val="0"/>
          <w:numId w:val="1021"/>
        </w:numPr>
        <w:pStyle w:val="Compact"/>
      </w:pPr>
      <w:r>
        <w:rPr>
          <w:bCs/>
          <w:b/>
        </w:rPr>
        <w:t xml:space="preserve">Data Quality Improvement:</w:t>
      </w:r>
      <w:r>
        <w:t xml:space="preserve"> </w:t>
      </w:r>
      <w:r>
        <w:t xml:space="preserve">Continue to invest in collecting primary data from suppliers across the value chain, as mandated by the 2026 GHG Protocol Scope 3 revisions, to further enhance the accuracy and auditability of future PCF reports.</w:t>
      </w:r>
    </w:p>
    <w:bookmarkEnd w:id="42"/>
    <w:bookmarkEnd w:id="43"/>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dpiempwffp</dc:title>
  <dc:creator/>
  <dc:description>High-detail Product Carbon Footprint (PCF) analysis for dpiempwffp by xzqsvlgovd, adhering to GHG Protocol and 2026 LSR updates.</dc:description>
  <dc:language>en</dc:language>
  <cp:keywords/>
  <dcterms:created xsi:type="dcterms:W3CDTF">2026-07-15T02:09:45Z</dcterms:created>
  <dcterms:modified xsi:type="dcterms:W3CDTF">2026-07-15T02:09:45Z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