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dihklzjisz</w:t>
      </w:r>
      <w:r>
        <w:t xml:space="preserve"> </w:t>
      </w:r>
      <w:r>
        <w:t xml:space="preserve">(Smart</w:t>
      </w:r>
      <w:r>
        <w:t xml:space="preserve"> </w:t>
      </w:r>
      <w:r>
        <w:t xml:space="preserve">Home</w:t>
      </w:r>
      <w:r>
        <w:t xml:space="preserve"> </w:t>
      </w:r>
      <w:r>
        <w:t xml:space="preserve">Device)</w:t>
      </w:r>
      <w:r>
        <w:t xml:space="preserve"> </w:t>
      </w:r>
      <w:r>
        <w:t xml:space="preserve">-</w:t>
      </w:r>
      <w:r>
        <w:t xml:space="preserve"> </w:t>
      </w:r>
      <w:r>
        <w:t xml:space="preserve">InnovateTech</w:t>
      </w:r>
      <w:r>
        <w:t xml:space="preserve"> </w:t>
      </w:r>
      <w:r>
        <w:t xml:space="preserve">Solutions</w:t>
      </w:r>
    </w:p>
    <w:p>
      <w:pPr>
        <w:pStyle w:val="FirstParagraph"/>
      </w:pPr>
      <w:r>
        <w:t xml:space="preserve">carboncalcpcf.com</w:t>
      </w:r>
    </w:p>
    <w:bookmarkStart w:id="20" w:name="Xf2e6ab5be446359d80f42f50d41e46314dfe19d"/>
    <w:p>
      <w:pPr>
        <w:pStyle w:val="Heading1"/>
      </w:pPr>
      <w:r>
        <w:t xml:space="preserve">Product Carbon Footprint (PCF) Analysis Report</w:t>
      </w:r>
    </w:p>
    <w:bookmarkEnd w:id="20"/>
    <w:bookmarkStart w:id="21" w:name="dihklzjisz"/>
    <w:p>
      <w:pPr>
        <w:pStyle w:val="Heading1"/>
      </w:pPr>
      <w:r>
        <w:t xml:space="preserve">dihklzjisz</w:t>
      </w:r>
    </w:p>
    <w:p>
      <w:pPr>
        <w:pStyle w:val="FirstParagraph"/>
      </w:pPr>
      <w:r>
        <w:rPr>
          <w:bCs/>
          <w:b/>
        </w:rPr>
        <w:t xml:space="preserve">Accounting Standard:</w:t>
      </w:r>
      <w:r>
        <w:t xml:space="preserve"> </w:t>
      </w:r>
      <w:r>
        <w:t xml:space="preserve">GHG Protocol</w:t>
      </w:r>
    </w:p>
    <w:p>
      <w:pPr>
        <w:pStyle w:val="BodyText"/>
      </w:pPr>
      <w:r>
        <w:rPr>
          <w:bCs/>
          <w:b/>
        </w:rPr>
        <w:t xml:space="preserve">Name of the Company:</w:t>
      </w:r>
      <w:r>
        <w:t xml:space="preserve"> </w:t>
      </w:r>
      <w:r>
        <w:t xml:space="preserve">xpjgyhqdoh (InnovateTech Solutions)</w:t>
      </w:r>
    </w:p>
    <w:p>
      <w:pPr>
        <w:pStyle w:val="BodyText"/>
      </w:pPr>
      <w:r>
        <w:rPr>
          <w:bCs/>
          <w:b/>
        </w:rPr>
        <w:t xml:space="preserve">Senior Sustainability Consultant:</w:t>
      </w:r>
      <w:r>
        <w:t xml:space="preserve"> </w:t>
      </w:r>
      <w:r>
        <w:t xml:space="preserve">pdvyddizoe</w:t>
      </w:r>
    </w:p>
    <w:p>
      <w:pPr>
        <w:pStyle w:val="BodyText"/>
      </w:pPr>
      <w:r>
        <w:t xml:space="preserve">Disclaimer: This report is generated based on available data and industry standards. While efforts have been made to ensure accuracy, the actual carbon footprint may vary based on precise, real-time supply chain data and specific operational details not fully captured by general estimates.</w:t>
      </w:r>
    </w:p>
    <w:bookmarkEnd w:id="21"/>
    <w:bookmarkStart w:id="44" w:name="Xed60f789e71eeab9378fdb134a5ed3e1006b2bb"/>
    <w:p>
      <w:pPr>
        <w:pStyle w:val="Heading1"/>
      </w:pPr>
      <w:r>
        <w:t xml:space="preserve">Product Carbon Footprint (PCF) Analysis Report for dihklzjisz</w:t>
      </w:r>
    </w:p>
    <w:p>
      <w:pPr>
        <w:pStyle w:val="FirstParagraph"/>
      </w:pPr>
      <w:r>
        <w:t xml:space="preserve">Generated Date: June 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dihklzjisz, a smart home device manufactured by xpjgyhqdoh (InnovateTech Solutions). Conducted by pdvyddizoe, Senior Sustainability Consultant, this analysis adheres strictly to the GHG Protocol standards, including the 2026 Land Sector and Removals (LSR) update and ensuring at least 95% Scope 3 coverage. The functional unit is defined as 1.0 unit of dihklzjisz, with a system boundary set at \'factory_gate\' for the final production and a focus on the European supply chain for downstream activities. The total estimated cradle-to-grave carbon footprint for one unit of dihklzjisz is calculated to be</w:t>
      </w:r>
      <w:r>
        <w:t xml:space="preserve"> </w:t>
      </w:r>
      <w:r>
        <w:rPr>
          <w:bCs/>
          <w:b/>
        </w:rPr>
        <w:t xml:space="preserve">6.22 kg CO2e</w:t>
      </w:r>
      <w:r>
        <w:t xml:space="preserve">. The analysis identifies key hotspots across the product\'s lifecycle, with significant contributions from material acquisition and the product’s use phase.</w:t>
      </w:r>
    </w:p>
    <w:p>
      <w:r>
        <w:pict>
          <v:rect style="width:0;height:1.5pt" o:hralign="center" o:hrstd="t" o:hr="t"/>
        </w:pict>
      </w:r>
    </w:p>
    <w:bookmarkEnd w:id="22"/>
    <w:bookmarkStart w:id="23" w:name="introduction-and-methodology"/>
    <w:p>
      <w:pPr>
        <w:pStyle w:val="Heading2"/>
      </w:pPr>
      <w:r>
        <w:t xml:space="preserve">Introduction and Methodology</w:t>
      </w:r>
    </w:p>
    <w:p>
      <w:pPr>
        <w:pStyle w:val="FirstParagraph"/>
      </w:pPr>
      <w:r>
        <w:t xml:space="preserve">This Product Carbon Footprint (PCF) analysis for dihklzjisz, a product of xpjgyhqdoh (InnovateTech Solutions), has been prepared by Senior Sustainability Consultant pdvyddizoe. The assessment follows the comprehensive framework of the</w:t>
      </w:r>
      <w:r>
        <w:t xml:space="preserve"> </w:t>
      </w:r>
      <w:r>
        <w:rPr>
          <w:bCs/>
          <w:b/>
        </w:rPr>
        <w:t xml:space="preserve">GHG Protocol</w:t>
      </w:r>
      <w:r>
        <w:t xml:space="preserve">, categorizing emissions into Scope 1 (direct), Scope 2 (purchased energy), and Scope 3 (value chain) to ensure a holistic understanding of environmental impact. Special attention has been given to the 2026 Land Sector and Removals (LSR) Standard for land use and carbon removals, and rigorous measures have been taken to achieve at least 95% coverage for Scope 3 reporting, in line with the latest requirements.</w:t>
      </w:r>
    </w:p>
    <w:p>
      <w:pPr>
        <w:pStyle w:val="BodyText"/>
      </w:pPr>
      <w:r>
        <w:t xml:space="preserve">The methodology employed for this PCF analysis follows a five-step approach:</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data points for all identified stages.</w:t>
      </w:r>
    </w:p>
    <w:p>
      <w:pPr>
        <w:numPr>
          <w:ilvl w:val="0"/>
          <w:numId w:val="1001"/>
        </w:numPr>
        <w:pStyle w:val="Compact"/>
      </w:pPr>
      <w:r>
        <w:rPr>
          <w:bCs/>
          <w:b/>
        </w:rPr>
        <w:t xml:space="preserve">Calculate Emissions:</w:t>
      </w:r>
      <w:r>
        <w:t xml:space="preserve"> </w:t>
      </w:r>
      <w:r>
        <w:t xml:space="preserve">Quantification of greenhouse gas emissions (CO2e) using activity data multiplied by appropriate emission factors.</w:t>
      </w:r>
    </w:p>
    <w:p>
      <w:pPr>
        <w:numPr>
          <w:ilvl w:val="0"/>
          <w:numId w:val="1001"/>
        </w:numPr>
        <w:pStyle w:val="Compact"/>
      </w:pPr>
      <w:r>
        <w:rPr>
          <w:bCs/>
          <w:b/>
        </w:rPr>
        <w:t xml:space="preserve">Review &amp; Report:</w:t>
      </w:r>
      <w:r>
        <w:t xml:space="preserve"> </w:t>
      </w:r>
      <w:r>
        <w:t xml:space="preserve">Analysis of results to identify hotspots and assess data reliability, followed by comprehensive reporting.</w:t>
      </w:r>
    </w:p>
    <w:p>
      <w:r>
        <w:pict>
          <v:rect style="width:0;height:1.5pt" o:hralign="center" o:hrstd="t" o:hr="t"/>
        </w:pict>
      </w:r>
    </w:p>
    <w:bookmarkEnd w:id="23"/>
    <w:bookmarkStart w:id="24"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dihklzjisz (Smart Home Device).</w:t>
      </w:r>
    </w:p>
    <w:p>
      <w:pPr>
        <w:numPr>
          <w:ilvl w:val="0"/>
          <w:numId w:val="1002"/>
        </w:numPr>
        <w:pStyle w:val="Compact"/>
      </w:pPr>
      <w:r>
        <w:rPr>
          <w:bCs/>
          <w:b/>
        </w:rPr>
        <w:t xml:space="preserve">System Boundary:</w:t>
      </w:r>
      <w:r>
        <w:t xml:space="preserve"> </w:t>
      </w:r>
      <w:r>
        <w:t xml:space="preserve">Cradle-to-grave, with a primary focus on \'factory_gate\' for production emissions, extending to include raw material extraction, transport, use phase, and end-of-life.</w:t>
      </w:r>
    </w:p>
    <w:p>
      <w:pPr>
        <w:numPr>
          <w:ilvl w:val="0"/>
          <w:numId w:val="1002"/>
        </w:numPr>
        <w:pStyle w:val="Compact"/>
      </w:pPr>
      <w:r>
        <w:rPr>
          <w:bCs/>
          <w:b/>
        </w:rPr>
        <w:t xml:space="preserve">Geographic Scope:</w:t>
      </w:r>
      <w:r>
        <w:t xml:space="preserve"> </w:t>
      </w:r>
      <w:r>
        <w:t xml:space="preserve">Final production country is China, with a supply chain focus predominantly on Europe for distribution and use.</w:t>
      </w:r>
    </w:p>
    <w:p>
      <w:pPr>
        <w:numPr>
          <w:ilvl w:val="0"/>
          <w:numId w:val="1002"/>
        </w:numPr>
        <w:pStyle w:val="Compact"/>
      </w:pPr>
      <w:r>
        <w:rPr>
          <w:bCs/>
          <w:b/>
        </w:rPr>
        <w:t xml:space="preserve">Allocation:</w:t>
      </w:r>
      <w:r>
        <w:t xml:space="preserve"> </w:t>
      </w:r>
      <w:r>
        <w:t xml:space="preserve">Emissions are allocated directly to the functional unit. Co-product allocation is not applicable for this single-product analysis. For end-of-life, the polluter pays principle is applied for disposal emissions, while benefits from recycling are noted qualitatively.</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The lifecycle of dihklzjisz encompasses material acquisition, manufacturing, distribution, use, and end-of-life phases. Data collection involved synthesizing specific product parameters with industry-standard emission factors.</w:t>
      </w:r>
    </w:p>
    <w:bookmarkStart w:id="25" w:name="X1055d25dad74d4cfe183b908ce07fa829eeaba4"/>
    <w:p>
      <w:pPr>
        <w:pStyle w:val="Heading3"/>
      </w:pPr>
      <w:r>
        <w:t xml:space="preserve">Detailed Bill of Materials (BOM) - xoxehliw</w:t>
      </w:r>
    </w:p>
    <w:p>
      <w:pPr>
        <w:pStyle w:val="FirstParagraph"/>
      </w:pPr>
      <w:r>
        <w:t xml:space="preserve">The material impact calculation utilizes the provided Detailed Bill of Materials (BOM) data, offering high accuracy for upstream emissions. Emission factors are derived from industry standards (e.g., Ecoinvent/DEFRA equivalents) to calculate the total carbon footprint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2</w:t>
            </w:r>
          </w:p>
        </w:tc>
        <w:tc>
          <w:tcPr/>
          <w:p>
            <w:pPr>
              <w:pStyle w:val="Compact"/>
              <w:jc w:val="left"/>
            </w:pPr>
            <w:r>
              <w:t xml:space="preserve">Printed Circuit Board (populated)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0.600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0.030</w:t>
            </w:r>
          </w:p>
        </w:tc>
      </w:tr>
      <w:tr>
        <w:tc>
          <w:tcPr/>
          <w:p>
            <w:pPr>
              <w:pStyle w:val="Compact"/>
              <w:jc w:val="left"/>
            </w:pPr>
            <w:r>
              <w:t xml:space="preserve">5</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40.00</w:t>
            </w:r>
          </w:p>
        </w:tc>
        <w:tc>
          <w:tcPr/>
          <w:p>
            <w:pPr>
              <w:pStyle w:val="Compact"/>
              <w:jc w:val="left"/>
            </w:pPr>
            <w:r>
              <w:t xml:space="preserve">0.800</w:t>
            </w:r>
          </w:p>
        </w:tc>
      </w:tr>
      <w:tr>
        <w:tc>
          <w:tcPr/>
          <w:p>
            <w:pPr>
              <w:pStyle w:val="Compact"/>
              <w:jc w:val="left"/>
            </w:pPr>
            <w:r>
              <w:t xml:space="preserve">6</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0.120</w:t>
            </w:r>
          </w:p>
        </w:tc>
      </w:tr>
      <w:tr>
        <w:tc>
          <w:tcPr/>
          <w:p>
            <w:pPr>
              <w:pStyle w:val="Compact"/>
              <w:jc w:val="left"/>
            </w:pPr>
            <w:r>
              <w:t xml:space="preserve">7</w:t>
            </w:r>
          </w:p>
        </w:tc>
        <w:tc>
          <w:tcPr/>
          <w:p>
            <w:pPr>
              <w:pStyle w:val="Compact"/>
              <w:jc w:val="left"/>
            </w:pPr>
            <w:r>
              <w:t xml:space="preserve">User Manual (Recycled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0.012</w:t>
            </w:r>
          </w:p>
        </w:tc>
      </w:tr>
      <w:tr>
        <w:tc>
          <w:tcPr>
            <w:gridSpan w:val="7"/>
          </w:tcPr>
          <w:p>
            <w:pPr>
              <w:pStyle w:val="Compact"/>
              <w:jc w:val="right"/>
            </w:pPr>
            <w:r>
              <w:rPr>
                <w:bCs/>
                <w:b/>
              </w:rPr>
              <w:t xml:space="preserve">Total Material Carbon (Upstream Scope 3)</w:t>
            </w:r>
          </w:p>
        </w:tc>
        <w:tc>
          <w:tcPr/>
          <w:p>
            <w:pPr>
              <w:pStyle w:val="Compact"/>
              <w:jc w:val="left"/>
            </w:pPr>
            <w:r>
              <w:rPr>
                <w:bCs/>
                <w:b/>
              </w:rPr>
              <w:t xml:space="preserve">2.687 kg CO2e</w:t>
            </w:r>
          </w:p>
        </w:tc>
      </w:tr>
    </w:tbl>
    <w:bookmarkEnd w:id="25"/>
    <w:bookmarkStart w:id="26" w:name="energy-inputs-for-production"/>
    <w:p>
      <w:pPr>
        <w:pStyle w:val="Heading3"/>
      </w:pPr>
      <w:r>
        <w:t xml:space="preserve">Energy Inputs for Production</w:t>
      </w:r>
    </w:p>
    <w:p>
      <w:pPr>
        <w:numPr>
          <w:ilvl w:val="0"/>
          <w:numId w:val="1003"/>
        </w:numPr>
        <w:pStyle w:val="Compact"/>
      </w:pPr>
      <w:r>
        <w:rPr>
          <w:bCs/>
          <w:b/>
        </w:rPr>
        <w:t xml:space="preserve">Renewable Energy Usage (ipwtgkxexw):</w:t>
      </w:r>
      <w:r>
        <w:t xml:space="preserve"> </w:t>
      </w:r>
      <w:r>
        <w:t xml:space="preserve">xpjgyhqdoh utilizes 75% renewable electricity for manufacturing operations at the final production plant in China.</w:t>
      </w:r>
    </w:p>
    <w:p>
      <w:pPr>
        <w:numPr>
          <w:ilvl w:val="0"/>
          <w:numId w:val="1003"/>
        </w:numPr>
        <w:pStyle w:val="Compact"/>
      </w:pPr>
      <w:r>
        <w:rPr>
          <w:bCs/>
          <w:b/>
        </w:rPr>
        <w:t xml:space="preserve">Energy Intensity (kWh/unit) (oqskvvuvps):</w:t>
      </w:r>
      <w:r>
        <w:t xml:space="preserve"> </w:t>
      </w:r>
      <w:r>
        <w:t xml:space="preserve">The production process consumes 5.5 kWh per unit of dihklzjisz.</w:t>
      </w:r>
    </w:p>
    <w:p>
      <w:pPr>
        <w:numPr>
          <w:ilvl w:val="0"/>
          <w:numId w:val="1003"/>
        </w:numPr>
        <w:pStyle w:val="Compact"/>
      </w:pPr>
      <w:r>
        <w:rPr>
          <w:bCs/>
          <w:b/>
        </w:rPr>
        <w:t xml:space="preserve">Grid Electricity Emission Factor (China average):</w:t>
      </w:r>
      <w:r>
        <w:t xml:space="preserve"> </w:t>
      </w:r>
      <w:r>
        <w:t xml:space="preserve">0.6 kg CO2e/kWh.</w:t>
      </w:r>
    </w:p>
    <w:p>
      <w:pPr>
        <w:numPr>
          <w:ilvl w:val="0"/>
          <w:numId w:val="1003"/>
        </w:numPr>
        <w:pStyle w:val="Compact"/>
      </w:pPr>
      <w:r>
        <w:rPr>
          <w:bCs/>
          <w:b/>
        </w:rPr>
        <w:t xml:space="preserve">Residual Renewable Electricity Emission Factor:</w:t>
      </w:r>
      <w:r>
        <w:t xml:space="preserve"> </w:t>
      </w:r>
      <w:r>
        <w:t xml:space="preserve">0.02 kg CO2e/kWh (accounting for embodied emissions in infrastructure or non-certified components).</w:t>
      </w:r>
    </w:p>
    <w:bookmarkEnd w:id="26"/>
    <w:bookmarkStart w:id="27" w:name="logistics-data-for-supply-chain"/>
    <w:p>
      <w:pPr>
        <w:pStyle w:val="Heading3"/>
      </w:pPr>
      <w:r>
        <w:t xml:space="preserve">Logistics Data for Supply Chain</w:t>
      </w:r>
    </w:p>
    <w:p>
      <w:pPr>
        <w:numPr>
          <w:ilvl w:val="0"/>
          <w:numId w:val="1004"/>
        </w:numPr>
        <w:pStyle w:val="Compact"/>
      </w:pPr>
      <w:r>
        <w:rPr>
          <w:bCs/>
          <w:b/>
        </w:rPr>
        <w:t xml:space="preserve">Product Weight:</w:t>
      </w:r>
      <w:r>
        <w:t xml:space="preserve"> </w:t>
      </w:r>
      <w:r>
        <w:t xml:space="preserve">Approximately 0.5 kg (estimated finished product weight for transport calculations).</w:t>
      </w:r>
    </w:p>
    <w:p>
      <w:pPr>
        <w:numPr>
          <w:ilvl w:val="0"/>
          <w:numId w:val="1004"/>
        </w:numPr>
        <w:pStyle w:val="Compact"/>
      </w:pPr>
      <w:r>
        <w:rPr>
          <w:bCs/>
          <w:b/>
        </w:rPr>
        <w:t xml:space="preserve">Transport Mode (Select Mode):</w:t>
      </w:r>
      <w:r>
        <w:t xml:space="preserve"> </w:t>
      </w:r>
      <w:r>
        <w:t xml:space="preserve">Ocean Freight (Container Ship) for intercontinental transport, followed by Road Freight (Heavy Goods Vehicle - HGV) for European distribution.</w:t>
      </w:r>
    </w:p>
    <w:p>
      <w:pPr>
        <w:numPr>
          <w:ilvl w:val="0"/>
          <w:numId w:val="1004"/>
        </w:numPr>
        <w:pStyle w:val="Compact"/>
      </w:pPr>
      <w:r>
        <w:rPr>
          <w:bCs/>
          <w:b/>
        </w:rPr>
        <w:t xml:space="preserve">Transport Distance (sejfyvfulq):</w:t>
      </w:r>
      <w:r>
        <w:t xml:space="preserve"> </w:t>
      </w:r>
      <w:r>
        <w:t xml:space="preserve">15,000 km for ocean freight, and 1,000 km for road freight within Europe.</w:t>
      </w:r>
    </w:p>
    <w:p>
      <w:pPr>
        <w:numPr>
          <w:ilvl w:val="0"/>
          <w:numId w:val="1004"/>
        </w:numPr>
        <w:pStyle w:val="Compact"/>
      </w:pPr>
      <w:r>
        <w:rPr>
          <w:bCs/>
          <w:b/>
        </w:rPr>
        <w:t xml:space="preserve">Last-Mile Delivery Channel (Delivery Type):</w:t>
      </w:r>
      <w:r>
        <w:t xml:space="preserve"> </w:t>
      </w:r>
      <w:r>
        <w:t xml:space="preserve">Standard Parcel Delivery (Van) for final distribution to consumers. Estimated average last-mile distance: 50 km per unit.</w:t>
      </w:r>
    </w:p>
    <w:p>
      <w:pPr>
        <w:numPr>
          <w:ilvl w:val="0"/>
          <w:numId w:val="1004"/>
        </w:numPr>
        <w:pStyle w:val="Compact"/>
      </w:pPr>
      <w:r>
        <w:rPr>
          <w:bCs/>
          <w:b/>
        </w:rPr>
        <w:t xml:space="preserve">Emission Factors:</w:t>
      </w:r>
      <w:r>
        <w:t xml:space="preserve"> </w:t>
      </w:r>
      <w:r>
        <w:t xml:space="preserve">Ocean Freight: 0.005 kg CO2e/tkm; Road Freight (HGV): 0.09 kg CO2e/tkm; Last-Mile Delivery (Parcel Van): 0.15 kg CO2e/package (estimated average per unit).</w:t>
      </w:r>
    </w:p>
    <w:bookmarkEnd w:id="27"/>
    <w:bookmarkStart w:id="28" w:name="use-phase-data"/>
    <w:p>
      <w:pPr>
        <w:pStyle w:val="Heading3"/>
      </w:pPr>
      <w:r>
        <w:t xml:space="preserve">Use Phase Data</w:t>
      </w:r>
    </w:p>
    <w:p>
      <w:pPr>
        <w:numPr>
          <w:ilvl w:val="0"/>
          <w:numId w:val="1005"/>
        </w:numPr>
        <w:pStyle w:val="Compact"/>
      </w:pPr>
      <w:r>
        <w:rPr>
          <w:bCs/>
          <w:b/>
        </w:rPr>
        <w:t xml:space="preserve">Product Lifespan (oozwsfjylf):</w:t>
      </w:r>
      <w:r>
        <w:t xml:space="preserve"> </w:t>
      </w:r>
      <w:r>
        <w:t xml:space="preserve">The estimated functional lifespan of dihklzjisz is 5 years.</w:t>
      </w:r>
    </w:p>
    <w:p>
      <w:pPr>
        <w:numPr>
          <w:ilvl w:val="0"/>
          <w:numId w:val="1005"/>
        </w:numPr>
        <w:pStyle w:val="Compact"/>
      </w:pPr>
      <w:r>
        <w:rPr>
          <w:bCs/>
          <w:b/>
        </w:rPr>
        <w:t xml:space="preserve">Energy Consumption in Use (okhnzzuqtt):</w:t>
      </w:r>
      <w:r>
        <w:t xml:space="preserve"> </w:t>
      </w:r>
      <w:r>
        <w:t xml:space="preserve">The device consumes an average of 0.005 kWh/day during its operational lifetime.</w:t>
      </w:r>
    </w:p>
    <w:p>
      <w:pPr>
        <w:numPr>
          <w:ilvl w:val="0"/>
          <w:numId w:val="1005"/>
        </w:numPr>
        <w:pStyle w:val="Compact"/>
      </w:pPr>
      <w:r>
        <w:rPr>
          <w:bCs/>
          <w:b/>
        </w:rPr>
        <w:t xml:space="preserve">Use Phase Grid Electricity Emission Factor (Europe average):</w:t>
      </w:r>
      <w:r>
        <w:t xml:space="preserve"> </w:t>
      </w:r>
      <w:r>
        <w:t xml:space="preserve">0.25 kg CO2e/kWh.</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 (xogsrlfnvk):</w:t>
      </w:r>
      <w:r>
        <w:t xml:space="preserve"> </w:t>
      </w:r>
      <w:r>
        <w:t xml:space="preserve">60% of the product\'s mass is considered recyclable.</w:t>
      </w:r>
    </w:p>
    <w:p>
      <w:pPr>
        <w:numPr>
          <w:ilvl w:val="0"/>
          <w:numId w:val="1006"/>
        </w:numPr>
        <w:pStyle w:val="Compact"/>
      </w:pPr>
      <w:r>
        <w:rPr>
          <w:bCs/>
          <w:b/>
        </w:rPr>
        <w:t xml:space="preserve">Circular/Take-back Programs (otuxrjowej):</w:t>
      </w:r>
      <w:r>
        <w:t xml:space="preserve"> </w:t>
      </w:r>
      <w:r>
        <w:t xml:space="preserve">xpjgyhqdoh operates a product refurbishment and recycling program for dihklzjisz in key European markets, aiming to recover 70% of end-of-life products. This program helps mitigate disposal impacts and promotes material circularity.</w:t>
      </w:r>
    </w:p>
    <w:p>
      <w:pPr>
        <w:numPr>
          <w:ilvl w:val="0"/>
          <w:numId w:val="1006"/>
        </w:numPr>
        <w:pStyle w:val="Compact"/>
      </w:pPr>
      <w:r>
        <w:rPr>
          <w:bCs/>
          <w:b/>
        </w:rPr>
        <w:t xml:space="preserve">Disposal Emission Factor (Landfill/Incineration):</w:t>
      </w:r>
      <w:r>
        <w:t xml:space="preserve"> </w:t>
      </w:r>
      <w:r>
        <w:t xml:space="preserve">0.5 kg CO2e/kg (for non-recycled waste).</w:t>
      </w:r>
    </w:p>
    <w:p>
      <w:r>
        <w:pict>
          <v:rect style="width:0;height:1.5pt" o:hralign="center" o:hrstd="t" o:hr="t"/>
        </w:pict>
      </w:r>
    </w:p>
    <w:bookmarkEnd w:id="29"/>
    <w:bookmarkEnd w:id="30"/>
    <w:bookmarkStart w:id="38" w:name="calculate-emissions"/>
    <w:p>
      <w:pPr>
        <w:pStyle w:val="Heading2"/>
      </w:pPr>
      <w:r>
        <w:t xml:space="preserve">4. Calculate Emissions</w:t>
      </w:r>
    </w:p>
    <w:p>
      <w:pPr>
        <w:pStyle w:val="FirstParagraph"/>
      </w:pPr>
      <w:r>
        <w:t xml:space="preserve">Emissions are calculated by multiplying activity data by relevant industry-standard emission factors (e.g., from Ecoinvent/DEFRA). The results are categorized according to the GHG Protocol.</w:t>
      </w:r>
    </w:p>
    <w:bookmarkStart w:id="31" w:name="Xc6feafaf58f68b7abf486ae27d51cd7839e1355"/>
    <w:p>
      <w:pPr>
        <w:pStyle w:val="Heading3"/>
      </w:pPr>
      <w:r>
        <w:t xml:space="preserve">Total PCF for dihklzjisz: 6.22 kg CO2e per unit</w:t>
      </w:r>
    </w:p>
    <w:bookmarkEnd w:id="31"/>
    <w:bookmarkStart w:id="35" w:name="Xeee5424d55c6fc9f0a84b25618448d24a9dc1f3"/>
    <w:p>
      <w:pPr>
        <w:pStyle w:val="Heading3"/>
      </w:pPr>
      <w:r>
        <w:t xml:space="preserve">Emission Breakdown by GHG Protocol Scope and Lifecycle Stage:</w:t>
      </w:r>
    </w:p>
    <w:bookmarkStart w:id="32" w:name="scope-1-direct-emissions"/>
    <w:p>
      <w:pPr>
        <w:pStyle w:val="Heading4"/>
      </w:pPr>
      <w:r>
        <w:t xml:space="preserve">Scope 1: Direct Emissions</w:t>
      </w:r>
    </w:p>
    <w:p>
      <w:pPr>
        <w:pStyle w:val="FirstParagraph"/>
      </w:pPr>
      <w:r>
        <w:t xml:space="preserve">For a \'factory_gate\' system boundary focused on product PCF, direct Scope 1 emissions from the final production facility (e.g., fuel combustion, fugitive emissions) are typically either embedded within the emission factors of materials/energy or considered negligible at the product level if operational site emissions are managed separately. For dihklzjisz, direct process emissions from the final assembly are considered negligible or captured within the energy intensity and material emission factors, aligning with the "factory_gate" boundary focus. Therefore, Scope 1 direct emissions attributed solely to the functional unit are considered</w:t>
      </w:r>
      <w:r>
        <w:t xml:space="preserve"> </w:t>
      </w:r>
      <w:r>
        <w:rPr>
          <w:bCs/>
          <w:b/>
        </w:rPr>
        <w:t xml:space="preserve">0.00 kg CO2e</w:t>
      </w:r>
      <w:r>
        <w:t xml:space="preserve"> </w:t>
      </w:r>
      <w:r>
        <w:t xml:space="preserve">for this analysis.</w:t>
      </w:r>
    </w:p>
    <w:bookmarkEnd w:id="32"/>
    <w:bookmarkStart w:id="33" w:name="X158095f9350ac49aa5904e2590d8a9baedd908f"/>
    <w:p>
      <w:pPr>
        <w:pStyle w:val="Heading4"/>
      </w:pPr>
      <w:r>
        <w:t xml:space="preserve">Scope 2: Purchased Energy Emissions (Production Phase)</w:t>
      </w:r>
    </w:p>
    <w:p>
      <w:pPr>
        <w:numPr>
          <w:ilvl w:val="0"/>
          <w:numId w:val="1007"/>
        </w:numPr>
        <w:pStyle w:val="Compact"/>
      </w:pPr>
      <w:r>
        <w:t xml:space="preserve">Total Energy Intensity: 5.5 kWh/unit</w:t>
      </w:r>
    </w:p>
    <w:p>
      <w:pPr>
        <w:numPr>
          <w:ilvl w:val="0"/>
          <w:numId w:val="1007"/>
        </w:numPr>
        <w:pStyle w:val="Compact"/>
      </w:pPr>
      <w:r>
        <w:t xml:space="preserve">Non-renewable electricity: 5.5 kWh/unit * (1 - 0.75) = 1.375 kWh/unit</w:t>
      </w:r>
    </w:p>
    <w:p>
      <w:pPr>
        <w:numPr>
          <w:ilvl w:val="0"/>
          <w:numId w:val="1007"/>
        </w:numPr>
        <w:pStyle w:val="Compact"/>
      </w:pPr>
      <w:r>
        <w:t xml:space="preserve">Renewable electricity: 5.5 kWh/unit * 0.75 = 4.125 kWh/unit</w:t>
      </w:r>
    </w:p>
    <w:p>
      <w:pPr>
        <w:numPr>
          <w:ilvl w:val="0"/>
          <w:numId w:val="1007"/>
        </w:numPr>
        <w:pStyle w:val="Compact"/>
      </w:pPr>
      <w:r>
        <w:t xml:space="preserve">Emissions from non-renewable electricity: 1.375 kWh/unit * 0.6 kg CO2e/kWh (China grid mix) = 0.825 kg CO2e</w:t>
      </w:r>
    </w:p>
    <w:p>
      <w:pPr>
        <w:numPr>
          <w:ilvl w:val="0"/>
          <w:numId w:val="1007"/>
        </w:numPr>
        <w:pStyle w:val="Compact"/>
      </w:pPr>
      <w:r>
        <w:t xml:space="preserve">Emissions from renewable electricity (residual): 4.125 kWh/unit * 0.02 kg CO2e/kWh = 0.0825 kg CO2e</w:t>
      </w:r>
    </w:p>
    <w:p>
      <w:pPr>
        <w:numPr>
          <w:ilvl w:val="0"/>
          <w:numId w:val="1007"/>
        </w:numPr>
        <w:pStyle w:val="Compact"/>
      </w:pPr>
      <w:r>
        <w:rPr>
          <w:bCs/>
          <w:b/>
        </w:rPr>
        <w:t xml:space="preserve">Total Scope 2 Emissions: 0.9075 kg CO2e</w:t>
      </w:r>
    </w:p>
    <w:bookmarkEnd w:id="33"/>
    <w:bookmarkStart w:id="34" w:name="Xa209794039f2cb3978e83e99b30a51a9ba77296"/>
    <w:p>
      <w:pPr>
        <w:pStyle w:val="Heading4"/>
      </w:pPr>
      <w:r>
        <w:t xml:space="preserve">Scope 3: Value Chain Emissions (at least 95% coverage)</w:t>
      </w:r>
    </w:p>
    <w:p>
      <w:pPr>
        <w:pStyle w:val="FirstParagraph"/>
      </w:pPr>
      <w:r>
        <w:t xml:space="preserve">This category encompasses the majority of the product\'s footprint, covering upstream and downstream activities.</w:t>
      </w:r>
    </w:p>
    <w:p>
      <w:pPr>
        <w:numPr>
          <w:ilvl w:val="0"/>
          <w:numId w:val="1008"/>
        </w:numPr>
        <w:pStyle w:val="Compact"/>
      </w:pPr>
      <w:r>
        <w:rPr>
          <w:bCs/>
          <w:b/>
        </w:rPr>
        <w:t xml:space="preserve">Category 1: Purchased Goods and Services (Materials Acquisition &amp; Production)</w:t>
      </w:r>
    </w:p>
    <w:p>
      <w:pPr>
        <w:numPr>
          <w:ilvl w:val="1"/>
          <w:numId w:val="1009"/>
        </w:numPr>
        <w:pStyle w:val="Compact"/>
      </w:pPr>
      <w:r>
        <w:t xml:space="preserve">Total Carbon from Detailed BOM:</w:t>
      </w:r>
      <w:r>
        <w:t xml:space="preserve"> </w:t>
      </w:r>
      <w:r>
        <w:rPr>
          <w:bCs/>
          <w:b/>
        </w:rPr>
        <w:t xml:space="preserve">2.687 kg CO2e</w:t>
      </w:r>
    </w:p>
    <w:p>
      <w:pPr>
        <w:numPr>
          <w:ilvl w:val="0"/>
          <w:numId w:val="1008"/>
        </w:numPr>
        <w:pStyle w:val="Compact"/>
      </w:pPr>
      <w:r>
        <w:rPr>
          <w:bCs/>
          <w:b/>
        </w:rPr>
        <w:t xml:space="preserve">Category 4: Transportation and Distribution (Upstream - Raw Materials)</w:t>
      </w:r>
    </w:p>
    <w:p>
      <w:pPr>
        <w:numPr>
          <w:ilvl w:val="1"/>
          <w:numId w:val="1010"/>
        </w:numPr>
        <w:pStyle w:val="Compact"/>
      </w:pPr>
      <w:r>
        <w:t xml:space="preserve">Estimated average material transport (e.g., 0.35 kg over 500 km road freight): 0.35 kg * 500 km = 175 kg-km = 0.175 tkm</w:t>
      </w:r>
    </w:p>
    <w:p>
      <w:pPr>
        <w:numPr>
          <w:ilvl w:val="1"/>
          <w:numId w:val="1010"/>
        </w:numPr>
        <w:pStyle w:val="Compact"/>
      </w:pPr>
      <w:r>
        <w:t xml:space="preserve">Emissions: 0.175 tkm * 0.09 kg CO2e/tkm (Road Freight EF) =</w:t>
      </w:r>
      <w:r>
        <w:t xml:space="preserve"> </w:t>
      </w:r>
      <w:r>
        <w:rPr>
          <w:bCs/>
          <w:b/>
        </w:rPr>
        <w:t xml:space="preserve">0.01575 kg CO2e</w:t>
      </w:r>
    </w:p>
    <w:p>
      <w:pPr>
        <w:numPr>
          <w:ilvl w:val="0"/>
          <w:numId w:val="1008"/>
        </w:numPr>
        <w:pStyle w:val="Compact"/>
      </w:pPr>
      <w:r>
        <w:rPr>
          <w:bCs/>
          <w:b/>
        </w:rPr>
        <w:t xml:space="preserve">Category 4: Transportation and Distribution (Downstream - Finished Product)</w:t>
      </w:r>
    </w:p>
    <w:p>
      <w:pPr>
        <w:numPr>
          <w:ilvl w:val="1"/>
          <w:numId w:val="1011"/>
        </w:numPr>
        <w:pStyle w:val="Compact"/>
      </w:pPr>
      <w:r>
        <w:t xml:space="preserve">Ocean Freight (15,000 km for 0.5 kg product): 0.5 kg * 15,000 km = 7,500 kg-km = 7.5 tkm</w:t>
      </w:r>
    </w:p>
    <w:p>
      <w:pPr>
        <w:numPr>
          <w:ilvl w:val="1"/>
          <w:numId w:val="1011"/>
        </w:numPr>
        <w:pStyle w:val="Compact"/>
      </w:pPr>
      <w:r>
        <w:t xml:space="preserve">Emissions: 7.5 tkm * 0.005 kg CO2e/tkm (Ocean Freight EF) = 0.0375 kg CO2e</w:t>
      </w:r>
    </w:p>
    <w:p>
      <w:pPr>
        <w:numPr>
          <w:ilvl w:val="1"/>
          <w:numId w:val="1011"/>
        </w:numPr>
        <w:pStyle w:val="Compact"/>
      </w:pPr>
      <w:r>
        <w:t xml:space="preserve">Road Freight (1,000 km for 0.5 kg product): 0.5 kg * 1,000 km = 500 kg-km = 0.5 tkm</w:t>
      </w:r>
    </w:p>
    <w:p>
      <w:pPr>
        <w:numPr>
          <w:ilvl w:val="1"/>
          <w:numId w:val="1011"/>
        </w:numPr>
        <w:pStyle w:val="Compact"/>
      </w:pPr>
      <w:r>
        <w:t xml:space="preserve">Emissions: 0.5 tkm * 0.09 kg CO2e/tkm (Road Freight EF) = 0.045 kg CO2e</w:t>
      </w:r>
    </w:p>
    <w:p>
      <w:pPr>
        <w:numPr>
          <w:ilvl w:val="1"/>
          <w:numId w:val="1011"/>
        </w:numPr>
        <w:pStyle w:val="Compact"/>
      </w:pPr>
      <w:r>
        <w:t xml:space="preserve">Last-Mile Delivery (50 km by parcel van): Assumed 0.15 kg CO2e per package for average last-mile journey = 0.15 kg CO2e</w:t>
      </w:r>
    </w:p>
    <w:p>
      <w:pPr>
        <w:numPr>
          <w:ilvl w:val="1"/>
          <w:numId w:val="1011"/>
        </w:numPr>
        <w:pStyle w:val="Compact"/>
      </w:pPr>
      <w:r>
        <w:rPr>
          <w:bCs/>
          <w:b/>
        </w:rPr>
        <w:t xml:space="preserve">Total Downstream Transport Emissions: 0.0375 + 0.045 + 0.15 = 0.2325 kg CO2e</w:t>
      </w:r>
    </w:p>
    <w:p>
      <w:pPr>
        <w:numPr>
          <w:ilvl w:val="0"/>
          <w:numId w:val="1008"/>
        </w:numPr>
        <w:pStyle w:val="Compact"/>
      </w:pPr>
      <w:r>
        <w:rPr>
          <w:bCs/>
          <w:b/>
        </w:rPr>
        <w:t xml:space="preserve">Category 11: Use of Sold Products</w:t>
      </w:r>
    </w:p>
    <w:p>
      <w:pPr>
        <w:numPr>
          <w:ilvl w:val="1"/>
          <w:numId w:val="1012"/>
        </w:numPr>
        <w:pStyle w:val="Compact"/>
      </w:pPr>
      <w:r>
        <w:t xml:space="preserve">Product Lifespan: 5 years = 1825 days</w:t>
      </w:r>
    </w:p>
    <w:p>
      <w:pPr>
        <w:numPr>
          <w:ilvl w:val="1"/>
          <w:numId w:val="1012"/>
        </w:numPr>
        <w:pStyle w:val="Compact"/>
      </w:pPr>
      <w:r>
        <w:t xml:space="preserve">Total Energy Consumption: 1825 days * 0.005 kWh/day = 9.125 kWh/unit</w:t>
      </w:r>
    </w:p>
    <w:p>
      <w:pPr>
        <w:numPr>
          <w:ilvl w:val="1"/>
          <w:numId w:val="1012"/>
        </w:numPr>
        <w:pStyle w:val="Compact"/>
      </w:pPr>
      <w:r>
        <w:t xml:space="preserve">Emissions: 9.125 kWh/unit * 0.25 kg CO2e/kWh (EU grid mix) =</w:t>
      </w:r>
      <w:r>
        <w:t xml:space="preserve"> </w:t>
      </w:r>
      <w:r>
        <w:rPr>
          <w:bCs/>
          <w:b/>
        </w:rPr>
        <w:t xml:space="preserve">2.281 kg CO2e</w:t>
      </w:r>
    </w:p>
    <w:p>
      <w:pPr>
        <w:numPr>
          <w:ilvl w:val="0"/>
          <w:numId w:val="1008"/>
        </w:numPr>
        <w:pStyle w:val="Compact"/>
      </w:pPr>
      <w:r>
        <w:rPr>
          <w:bCs/>
          <w:b/>
        </w:rPr>
        <w:t xml:space="preserve">Category 12: End-of-Life Treatment of Sold Products</w:t>
      </w:r>
    </w:p>
    <w:p>
      <w:pPr>
        <w:numPr>
          <w:ilvl w:val="1"/>
          <w:numId w:val="1013"/>
        </w:numPr>
        <w:pStyle w:val="Compact"/>
      </w:pPr>
      <w:r>
        <w:t xml:space="preserve">Product Mass: 0.5 kg</w:t>
      </w:r>
    </w:p>
    <w:p>
      <w:pPr>
        <w:numPr>
          <w:ilvl w:val="1"/>
          <w:numId w:val="1013"/>
        </w:numPr>
        <w:pStyle w:val="Compact"/>
      </w:pPr>
      <w:r>
        <w:t xml:space="preserve">Mass disposed (non-recycled): 0.5 kg * (1 - 0.60 recyclability) = 0.2 kg</w:t>
      </w:r>
    </w:p>
    <w:p>
      <w:pPr>
        <w:numPr>
          <w:ilvl w:val="1"/>
          <w:numId w:val="1013"/>
        </w:numPr>
        <w:pStyle w:val="Compact"/>
      </w:pPr>
      <w:r>
        <w:t xml:space="preserve">Emissions from disposal: 0.2 kg * 0.5 kg CO2e/kg (disposal EF) =</w:t>
      </w:r>
      <w:r>
        <w:t xml:space="preserve"> </w:t>
      </w:r>
      <w:r>
        <w:rPr>
          <w:bCs/>
          <w:b/>
        </w:rPr>
        <w:t xml:space="preserve">0.100 kg CO2e</w:t>
      </w:r>
    </w:p>
    <w:p>
      <w:pPr>
        <w:numPr>
          <w:ilvl w:val="1"/>
          <w:numId w:val="1013"/>
        </w:numPr>
        <w:pStyle w:val="Compact"/>
      </w:pPr>
      <w:r>
        <w:t xml:space="preserve">The circular/take-back programs, while not directly reducing system emissions within the EoL phase itself, significantly contribute to avoided emissions in subsequent product lifecycles by reducing demand for virgin materials.</w:t>
      </w:r>
    </w:p>
    <w:bookmarkEnd w:id="34"/>
    <w:bookmarkEnd w:id="35"/>
    <w:bookmarkStart w:id="36" w:name="Xdc5627890c513e83dbc10a0731b10d67c4ae600"/>
    <w:p>
      <w:pPr>
        <w:pStyle w:val="Heading3"/>
      </w:pPr>
      <w:r>
        <w:t xml:space="preserve">Summary of Emissions by Scope and Stage (per 1.0 unit of dihklzjisz)</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Operations (Product Manufacturing)</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0.908</w:t>
            </w:r>
          </w:p>
        </w:tc>
        <w:tc>
          <w:tcPr/>
          <w:p>
            <w:pPr>
              <w:pStyle w:val="Compact"/>
              <w:jc w:val="left"/>
            </w:pPr>
            <w:r>
              <w:t xml:space="preserve">14.6%</w:t>
            </w:r>
          </w:p>
        </w:tc>
      </w:tr>
      <w:tr>
        <w:tc>
          <w:tcPr>
            <w:vMerge w:val="restart"/>
          </w:tcPr>
          <w:p>
            <w:pPr>
              <w:pStyle w:val="Compact"/>
              <w:jc w:val="left"/>
            </w:pPr>
            <w:r>
              <w:t xml:space="preserve">Scope 3 (Upstream)</w:t>
            </w:r>
          </w:p>
        </w:tc>
        <w:tc>
          <w:tcPr/>
          <w:p>
            <w:pPr>
              <w:pStyle w:val="Compact"/>
              <w:jc w:val="left"/>
            </w:pPr>
            <w:r>
              <w:t xml:space="preserve">Category 1: Purchased Goods &amp; Services (Materials)</w:t>
            </w:r>
          </w:p>
        </w:tc>
        <w:tc>
          <w:tcPr/>
          <w:p>
            <w:pPr>
              <w:pStyle w:val="Compact"/>
              <w:jc w:val="left"/>
            </w:pPr>
            <w:r>
              <w:t xml:space="preserve">2.687</w:t>
            </w:r>
          </w:p>
        </w:tc>
        <w:tc>
          <w:tcPr/>
          <w:p>
            <w:pPr>
              <w:pStyle w:val="Compact"/>
              <w:jc w:val="left"/>
            </w:pPr>
            <w:r>
              <w:t xml:space="preserve">43.2%</w:t>
            </w:r>
          </w:p>
        </w:tc>
      </w:tr>
      <w:tr>
        <w:tc>
          <w:tcPr>
            <w:gridSpan w:val="1"/>
            <w:vMerge w:val="continue"/>
          </w:tcPr>
          <w:p>
            <w:pPr/>
          </w:p>
        </w:tc>
        <w:tc>
          <w:tcPr/>
          <w:p>
            <w:pPr>
              <w:pStyle w:val="Compact"/>
              <w:jc w:val="left"/>
            </w:pPr>
            <w:r>
              <w:t xml:space="preserve">Category 4: Transportation &amp; Distribution (Upstream Materials)</w:t>
            </w:r>
          </w:p>
        </w:tc>
        <w:tc>
          <w:tcPr/>
          <w:p>
            <w:pPr>
              <w:pStyle w:val="Compact"/>
              <w:jc w:val="left"/>
            </w:pPr>
            <w:r>
              <w:t xml:space="preserve">0.016</w:t>
            </w:r>
          </w:p>
        </w:tc>
        <w:tc>
          <w:tcPr/>
          <w:p>
            <w:pPr>
              <w:pStyle w:val="Compact"/>
              <w:jc w:val="left"/>
            </w:pPr>
            <w:r>
              <w:t xml:space="preserve">0.3%</w:t>
            </w:r>
          </w:p>
        </w:tc>
      </w:tr>
      <w:tr>
        <w:tc>
          <w:tcPr>
            <w:gridSpan w:val="2"/>
          </w:tcPr>
          <w:p>
            <w:pPr>
              <w:pStyle w:val="Compact"/>
              <w:jc w:val="right"/>
            </w:pPr>
            <w:r>
              <w:t xml:space="preserve">Subtotal Scope 3 Upstream</w:t>
            </w:r>
          </w:p>
        </w:tc>
        <w:tc>
          <w:tcPr/>
          <w:p>
            <w:pPr>
              <w:pStyle w:val="Compact"/>
              <w:jc w:val="left"/>
            </w:pPr>
            <w:r>
              <w:t xml:space="preserve">2.703</w:t>
            </w:r>
          </w:p>
        </w:tc>
        <w:tc>
          <w:tcPr/>
          <w:p>
            <w:pPr>
              <w:pStyle w:val="Compact"/>
              <w:jc w:val="left"/>
            </w:pPr>
            <w:r>
              <w:t xml:space="preserve">43.5%</w:t>
            </w:r>
          </w:p>
        </w:tc>
      </w:tr>
      <w:tr>
        <w:tc>
          <w:tcPr>
            <w:vMerge w:val="restart"/>
          </w:tcPr>
          <w:p>
            <w:pPr>
              <w:pStyle w:val="Compact"/>
              <w:jc w:val="left"/>
            </w:pPr>
            <w:r>
              <w:t xml:space="preserve">Scope 3 (Downstream)</w:t>
            </w:r>
          </w:p>
        </w:tc>
        <w:tc>
          <w:tcPr/>
          <w:p>
            <w:pPr>
              <w:pStyle w:val="Compact"/>
              <w:jc w:val="left"/>
            </w:pPr>
            <w:r>
              <w:t xml:space="preserve">Category 4: Transportation &amp; Distribution (Finished Product)</w:t>
            </w:r>
          </w:p>
        </w:tc>
        <w:tc>
          <w:tcPr/>
          <w:p>
            <w:pPr>
              <w:pStyle w:val="Compact"/>
              <w:jc w:val="left"/>
            </w:pPr>
            <w:r>
              <w:t xml:space="preserve">0.233</w:t>
            </w:r>
          </w:p>
        </w:tc>
        <w:tc>
          <w:tcPr/>
          <w:p>
            <w:pPr>
              <w:pStyle w:val="Compact"/>
              <w:jc w:val="left"/>
            </w:pPr>
            <w:r>
              <w:t xml:space="preserve">3.7%</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2.281</w:t>
            </w:r>
          </w:p>
        </w:tc>
        <w:tc>
          <w:tcPr/>
          <w:p>
            <w:pPr>
              <w:pStyle w:val="Compact"/>
              <w:jc w:val="left"/>
            </w:pPr>
            <w:r>
              <w:t xml:space="preserve">36.7%</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0.100</w:t>
            </w:r>
          </w:p>
        </w:tc>
        <w:tc>
          <w:tcPr/>
          <w:p>
            <w:pPr>
              <w:pStyle w:val="Compact"/>
              <w:jc w:val="left"/>
            </w:pPr>
            <w:r>
              <w:t xml:space="preserve">1.6%</w:t>
            </w:r>
          </w:p>
        </w:tc>
      </w:tr>
      <w:tr>
        <w:tc>
          <w:tcPr>
            <w:gridSpan w:val="2"/>
          </w:tcPr>
          <w:p>
            <w:pPr>
              <w:pStyle w:val="Compact"/>
              <w:jc w:val="right"/>
            </w:pPr>
            <w:r>
              <w:t xml:space="preserve">Subtotal Scope 3 Downstream</w:t>
            </w:r>
          </w:p>
        </w:tc>
        <w:tc>
          <w:tcPr/>
          <w:p>
            <w:pPr>
              <w:pStyle w:val="Compact"/>
              <w:jc w:val="left"/>
            </w:pPr>
            <w:r>
              <w:t xml:space="preserve">2.614</w:t>
            </w:r>
          </w:p>
        </w:tc>
        <w:tc>
          <w:tcPr/>
          <w:p>
            <w:pPr>
              <w:pStyle w:val="Compact"/>
              <w:jc w:val="left"/>
            </w:pPr>
            <w:r>
              <w:t xml:space="preserve">42.0%</w:t>
            </w:r>
          </w:p>
        </w:tc>
      </w:tr>
      <w:tr>
        <w:tc>
          <w:tcPr>
            <w:gridSpan w:val="2"/>
          </w:tcPr>
          <w:p>
            <w:pPr>
              <w:pStyle w:val="Compact"/>
              <w:jc w:val="right"/>
            </w:pPr>
            <w:r>
              <w:t xml:space="preserve">TOTAL PRODUCT CARBON FOOTPRINT (PCF)</w:t>
            </w:r>
          </w:p>
        </w:tc>
        <w:tc>
          <w:tcPr/>
          <w:p>
            <w:pPr>
              <w:pStyle w:val="Compact"/>
              <w:jc w:val="left"/>
            </w:pPr>
            <w:r>
              <w:rPr>
                <w:bCs/>
                <w:b/>
              </w:rPr>
              <w:t xml:space="preserve">6.225</w:t>
            </w:r>
          </w:p>
        </w:tc>
        <w:tc>
          <w:tcPr/>
          <w:p>
            <w:pPr>
              <w:pStyle w:val="Compact"/>
              <w:jc w:val="left"/>
            </w:pPr>
            <w:r>
              <w:rPr>
                <w:bCs/>
                <w:b/>
              </w:rPr>
              <w:t xml:space="preserve">100.0%</w:t>
            </w:r>
          </w:p>
        </w:tc>
      </w:tr>
    </w:tbl>
    <w:bookmarkEnd w:id="36"/>
    <w:bookmarkStart w:id="37" w:name="X72871f4c7488a105630ee520c9bbc37b4a5dbd9"/>
    <w:p>
      <w:pPr>
        <w:pStyle w:val="Heading3"/>
      </w:pPr>
      <w:r>
        <w:t xml:space="preserve">2026 Land Sector and Removals (LSR) Standard Update Compliance</w:t>
      </w:r>
    </w:p>
    <w:p>
      <w:pPr>
        <w:pStyle w:val="FirstParagraph"/>
      </w:pPr>
      <w:r>
        <w:t xml:space="preserve">In adherence to the 2026 LSR Standard, this analysis has considered potential land use change emissions and carbon removals. For a smart home device such as dihklzjisz, direct land use impact within the product lifecycle itself (e.g., from raw material cultivation) is typically minimal or embedded in broader material emission factors. No direct deforestation or significant land-use change activities are directly attributable to the specific components or processes analyzed. Therefore, direct emissions or removals related to land use change are assessed as negligible for this product\'s PCF. However, xpjgyhqdoh is encouraged to assess its broader corporate land footprint and any bio-based material sourcing for LSR compliance at the organizational level.</w:t>
      </w:r>
    </w:p>
    <w:p>
      <w:r>
        <w:pict>
          <v:rect style="width:0;height:1.5pt" o:hralign="center" o:hrstd="t" o:hr="t"/>
        </w:pict>
      </w:r>
    </w:p>
    <w:bookmarkEnd w:id="37"/>
    <w:bookmarkEnd w:id="38"/>
    <w:bookmarkStart w:id="43" w:name="review-report"/>
    <w:p>
      <w:pPr>
        <w:pStyle w:val="Heading2"/>
      </w:pPr>
      <w:r>
        <w:t xml:space="preserve">5. Review &amp; Report</w:t>
      </w:r>
    </w:p>
    <w:bookmarkStart w:id="39" w:name="hotspot-analysis"/>
    <w:p>
      <w:pPr>
        <w:pStyle w:val="Heading3"/>
      </w:pPr>
      <w:r>
        <w:t xml:space="preserve">Hotspot Analysis</w:t>
      </w:r>
    </w:p>
    <w:p>
      <w:pPr>
        <w:pStyle w:val="FirstParagraph"/>
      </w:pPr>
      <w:r>
        <w:t xml:space="preserve">The analysis reveals the following major carbon hotspots in the lifecycle of dihklzjisz:</w:t>
      </w:r>
    </w:p>
    <w:p>
      <w:pPr>
        <w:numPr>
          <w:ilvl w:val="0"/>
          <w:numId w:val="1014"/>
        </w:numPr>
        <w:pStyle w:val="Compact"/>
      </w:pPr>
      <w:r>
        <w:rPr>
          <w:bCs/>
          <w:b/>
        </w:rPr>
        <w:t xml:space="preserve">Material Acquisition (Scope 3 Upstream - Purchased Goods &amp; Services):</w:t>
      </w:r>
      <w:r>
        <w:t xml:space="preserve"> </w:t>
      </w:r>
      <w:r>
        <w:t xml:space="preserve">Constituting 43.2% of the total footprint, the production of raw materials, particularly specialized electronics components (e.g., silicon chipset, PCB, battery), is the largest contributor. This highlights the critical importance of sustainable material sourcing and design for circularity.</w:t>
      </w:r>
    </w:p>
    <w:p>
      <w:pPr>
        <w:numPr>
          <w:ilvl w:val="0"/>
          <w:numId w:val="1014"/>
        </w:numPr>
        <w:pStyle w:val="Compact"/>
      </w:pPr>
      <w:r>
        <w:rPr>
          <w:bCs/>
          <w:b/>
        </w:rPr>
        <w:t xml:space="preserve">Use Phase (Scope 3 Downstream - Use of Sold Products):</w:t>
      </w:r>
      <w:r>
        <w:t xml:space="preserve"> </w:t>
      </w:r>
      <w:r>
        <w:t xml:space="preserve">At 36.7%, the energy consumption during the 5-year operational lifespan of the device is a significant factor. This indicates that product efficiency and the carbon intensity of electricity grids in markets like Europe play a crucial role.</w:t>
      </w:r>
    </w:p>
    <w:p>
      <w:pPr>
        <w:numPr>
          <w:ilvl w:val="0"/>
          <w:numId w:val="1014"/>
        </w:numPr>
        <w:pStyle w:val="Compact"/>
      </w:pPr>
      <w:r>
        <w:rPr>
          <w:bCs/>
          <w:b/>
        </w:rPr>
        <w:t xml:space="preserve">Production Energy (Scope 2 - Purchased Electricity):</w:t>
      </w:r>
      <w:r>
        <w:t xml:space="preserve"> </w:t>
      </w:r>
      <w:r>
        <w:t xml:space="preserve">Despite 75% renewable energy usage, the remaining grid electricity still contributes 14.6% of the total footprint, underscoring the benefits of further decarbonizing manufacturing operations.</w:t>
      </w:r>
    </w:p>
    <w:bookmarkEnd w:id="39"/>
    <w:bookmarkStart w:id="40" w:name="reliability-and-limitations"/>
    <w:p>
      <w:pPr>
        <w:pStyle w:val="Heading3"/>
      </w:pPr>
      <w:r>
        <w:t xml:space="preserve">Reliability and Limitations</w:t>
      </w:r>
    </w:p>
    <w:p>
      <w:pPr>
        <w:pStyle w:val="FirstParagraph"/>
      </w:pPr>
      <w:r>
        <w:t xml:space="preserve">The reliability of this PCF is high, leveraging specific Bill of Materials data and detailed operational parameters where provided. The use of industry-standard emission factors ensures comparability and generally accepted accuracy for secondary data. Limitations include:</w:t>
      </w:r>
    </w:p>
    <w:p>
      <w:pPr>
        <w:numPr>
          <w:ilvl w:val="0"/>
          <w:numId w:val="1015"/>
        </w:numPr>
        <w:pStyle w:val="Compact"/>
      </w:pPr>
      <w:r>
        <w:rPr>
          <w:bCs/>
          <w:b/>
        </w:rPr>
        <w:t xml:space="preserve">Assumptions for Placeholder Data:</w:t>
      </w:r>
      <w:r>
        <w:t xml:space="preserve"> </w:t>
      </w:r>
      <w:r>
        <w:t xml:space="preserve">Specific values for \'xoxehliw\', \'sejfyvfulq\', \'ipwtgkxexw\', \'oqskvvuvps\', \'oozwsfjylf\', \'okhnzzuqtt\', \'xogsrlfnvk\', and \'otuxrjowej\' were synthesized based on realistic industry averages for a smart home device where exact client data was not provided.</w:t>
      </w:r>
    </w:p>
    <w:p>
      <w:pPr>
        <w:numPr>
          <w:ilvl w:val="0"/>
          <w:numId w:val="1015"/>
        </w:numPr>
        <w:pStyle w:val="Compact"/>
      </w:pPr>
      <w:r>
        <w:rPr>
          <w:bCs/>
          <w:b/>
        </w:rPr>
        <w:t xml:space="preserve">Generic Emission Factors:</w:t>
      </w:r>
      <w:r>
        <w:t xml:space="preserve"> </w:t>
      </w:r>
      <w:r>
        <w:t xml:space="preserve">While industry-standard, generic emission factors may not perfectly capture the specific supplier-level processes and efficiencies of xpjgyhqdoh\'s entire supply chain.</w:t>
      </w:r>
    </w:p>
    <w:p>
      <w:pPr>
        <w:numPr>
          <w:ilvl w:val="0"/>
          <w:numId w:val="1015"/>
        </w:numPr>
        <w:pStyle w:val="Compact"/>
      </w:pPr>
      <w:r>
        <w:rPr>
          <w:bCs/>
          <w:b/>
        </w:rPr>
        <w:t xml:space="preserve">Dynamic Energy Grids:</w:t>
      </w:r>
      <w:r>
        <w:t xml:space="preserve"> </w:t>
      </w:r>
      <w:r>
        <w:t xml:space="preserve">Emission factors for electricity grids are averages and can fluctuate based on energy mix evolution and regional variations.</w:t>
      </w:r>
    </w:p>
    <w:p>
      <w:pPr>
        <w:numPr>
          <w:ilvl w:val="0"/>
          <w:numId w:val="1015"/>
        </w:numPr>
        <w:pStyle w:val="Compact"/>
      </w:pPr>
      <w:r>
        <w:rPr>
          <w:bCs/>
          <w:b/>
        </w:rPr>
        <w:t xml:space="preserve">Scope 3 Coverage:</w:t>
      </w:r>
      <w:r>
        <w:t xml:space="preserve"> </w:t>
      </w:r>
      <w:r>
        <w:t xml:space="preserve">While targeting 95% coverage, some minor categories (e.g., business travel, employee commuting, waste from operations) are typically excluded from a product-level PCF unless they are significant.</w:t>
      </w:r>
    </w:p>
    <w:bookmarkEnd w:id="40"/>
    <w:bookmarkStart w:id="42" w:name="recommendations-for-xpjgyhqdoh"/>
    <w:p>
      <w:pPr>
        <w:pStyle w:val="Heading3"/>
      </w:pPr>
      <w:r>
        <w:t xml:space="preserve">Recommendations for xpjgyhqdoh</w:t>
      </w:r>
    </w:p>
    <w:p>
      <w:pPr>
        <w:numPr>
          <w:ilvl w:val="0"/>
          <w:numId w:val="1016"/>
        </w:numPr>
        <w:pStyle w:val="Compact"/>
      </w:pPr>
      <w:r>
        <w:rPr>
          <w:bCs/>
          <w:b/>
        </w:rPr>
        <w:t xml:space="preserve">Material Optimization:</w:t>
      </w:r>
      <w:r>
        <w:t xml:space="preserve"> </w:t>
      </w:r>
      <w:r>
        <w:t xml:space="preserve">Explore further opportunities for using recycled content, bio-based materials with certified low-carbon footprints, and designing for modularity to extend component life.</w:t>
      </w:r>
    </w:p>
    <w:p>
      <w:pPr>
        <w:numPr>
          <w:ilvl w:val="0"/>
          <w:numId w:val="1016"/>
        </w:numPr>
        <w:pStyle w:val="Compact"/>
      </w:pPr>
      <w:r>
        <w:rPr>
          <w:bCs/>
          <w:b/>
        </w:rPr>
        <w:t xml:space="preserve">Energy Efficiency:</w:t>
      </w:r>
      <w:r>
        <w:t xml:space="preserve"> </w:t>
      </w:r>
      <w:r>
        <w:t xml:space="preserve">Invest in further increasing renewable energy penetration in manufacturing and advocating for cleaner energy grids in key markets to reduce Scope 2 and Use Phase emissions.</w:t>
      </w:r>
    </w:p>
    <w:p>
      <w:pPr>
        <w:numPr>
          <w:ilvl w:val="0"/>
          <w:numId w:val="1016"/>
        </w:numPr>
        <w:pStyle w:val="Compact"/>
      </w:pPr>
      <w:r>
        <w:rPr>
          <w:bCs/>
          <w:b/>
        </w:rPr>
        <w:t xml:space="preserve">Product Design for Longevity &amp; Efficiency:</w:t>
      </w:r>
      <w:r>
        <w:t xml:space="preserve"> </w:t>
      </w:r>
      <w:r>
        <w:t xml:space="preserve">Continue designing dihklzjisz for optimal energy efficiency and extended lifespan to reduce the impact of the use phase and premature replacements.</w:t>
      </w:r>
    </w:p>
    <w:p>
      <w:pPr>
        <w:numPr>
          <w:ilvl w:val="0"/>
          <w:numId w:val="1016"/>
        </w:numPr>
        <w:pStyle w:val="Compact"/>
      </w:pPr>
      <w:r>
        <w:rPr>
          <w:bCs/>
          <w:b/>
        </w:rPr>
        <w:t xml:space="preserve">Enhance Circularity:</w:t>
      </w:r>
      <w:r>
        <w:t xml:space="preserve"> </w:t>
      </w:r>
      <w:r>
        <w:t xml:space="preserve">Expand the existing take-back and recycling programs, exploring refurbishment and re-manufacturing possibilities to retain product value and minimize end-of-life disposal.</w:t>
      </w:r>
    </w:p>
    <w:p>
      <w:pPr>
        <w:numPr>
          <w:ilvl w:val="0"/>
          <w:numId w:val="1016"/>
        </w:numPr>
        <w:pStyle w:val="Compact"/>
      </w:pPr>
      <w:r>
        <w:rPr>
          <w:bCs/>
          <w:b/>
        </w:rPr>
        <w:t xml:space="preserve">Supplier Engagement:</w:t>
      </w:r>
      <w:r>
        <w:t xml:space="preserve"> </w:t>
      </w:r>
      <w:r>
        <w:t xml:space="preserve">Collaborate with key suppliers to obtain primary data on their operational emissions and material production processes to further refine Scope 3 calculations.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1" w:name="pageNumber"/>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dihklzjisz (Smart Home Device) - InnovateTech Solutions</dc:title>
  <dc:creator/>
  <dc:description>Detailed Product Carbon Footprint (PCF) analysis report for the smart home device \'dihklzjisz\' manufactured by xpjgyhqdoh (InnovateTech Solutions). This report, prepared by Senior Sustainability Consultant pdvyddizoe, adheres to GHG Protocol standards and includes comprehensive lifecycle assessments and Scope 3 emissions calculations.</dc:description>
  <dc:language>en</dc:language>
  <cp:keywords/>
  <dcterms:created xsi:type="dcterms:W3CDTF">2026-07-15T09:17:37Z</dcterms:created>
  <dcterms:modified xsi:type="dcterms:W3CDTF">2026-07-15T09:17:37Z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