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ovhfhkxrre</w:t>
      </w:r>
    </w:p>
    <w:p>
      <w:pPr>
        <w:pStyle w:val="BodyText"/>
      </w:pPr>
      <w:r>
        <w:rPr>
          <w:bCs/>
          <w:b/>
        </w:rPr>
        <w:t xml:space="preserve">Company:</w:t>
      </w:r>
      <w:r>
        <w:t xml:space="preserve"> </w:t>
      </w:r>
      <w:r>
        <w:t xml:space="preserve">hhdifvwvdq</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kesmudhwyu, Senior Sustainability Consultant</w:t>
      </w:r>
    </w:p>
    <w:p>
      <w:pPr>
        <w:pStyle w:val="BodyText"/>
      </w:pPr>
      <w:r>
        <w:t xml:space="preserve">Disclaimer: This report is generated based on available data and industry standards. While efforts have been made to ensure accuracy, the actual carbon footprint may vary depending on specific operational details and data precision. Illustrative numerical values are used for calculations where specific data was provided in a non-numerical string format.</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ovhfhkxrre, manufactured by hhdifvwvdq. The analysis adheres strictly to the GHG Protocol standards, incorporating the latest 2026 Land Sector and Removals (LSR) Standard updates and aiming for 95% Scope 3 coverage. As a Senior Sustainability Consultant, kesmudhwyu performed this assessment to identify key emission hotspots across the product\'s lifecycle, from material acquisition to end-of-life. The primary goal is to provide hhdifvwvdq with actionable insights for reducing its environmental impact and enhancing its sustainability strategy.</w:t>
      </w:r>
    </w:p>
    <w:bookmarkEnd w:id="22"/>
    <w:bookmarkStart w:id="32" w:name="methodology"/>
    <w:p>
      <w:pPr>
        <w:pStyle w:val="Heading2"/>
      </w:pPr>
      <w:r>
        <w:t xml:space="preserve">2. Methodology</w:t>
      </w:r>
    </w:p>
    <w:p>
      <w:pPr>
        <w:pStyle w:val="FirstParagraph"/>
      </w:pPr>
      <w:r>
        <w:t xml:space="preserve">The Product Carbon Footprint (PCF) analysis for ovhfhkxrre follows the five-step methodology as prescribed by leading industry standards, primarily the GHG Protocol Product Standard. The scope of this analysis is defined below, along with the data collection and calculation approaches.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ovhfhkxrre. This represents the reference unit for which the environmental impacts are quantified, ensuring comparability and consistency.</w:t>
      </w:r>
    </w:p>
    <w:p>
      <w:pPr>
        <w:numPr>
          <w:ilvl w:val="0"/>
          <w:numId w:val="1001"/>
        </w:numPr>
        <w:pStyle w:val="Compact"/>
      </w:pPr>
      <w:r>
        <w:rPr>
          <w:bCs/>
          <w:b/>
        </w:rPr>
        <w:t xml:space="preserve">System Boundary:</w:t>
      </w:r>
      <w:r>
        <w:t xml:space="preserve"> </w:t>
      </w:r>
      <w:r>
        <w:t xml:space="preserve">The analysis primarily adopts a "factory_gate" system boundary for direct operational control. However, to provide a comprehensive view of the product\'s full lifecycle impact as requested, downstream Scope 3 emissions related to the use phase and end-of-life have also been included in this report as per GHG Protocol Product Standard best practices, while acknowledging the primary</w:t>
      </w:r>
      <w:r>
        <w:t xml:space="preserve"> </w:t>
      </w:r>
      <w:r>
        <w:rPr>
          <w:rStyle w:val="VerbatimChar"/>
        </w:rPr>
        <w:t xml:space="preserve">factory_gate</w:t>
      </w:r>
      <w:r>
        <w:t xml:space="preserve"> </w:t>
      </w:r>
      <w:r>
        <w:t xml:space="preserve">focus.</w:t>
      </w:r>
    </w:p>
    <w:p>
      <w:pPr>
        <w:numPr>
          <w:ilvl w:val="0"/>
          <w:numId w:val="1001"/>
        </w:numPr>
        <w:pStyle w:val="Compact"/>
      </w:pPr>
      <w:r>
        <w:rPr>
          <w:bCs/>
          <w:b/>
        </w:rPr>
        <w:t xml:space="preserve">Geographic Scope:</w:t>
      </w:r>
      <w:r>
        <w:t xml:space="preserve"> </w:t>
      </w:r>
      <w:r>
        <w:t xml:space="preserve">The final production country is China, with a supply chain focus on Europe. Emission factors and energy mixes are selected to reflect these geographical considerations where data permits.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is not applicable for this single product analysis.</w:t>
      </w:r>
    </w:p>
    <w:p>
      <w:pPr>
        <w:numPr>
          <w:ilvl w:val="0"/>
          <w:numId w:val="1001"/>
        </w:numPr>
        <w:pStyle w:val="Compact"/>
      </w:pPr>
      <w:r>
        <w:rPr>
          <w:bCs/>
          <w:b/>
        </w:rPr>
        <w:t xml:space="preserve">Accounting Standard:</w:t>
      </w:r>
      <w:r>
        <w:t xml:space="preserve"> </w:t>
      </w:r>
      <w:r>
        <w:t xml:space="preserve">The analysis strictly follows the Greenhouse Gas Protocol (GHG Protocol) Product Life Cycle Accounting and Reporting Standard. This includes categorizing emissions into Scope 1 (direct), Scope 2 (purchased energy), and Scope 3 (value chain).</w:t>
      </w:r>
    </w:p>
    <w:bookmarkEnd w:id="23"/>
    <w:bookmarkStart w:id="29" w:name="X07a1e5013417f474786ee5272d1ac84eaeb36ed"/>
    <w:p>
      <w:pPr>
        <w:pStyle w:val="Heading3"/>
      </w:pPr>
      <w:r>
        <w:t xml:space="preserve">2.2. Map Lifecycle (LCI Inventory Stages) &amp; 2.3. Collect Data (Primary/Secondary Data Points)</w:t>
      </w:r>
    </w:p>
    <w:p>
      <w:pPr>
        <w:pStyle w:val="FirstParagraph"/>
      </w:pPr>
      <w:r>
        <w:t xml:space="preserve">The lifecycle mapping involves identifying all relevant stages from raw material extraction to end-of-life. Data collection encompasses primary data provided by hhdifvwvdq (where applicable) and secondary data from reputable databases such as Ecoinvent and DEFRA for industry-standard emission factors.</w:t>
      </w:r>
    </w:p>
    <w:bookmarkStart w:id="24" w:name="X3e6b731b5613ed51cec9f48479e2e32edeafed3"/>
    <w:p>
      <w:pPr>
        <w:pStyle w:val="Heading4"/>
      </w:pPr>
      <w:r>
        <w:t xml:space="preserve">2.2.1. Material Inputs (Upstream - Scope 3, Category 1: Purchased Goods and Services)</w:t>
      </w:r>
    </w:p>
    <w:p>
      <w:pPr>
        <w:pStyle w:val="FirstParagraph"/>
      </w:pPr>
      <w:r>
        <w:t xml:space="preserve">The detailed Bill of Materials (BOM) provided by hhdifvwvdq is:</w:t>
      </w:r>
      <w:r>
        <w:t xml:space="preserve"> </w:t>
      </w:r>
      <w:r>
        <w:rPr>
          <w:rStyle w:val="VerbatimChar"/>
        </w:rPr>
        <w:t xml:space="preserve">ijvujljs</w:t>
      </w:r>
      <w:r>
        <w:t xml:space="preserve">. For the purpose of this analysis and to demonstrate calculation methodology, we assume this BOM represents materials with the following illustrative structure and values. In a real application, the numerical data would be parsed from the provided BOM string if it were structured.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 CO2e/kg)</w:t>
            </w:r>
          </w:p>
        </w:tc>
        <w:tc>
          <w:tcPr/>
          <w:p>
            <w:pPr>
              <w:pStyle w:val="Compact"/>
              <w:jc w:val="left"/>
            </w:pPr>
            <w:r>
              <w:t xml:space="preserve">Illustrative 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 (Industry average for virgin steel)</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3.0 (Industry average for virgin plastic)</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Electronics Board</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 (Illustrative for complex electronics)</w:t>
            </w:r>
          </w:p>
        </w:tc>
        <w:tc>
          <w:tcPr/>
          <w:p>
            <w:pPr>
              <w:pStyle w:val="Compact"/>
              <w:jc w:val="left"/>
            </w:pPr>
            <w:r>
              <w:t xml:space="preserve">1.00</w:t>
            </w:r>
          </w:p>
        </w:tc>
      </w:tr>
      <w:tr>
        <w:tc>
          <w:tcPr>
            <w:gridSpan w:val="7"/>
          </w:tcPr>
          <w:p>
            <w:pPr>
              <w:pStyle w:val="Compact"/>
              <w:jc w:val="right"/>
            </w:pPr>
            <w:r>
              <w:rPr>
                <w:bCs/>
                <w:b/>
              </w:rPr>
              <w:t xml:space="preserve">Illustrative Subtotal Material Emissions:</w:t>
            </w:r>
          </w:p>
        </w:tc>
        <w:tc>
          <w:tcPr/>
          <w:p>
            <w:pPr>
              <w:pStyle w:val="Compact"/>
              <w:jc w:val="left"/>
            </w:pPr>
            <w:r>
              <w:rPr>
                <w:bCs/>
                <w:b/>
              </w:rPr>
              <w:t xml:space="preserve">3.80</w:t>
            </w:r>
          </w:p>
        </w:tc>
      </w:tr>
    </w:tbl>
    <w:bookmarkEnd w:id="24"/>
    <w:bookmarkStart w:id="25" w:name="Xd67a2831a5357835e0cc2dc114f3c3b41edeac9"/>
    <w:p>
      <w:pPr>
        <w:pStyle w:val="Heading4"/>
      </w:pPr>
      <w:r>
        <w:t xml:space="preserve">2.2.2. Transport Logistics (Upstream - Scope 3, Category 4: Upstream Transportation and Distribution)</w:t>
      </w:r>
    </w:p>
    <w:p>
      <w:pPr>
        <w:pStyle w:val="FirstParagraph"/>
      </w:pPr>
      <w:r>
        <w:t xml:space="preserve">The logistics data provided includes:</w:t>
      </w:r>
    </w:p>
    <w:p>
      <w:pPr>
        <w:numPr>
          <w:ilvl w:val="0"/>
          <w:numId w:val="1002"/>
        </w:numPr>
        <w:pStyle w:val="Compact"/>
      </w:pPr>
      <w:r>
        <w:rPr>
          <w:bCs/>
          <w:b/>
        </w:rPr>
        <w:t xml:space="preserve">Transport Mode:</w:t>
      </w:r>
      <w:r>
        <w:t xml:space="preserve"> </w:t>
      </w:r>
      <w:r>
        <w:rPr>
          <w:rStyle w:val="VerbatimChar"/>
        </w:rPr>
        <w:t xml:space="preserve">Select Mode</w:t>
      </w:r>
      <w:r>
        <w:t xml:space="preserve"> </w:t>
      </w:r>
      <w:r>
        <w:t xml:space="preserve">(Illustrative: Road Freight)</w:t>
      </w:r>
    </w:p>
    <w:p>
      <w:pPr>
        <w:numPr>
          <w:ilvl w:val="0"/>
          <w:numId w:val="1002"/>
        </w:numPr>
        <w:pStyle w:val="Compact"/>
      </w:pPr>
      <w:r>
        <w:rPr>
          <w:bCs/>
          <w:b/>
        </w:rPr>
        <w:t xml:space="preserve">Transport Distance:</w:t>
      </w:r>
      <w:r>
        <w:t xml:space="preserve"> </w:t>
      </w:r>
      <w:r>
        <w:rPr>
          <w:rStyle w:val="VerbatimChar"/>
        </w:rPr>
        <w:t xml:space="preserve">ndmptusyvg</w:t>
      </w:r>
      <w:r>
        <w:t xml:space="preserve"> </w:t>
      </w:r>
      <w:r>
        <w:t xml:space="preserve">(Illustrative: 1500 km for raw material transport to factory)</w:t>
      </w:r>
    </w:p>
    <w:p>
      <w:pPr>
        <w:numPr>
          <w:ilvl w:val="0"/>
          <w:numId w:val="1002"/>
        </w:numPr>
        <w:pStyle w:val="Compact"/>
      </w:pPr>
      <w:r>
        <w:rPr>
          <w:bCs/>
          <w:b/>
        </w:rPr>
        <w:t xml:space="preserve">Last-Mile Delivery Channel:</w:t>
      </w:r>
      <w:r>
        <w:t xml:space="preserve"> </w:t>
      </w:r>
      <w:r>
        <w:rPr>
          <w:rStyle w:val="VerbatimChar"/>
        </w:rPr>
        <w:t xml:space="preserve">Delivery Type</w:t>
      </w:r>
      <w:r>
        <w:t xml:space="preserve"> </w:t>
      </w:r>
      <w:r>
        <w:t xml:space="preserve">(Illustrative: Courier Service for distribution post-factory gate, considered part of overall downstream transport for a full PCF).</w:t>
      </w:r>
    </w:p>
    <w:p>
      <w:pPr>
        <w:pStyle w:val="FirstParagraph"/>
      </w:pPr>
      <w:r>
        <w:t xml:space="preserve">Illustrative calculation for material transport (assuming an average product weight of 1.3 kg per unit based on BOM and a 1.3 kg product payload for transport):</w:t>
      </w:r>
    </w:p>
    <w:p>
      <w:pPr>
        <w:pStyle w:val="BodyText"/>
      </w:pPr>
      <w:r>
        <w:t xml:space="preserve">Illustrative Emission Factor for Road Freight: 0.1 kg CO2e/tonne-km</w:t>
      </w:r>
    </w:p>
    <w:p>
      <w:pPr>
        <w:pStyle w:val="BodyText"/>
      </w:pPr>
      <w:r>
        <w:t xml:space="preserve">Illustrative Transport Emissions = Product Weight (tonnes) * Distance (km) * Emission Factor (kg CO2e/tonne-km)</w:t>
      </w:r>
    </w:p>
    <w:p>
      <w:pPr>
        <w:pStyle w:val="BodyText"/>
      </w:pPr>
      <w:r>
        <w:t xml:space="preserve">Illustrative Transport Emissions = (1.3 kg / 1000 kg/tonne) * 1500 km * 0.1 kg CO2e/tonne-km = 0.13 kg * 1500 km * 0.1 kg CO2e/tonne-km = 0.195 kg CO2e per unit.</w:t>
      </w:r>
    </w:p>
    <w:bookmarkEnd w:id="25"/>
    <w:bookmarkStart w:id="26" w:name="Xd8baa7bb6d8a16c61a2ffb3efb057608b9fd128"/>
    <w:p>
      <w:pPr>
        <w:pStyle w:val="Heading4"/>
      </w:pPr>
      <w:r>
        <w:t xml:space="preserve">2.2.3. Production Phase Energy (Scope 2: Purchased Electricity)</w:t>
      </w:r>
    </w:p>
    <w:p>
      <w:pPr>
        <w:pStyle w:val="FirstParagraph"/>
      </w:pPr>
      <w:r>
        <w:t xml:space="preserve">The energy customization data provided:</w:t>
      </w:r>
    </w:p>
    <w:p>
      <w:pPr>
        <w:numPr>
          <w:ilvl w:val="0"/>
          <w:numId w:val="1003"/>
        </w:numPr>
        <w:pStyle w:val="Compact"/>
      </w:pPr>
      <w:r>
        <w:rPr>
          <w:bCs/>
          <w:b/>
        </w:rPr>
        <w:t xml:space="preserve">Renewable Energy Usage:</w:t>
      </w:r>
      <w:r>
        <w:t xml:space="preserve"> </w:t>
      </w:r>
      <w:r>
        <w:rPr>
          <w:rStyle w:val="VerbatimChar"/>
        </w:rPr>
        <w:t xml:space="preserve">dlxhxzwhex</w:t>
      </w:r>
      <w:r>
        <w:t xml:space="preserve"> </w:t>
      </w:r>
      <w:r>
        <w:t xml:space="preserve">(Illustrative: 60% renewable energy procurement)</w:t>
      </w:r>
    </w:p>
    <w:p>
      <w:pPr>
        <w:numPr>
          <w:ilvl w:val="0"/>
          <w:numId w:val="1003"/>
        </w:numPr>
        <w:pStyle w:val="Compact"/>
      </w:pPr>
      <w:r>
        <w:rPr>
          <w:bCs/>
          <w:b/>
        </w:rPr>
        <w:t xml:space="preserve">Energy Intensity (kWh/unit):</w:t>
      </w:r>
      <w:r>
        <w:t xml:space="preserve"> </w:t>
      </w:r>
      <w:r>
        <w:rPr>
          <w:rStyle w:val="VerbatimChar"/>
        </w:rPr>
        <w:t xml:space="preserve">husyvulnwy</w:t>
      </w:r>
      <w:r>
        <w:t xml:space="preserve"> </w:t>
      </w:r>
      <w:r>
        <w:t xml:space="preserve">(Illustrative: 15 kWh/unit)</w:t>
      </w:r>
    </w:p>
    <w:p>
      <w:pPr>
        <w:pStyle w:val="FirstParagraph"/>
      </w:pPr>
      <w:r>
        <w:t xml:space="preserve">Illustrative calculation for production electricity in China:</w:t>
      </w:r>
    </w:p>
    <w:p>
      <w:pPr>
        <w:pStyle w:val="BodyText"/>
      </w:pPr>
      <w:r>
        <w:t xml:space="preserve">Illustrative Grid Emission Factor for China (average): 0.58 kg CO2e/kWh</w:t>
      </w:r>
    </w:p>
    <w:p>
      <w:pPr>
        <w:pStyle w:val="BodyText"/>
      </w:pPr>
      <w:r>
        <w:t xml:space="preserve">Total Electricity Consumption = 15 kWh/unit</w:t>
      </w:r>
    </w:p>
    <w:p>
      <w:pPr>
        <w:pStyle w:val="BodyText"/>
      </w:pPr>
      <w:r>
        <w:t xml:space="preserve">Non-renewable Electricity = 15 kWh/unit * (1 - 0.60) = 6 kWh/unit</w:t>
      </w:r>
    </w:p>
    <w:p>
      <w:pPr>
        <w:pStyle w:val="BodyText"/>
      </w:pPr>
      <w:r>
        <w:t xml:space="preserve">Illustrative Production Emissions (Scope 2) = Non-renewable Electricity (kWh/unit) * Grid Emission Factor (kg CO2e/kWh)</w:t>
      </w:r>
    </w:p>
    <w:p>
      <w:pPr>
        <w:pStyle w:val="BodyText"/>
      </w:pPr>
      <w:r>
        <w:t xml:space="preserve">Illustrative Production Emissions (Scope 2) = 6 kWh/unit * 0.58 kg CO2e/kWh = 3.48 kg CO2e per unit.</w:t>
      </w:r>
    </w:p>
    <w:bookmarkEnd w:id="26"/>
    <w:bookmarkStart w:id="27" w:name="Xb6379c31f00345ccff01e90b5cbf0314a51933a"/>
    <w:p>
      <w:pPr>
        <w:pStyle w:val="Heading4"/>
      </w:pPr>
      <w:r>
        <w:t xml:space="preserve">2.2.4. Use Phase (Downstream - Scope 3, Category 11: Use of Sold Products)</w:t>
      </w:r>
    </w:p>
    <w:p>
      <w:pPr>
        <w:pStyle w:val="FirstParagraph"/>
      </w:pPr>
      <w:r>
        <w:t xml:space="preserve">The durability and consumption data provided:</w:t>
      </w:r>
    </w:p>
    <w:p>
      <w:pPr>
        <w:numPr>
          <w:ilvl w:val="0"/>
          <w:numId w:val="1004"/>
        </w:numPr>
        <w:pStyle w:val="Compact"/>
      </w:pPr>
      <w:r>
        <w:rPr>
          <w:bCs/>
          <w:b/>
        </w:rPr>
        <w:t xml:space="preserve">Product Lifespan:</w:t>
      </w:r>
      <w:r>
        <w:t xml:space="preserve"> </w:t>
      </w:r>
      <w:r>
        <w:rPr>
          <w:rStyle w:val="VerbatimChar"/>
        </w:rPr>
        <w:t xml:space="preserve">pfixxvtfun</w:t>
      </w:r>
      <w:r>
        <w:t xml:space="preserve"> </w:t>
      </w:r>
      <w:r>
        <w:t xml:space="preserve">(Illustrative: 5 years)</w:t>
      </w:r>
    </w:p>
    <w:p>
      <w:pPr>
        <w:numPr>
          <w:ilvl w:val="0"/>
          <w:numId w:val="1004"/>
        </w:numPr>
        <w:pStyle w:val="Compact"/>
      </w:pPr>
      <w:r>
        <w:rPr>
          <w:bCs/>
          <w:b/>
        </w:rPr>
        <w:t xml:space="preserve">Energy Consumption in Use:</w:t>
      </w:r>
      <w:r>
        <w:t xml:space="preserve"> </w:t>
      </w:r>
      <w:r>
        <w:rPr>
          <w:rStyle w:val="VerbatimChar"/>
        </w:rPr>
        <w:t xml:space="preserve">snvzjzskrr</w:t>
      </w:r>
      <w:r>
        <w:t xml:space="preserve"> </w:t>
      </w:r>
      <w:r>
        <w:t xml:space="preserve">(Illustrative: 20 kWh/year)</w:t>
      </w:r>
    </w:p>
    <w:p>
      <w:pPr>
        <w:pStyle w:val="FirstParagraph"/>
      </w:pPr>
      <w:r>
        <w:t xml:space="preserve">Illustrative calculation for use phase emissions (assuming use in a region with a grid emission factor of 0.4 kg CO2e/kWh, as product could be used globally):</w:t>
      </w:r>
    </w:p>
    <w:p>
      <w:pPr>
        <w:pStyle w:val="BodyText"/>
      </w:pPr>
      <w:r>
        <w:t xml:space="preserve">Total Energy Consumption in Use = 20 kWh/year * 5 years = 100 kWh/unit</w:t>
      </w:r>
    </w:p>
    <w:p>
      <w:pPr>
        <w:pStyle w:val="BodyText"/>
      </w:pPr>
      <w:r>
        <w:t xml:space="preserve">Illustrative Use Phase Emissions = Total Energy Consumption in Use (kWh/unit) * Illustrative Grid Emission Factor (kg CO2e/kWh)</w:t>
      </w:r>
    </w:p>
    <w:p>
      <w:pPr>
        <w:pStyle w:val="BodyText"/>
      </w:pPr>
      <w:r>
        <w:t xml:space="preserve">Illustrative Use Phase Emissions = 100 kWh/unit * 0.4 kg CO2e/kWh = 40.0 kg CO2e per unit.</w:t>
      </w:r>
    </w:p>
    <w:bookmarkEnd w:id="27"/>
    <w:bookmarkStart w:id="28" w:name="X99aace39946230725e8c49e7babde078cbd291a"/>
    <w:p>
      <w:pPr>
        <w:pStyle w:val="Heading4"/>
      </w:pPr>
      <w:r>
        <w:t xml:space="preserve">2.2.5. End-of-Life (EoL) Scenarios (Downstream - Scope 3, Category 12: End-of-Life Treatment of Sold Products)</w:t>
      </w:r>
    </w:p>
    <w:p>
      <w:pPr>
        <w:pStyle w:val="FirstParagraph"/>
      </w:pPr>
      <w:r>
        <w:t xml:space="preserve">The EoL data provided:</w:t>
      </w:r>
    </w:p>
    <w:p>
      <w:pPr>
        <w:numPr>
          <w:ilvl w:val="0"/>
          <w:numId w:val="1005"/>
        </w:numPr>
        <w:pStyle w:val="Compact"/>
      </w:pPr>
      <w:r>
        <w:rPr>
          <w:bCs/>
          <w:b/>
        </w:rPr>
        <w:t xml:space="preserve">Recyclability Percentage:</w:t>
      </w:r>
      <w:r>
        <w:t xml:space="preserve"> </w:t>
      </w:r>
      <w:r>
        <w:rPr>
          <w:rStyle w:val="VerbatimChar"/>
        </w:rPr>
        <w:t xml:space="preserve">kxoxisfuyz</w:t>
      </w:r>
      <w:r>
        <w:t xml:space="preserve"> </w:t>
      </w:r>
      <w:r>
        <w:t xml:space="preserve">(Illustrative: 80% recyclability)</w:t>
      </w:r>
    </w:p>
    <w:p>
      <w:pPr>
        <w:numPr>
          <w:ilvl w:val="0"/>
          <w:numId w:val="1005"/>
        </w:numPr>
        <w:pStyle w:val="Compact"/>
      </w:pPr>
      <w:r>
        <w:rPr>
          <w:bCs/>
          <w:b/>
        </w:rPr>
        <w:t xml:space="preserve">Circular/Take-back Programs:</w:t>
      </w:r>
      <w:r>
        <w:t xml:space="preserve"> </w:t>
      </w:r>
      <w:r>
        <w:rPr>
          <w:rStyle w:val="VerbatimChar"/>
        </w:rPr>
        <w:t xml:space="preserve">usjjumjfeo</w:t>
      </w:r>
      <w:r>
        <w:t xml:space="preserve"> </w:t>
      </w:r>
      <w:r>
        <w:t xml:space="preserve">(Illustrative: Yes, established program)</w:t>
      </w:r>
    </w:p>
    <w:p>
      <w:pPr>
        <w:pStyle w:val="FirstParagraph"/>
      </w:pPr>
      <w:r>
        <w:t xml:space="preserve">For EoL, the "avoided burden" approach is often used for recycling, where credits are given for materials recycled that displace virgin material production. Here, we calculate emissions from un-recycled waste and potential benefits from recycling.</w:t>
      </w:r>
    </w:p>
    <w:p>
      <w:pPr>
        <w:pStyle w:val="BodyText"/>
      </w:pPr>
      <w:r>
        <w:t xml:space="preserve">Assuming 20% of the product (1.3 kg total weight * 0.20 = 0.26 kg) goes to landfill, and 80% is recycled. Emissions from landfilling plastic are generally low compared to production or recycling processes. Emissions from recycling include collection and processing. For simplicity in this illustrative example, we will focus on the benefit of avoided virgin production for recycled materials.</w:t>
      </w:r>
    </w:p>
    <w:p>
      <w:pPr>
        <w:pStyle w:val="BodyText"/>
      </w:pPr>
      <w:r>
        <w:t xml:space="preserve">Illustrative calculation:</w:t>
      </w:r>
    </w:p>
    <w:p>
      <w:pPr>
        <w:numPr>
          <w:ilvl w:val="0"/>
          <w:numId w:val="1006"/>
        </w:numPr>
        <w:pStyle w:val="Compact"/>
      </w:pPr>
      <w:r>
        <w:t xml:space="preserve">Total product weight: 1.3 kg (from illustrative BOM)</w:t>
      </w:r>
    </w:p>
    <w:p>
      <w:pPr>
        <w:numPr>
          <w:ilvl w:val="0"/>
          <w:numId w:val="1006"/>
        </w:numPr>
        <w:pStyle w:val="Compact"/>
      </w:pPr>
      <w:r>
        <w:t xml:space="preserve">Recycled portion: 1.3 kg * 0.80 = 1.04 kg</w:t>
      </w:r>
    </w:p>
    <w:p>
      <w:pPr>
        <w:numPr>
          <w:ilvl w:val="0"/>
          <w:numId w:val="1006"/>
        </w:numPr>
        <w:pStyle w:val="Compact"/>
      </w:pPr>
      <w:r>
        <w:t xml:space="preserve">Landfilled portion: 1.3 kg * 0.20 = 0.26 kg</w:t>
      </w:r>
    </w:p>
    <w:p>
      <w:pPr>
        <w:pStyle w:val="FirstParagraph"/>
      </w:pPr>
      <w:r>
        <w:t xml:space="preserve">Emissions from landfilling (illustrative for mixed waste): ~0.05 kg CO2e/kg.</w:t>
      </w:r>
    </w:p>
    <w:p>
      <w:pPr>
        <w:pStyle w:val="BodyText"/>
      </w:pPr>
      <w:r>
        <w:t xml:space="preserve">Illustrative Landfill Emissions = 0.26 kg * 0.05 kg CO2e/kg = 0.013 kg CO2e.</w:t>
      </w:r>
    </w:p>
    <w:p>
      <w:pPr>
        <w:pStyle w:val="BodyText"/>
      </w:pPr>
      <w:r>
        <w:t xml:space="preserve">Avoided emissions from recycling (offsetting virgin material, illustrative average for metals/plastics): ~1.5 kg CO2e/kg (this is a credit, so it\'s negative emissions).</w:t>
      </w:r>
    </w:p>
    <w:p>
      <w:pPr>
        <w:pStyle w:val="BodyText"/>
      </w:pPr>
      <w:r>
        <w:t xml:space="preserve">Illustrative Avoided Recycling Emissions = 1.04 kg * (-1.5 kg CO2e/kg) = -1.56 kg CO2e.</w:t>
      </w:r>
    </w:p>
    <w:p>
      <w:pPr>
        <w:pStyle w:val="BodyText"/>
      </w:pPr>
      <w:r>
        <w:t xml:space="preserve">Illustrative Net End-of-Life Emissions = 0.013 kg CO2e - 1.56 kg CO2e = -1.547 kg CO2e per unit (net carbon removal/avoidance).</w:t>
      </w:r>
    </w:p>
    <w:bookmarkEnd w:id="28"/>
    <w:bookmarkEnd w:id="29"/>
    <w:bookmarkStart w:id="30" w:name="Xb404f6bea4a0013006ec7a9103609d9ea6643c1"/>
    <w:p>
      <w:pPr>
        <w:pStyle w:val="Heading3"/>
      </w:pPr>
      <w:r>
        <w:t xml:space="preserve">2.4. Calculate Emissions (Activity * Emission Factor = CO2e)</w:t>
      </w:r>
    </w:p>
    <w:p>
      <w:pPr>
        <w:pStyle w:val="FirstParagraph"/>
      </w:pPr>
      <w:r>
        <w:t xml:space="preserve">Emissions are calculated by multiplying activity data (e.g., kg of material, kWh of energy, tonne-km of transport) by their respective emission factors (kg CO2e/unit of activity). These are then aggregated by scope and lifecycle stage.</w:t>
      </w:r>
    </w:p>
    <w:bookmarkEnd w:id="30"/>
    <w:bookmarkStart w:id="31" w:name="review-report-hotspots-and-reliability"/>
    <w:p>
      <w:pPr>
        <w:pStyle w:val="Heading3"/>
      </w:pPr>
      <w:r>
        <w:t xml:space="preserve">2.5. Review &amp; Report (Hotspots and Reliability)</w:t>
      </w:r>
    </w:p>
    <w:p>
      <w:pPr>
        <w:pStyle w:val="FirstParagraph"/>
      </w:pPr>
      <w:r>
        <w:t xml:space="preserve">The results are reviewed to identify major emission hotspots and assess data reliability. Recommendations for improvement are provided based on these findings.</w:t>
      </w:r>
    </w:p>
    <w:p>
      <w:r>
        <w:pict>
          <v:rect style="width:0;height:1.5pt" o:hralign="center" o:hrstd="t" o:hr="t"/>
        </w:pict>
      </w:r>
    </w:p>
    <w:bookmarkEnd w:id="31"/>
    <w:bookmarkEnd w:id="32"/>
    <w:bookmarkStart w:id="36" w:name="ghg-protocol-adherence-and-2026-updates"/>
    <w:p>
      <w:pPr>
        <w:pStyle w:val="Heading2"/>
      </w:pPr>
      <w:r>
        <w:t xml:space="preserve">3. GHG Protocol Adherence and 2026 Updates</w:t>
      </w:r>
    </w:p>
    <w:bookmarkStart w:id="33" w:name="categorization-of-emissions"/>
    <w:p>
      <w:pPr>
        <w:pStyle w:val="Heading3"/>
      </w:pPr>
      <w:r>
        <w:t xml:space="preserve">3.1. Categorization of Emissions</w:t>
      </w:r>
    </w:p>
    <w:p>
      <w:pPr>
        <w:pStyle w:val="FirstParagraph"/>
      </w:pPr>
      <w:r>
        <w:t xml:space="preserve">In accordance with the GHG Protocol, emissions are categorized as follows:</w:t>
      </w:r>
    </w:p>
    <w:p>
      <w:pPr>
        <w:numPr>
          <w:ilvl w:val="0"/>
          <w:numId w:val="1007"/>
        </w:numPr>
        <w:pStyle w:val="Compact"/>
      </w:pPr>
      <w:r>
        <w:rPr>
          <w:bCs/>
          <w:b/>
        </w:rPr>
        <w:t xml:space="preserve">Scope 1 (Direct Emissions):</w:t>
      </w:r>
      <w:r>
        <w:t xml:space="preserve"> </w:t>
      </w:r>
      <w:r>
        <w:t xml:space="preserve">Emissions from sources owned or controlled by hhdifvwvdq. For a</w:t>
      </w:r>
      <w:r>
        <w:t xml:space="preserve"> </w:t>
      </w:r>
      <w:r>
        <w:rPr>
          <w:rStyle w:val="VerbatimChar"/>
        </w:rPr>
        <w:t xml:space="preserve">factory_gate</w:t>
      </w:r>
      <w:r>
        <w:t xml:space="preserve"> </w:t>
      </w:r>
      <w:r>
        <w:t xml:space="preserve">boundary, this typically includes on-site fuel combustion for heating, owned vehicle fleets, or process emissions. In this analysis, due to the system boundary and lack of specific operational fuel consumption data, Scope 1 emissions for the product\'s direct manufacturing are assumed to be negligible or zero. A full assessment would require detailed site-specific fuel use data.</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heat, or steam consumed by hhdifvwvdq for the manufacturing of ovhfhkxrre. This includes the illustrative production energy calculations.</w:t>
      </w:r>
    </w:p>
    <w:p>
      <w:pPr>
        <w:numPr>
          <w:ilvl w:val="0"/>
          <w:numId w:val="1007"/>
        </w:numPr>
        <w:pStyle w:val="Compact"/>
      </w:pPr>
      <w:r>
        <w:rPr>
          <w:bCs/>
          <w:b/>
        </w:rPr>
        <w:t xml:space="preserve">Scope 3 (Value Chain Emissions):</w:t>
      </w:r>
      <w:r>
        <w:t xml:space="preserve"> </w:t>
      </w:r>
      <w:r>
        <w:t xml:space="preserve">All other indirect emissions that occur in the value chain, both upstream and downstream. This is typically the largest portion of a product\'s carbon footprint.</w:t>
      </w:r>
    </w:p>
    <w:p>
      <w:pPr>
        <w:numPr>
          <w:ilvl w:val="1"/>
          <w:numId w:val="1008"/>
        </w:numPr>
        <w:pStyle w:val="Compact"/>
      </w:pPr>
      <w:r>
        <w:rPr>
          <w:bCs/>
          <w:b/>
        </w:rPr>
        <w:t xml:space="preserve">Upstream Scope 3:</w:t>
      </w:r>
      <w:r>
        <w:t xml:space="preserve"> </w:t>
      </w:r>
      <w:r>
        <w:t xml:space="preserve">Includes emissions from purchased goods and services (materials - illustrative BOM) and upstream transportation and distribution (transport of materials to the factory).</w:t>
      </w:r>
    </w:p>
    <w:p>
      <w:pPr>
        <w:numPr>
          <w:ilvl w:val="1"/>
          <w:numId w:val="1008"/>
        </w:numPr>
        <w:pStyle w:val="Compact"/>
      </w:pPr>
      <w:r>
        <w:rPr>
          <w:bCs/>
          <w:b/>
        </w:rPr>
        <w:t xml:space="preserve">Downstream Scope 3:</w:t>
      </w:r>
      <w:r>
        <w:t xml:space="preserve"> </w:t>
      </w:r>
      <w:r>
        <w:t xml:space="preserve">Includes emissions from the use of sold products (use phase energy consumption) and end-of-life treatment of sold products (recycling/disposal). These categories are included to provide a holistic PCF, extending beyond the strict</w:t>
      </w:r>
      <w:r>
        <w:t xml:space="preserve"> </w:t>
      </w:r>
      <w:r>
        <w:rPr>
          <w:rStyle w:val="VerbatimChar"/>
        </w:rPr>
        <w:t xml:space="preserve">factory_gate</w:t>
      </w:r>
      <w:r>
        <w:t xml:space="preserve"> </w:t>
      </w:r>
      <w:r>
        <w:t xml:space="preserve">direct operational boundary as per the user\'s request.</w:t>
      </w:r>
    </w:p>
    <w:bookmarkEnd w:id="33"/>
    <w:bookmarkStart w:id="34" w:name="X439aeab12f653c5be8a9767687610423a65f1bc"/>
    <w:p>
      <w:pPr>
        <w:pStyle w:val="Heading3"/>
      </w:pPr>
      <w:r>
        <w:t xml:space="preserve">3.2. 2026 LSR Update: Land Sector and Removals (LSR) Standard</w:t>
      </w:r>
    </w:p>
    <w:p>
      <w:pPr>
        <w:pStyle w:val="FirstParagraph"/>
      </w:pPr>
      <w:r>
        <w:t xml:space="preserve">The GHG Protocol\'s Land Sector and Removals (LSR) Standard, released on January 30, 2026, and effective January 1, 2027, provides crucial guidance for accounting for emissions and carbon removals from agricultural and land use activities. The accompanying guidance is expected in Q2 2026. While the product ovhfhkxrre itself may not directly involve significant land-use change or agricultural activities in its final production, the LSR Standard is relevant for hhdifvwvdq, especially in assessing the upstream supply chain of raw materials (e.g., biogenic materials, if applicable, or impacts related to mining for metals). This report acknowledges the LSR Standard and recommends hhdifvwvdq evaluate its suppliers for compliance, particularly for any land-intensive inputs, once the full guidance is available.</w:t>
      </w:r>
    </w:p>
    <w:bookmarkEnd w:id="34"/>
    <w:bookmarkStart w:id="35" w:name="scope-3-compliance-2026-requirements"/>
    <w:p>
      <w:pPr>
        <w:pStyle w:val="Heading3"/>
      </w:pPr>
      <w:r>
        <w:t xml:space="preserve">3.3. Scope 3 Compliance (2026 Requirements)</w:t>
      </w:r>
    </w:p>
    <w:p>
      <w:pPr>
        <w:pStyle w:val="FirstParagraph"/>
      </w:pPr>
      <w:r>
        <w:t xml:space="preserve">The GHG Protocol\'s proposed revisions to the Scope 3 Standard (progress update March 2026) emphasize a new compliance threshold requiring companies to account for and report at least 95% of total required Scope 3 emissions. Exclusions cannot exceed 5% and must be quantified, disclosed, and justified. This PCF analysis for ovhfhkxrre aims for full transparency and comprehensive coverage. By incorporating materials, upstream transport, production energy (Scope 2), use phase, and end-of-life, the report intends to provide a near-complete picture of the product\'s value chain emissions. hhdifvwvdq should continue to strengthen data collection for all Scope 3 categories to meet and exceed this 95% coverage requirement.</w:t>
      </w:r>
    </w:p>
    <w:p>
      <w:r>
        <w:pict>
          <v:rect style="width:0;height:1.5pt" o:hralign="center" o:hrstd="t" o:hr="t"/>
        </w:pict>
      </w:r>
    </w:p>
    <w:bookmarkEnd w:id="35"/>
    <w:bookmarkEnd w:id="36"/>
    <w:bookmarkStart w:id="39" w:name="X3335283c7dd95fade19fc6b2c906db73f322aee"/>
    <w:p>
      <w:pPr>
        <w:pStyle w:val="Heading2"/>
      </w:pPr>
      <w:r>
        <w:t xml:space="preserve">4. Illustrative Product Carbon Footprint Results for ovhfhkxrre</w:t>
      </w:r>
    </w:p>
    <w:p>
      <w:pPr>
        <w:pStyle w:val="FirstParagraph"/>
      </w:pPr>
      <w:r>
        <w:t xml:space="preserve">Based on the illustrative calculations detailed above, the estimated Product Carbon Footprint for one functional unit of ovhfhkxrre is summarized below. It is crucial to reiterate that these figures are illustrative, relying on assumed numerical values for parameters provided as strings in the prompt.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 per unit)</w:t>
            </w:r>
          </w:p>
        </w:tc>
      </w:tr>
      <w:tr>
        <w:tc>
          <w:tcPr/>
          <w:p>
            <w:pPr>
              <w:pStyle w:val="Compact"/>
              <w:jc w:val="left"/>
            </w:pPr>
            <w:r>
              <w:t xml:space="preserve">Material Acquisition (from illustrative BOM)</w:t>
            </w:r>
          </w:p>
        </w:tc>
        <w:tc>
          <w:tcPr/>
          <w:p>
            <w:pPr>
              <w:pStyle w:val="Compact"/>
              <w:jc w:val="left"/>
            </w:pPr>
            <w:r>
              <w:t xml:space="preserve">Scope 3 (Category 1)</w:t>
            </w:r>
          </w:p>
        </w:tc>
        <w:tc>
          <w:tcPr/>
          <w:p>
            <w:pPr>
              <w:pStyle w:val="Compact"/>
              <w:jc w:val="left"/>
            </w:pPr>
            <w:r>
              <w:t xml:space="preserve">3.80</w:t>
            </w:r>
          </w:p>
        </w:tc>
      </w:tr>
      <w:tr>
        <w:tc>
          <w:tcPr/>
          <w:p>
            <w:pPr>
              <w:pStyle w:val="Compact"/>
              <w:jc w:val="left"/>
            </w:pPr>
            <w:r>
              <w:t xml:space="preserve">Upstream Transportation (materials to factory)</w:t>
            </w:r>
          </w:p>
        </w:tc>
        <w:tc>
          <w:tcPr/>
          <w:p>
            <w:pPr>
              <w:pStyle w:val="Compact"/>
              <w:jc w:val="left"/>
            </w:pPr>
            <w:r>
              <w:t xml:space="preserve">Scope 3 (Category 4)</w:t>
            </w:r>
          </w:p>
        </w:tc>
        <w:tc>
          <w:tcPr/>
          <w:p>
            <w:pPr>
              <w:pStyle w:val="Compact"/>
              <w:jc w:val="left"/>
            </w:pPr>
            <w:r>
              <w:t xml:space="preserve">0.195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3.48</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40.00</w:t>
            </w:r>
          </w:p>
        </w:tc>
      </w:tr>
      <w:tr>
        <w:tc>
          <w:tcPr/>
          <w:p>
            <w:pPr>
              <w:pStyle w:val="Compact"/>
              <w:jc w:val="left"/>
            </w:pPr>
            <w:r>
              <w:t xml:space="preserve">End-of-Life (Net of Landfill and Avoided Recycling)</w:t>
            </w:r>
          </w:p>
        </w:tc>
        <w:tc>
          <w:tcPr/>
          <w:p>
            <w:pPr>
              <w:pStyle w:val="Compact"/>
              <w:jc w:val="left"/>
            </w:pPr>
            <w:r>
              <w:t xml:space="preserve">Scope 3 (Category 12)</w:t>
            </w:r>
          </w:p>
        </w:tc>
        <w:tc>
          <w:tcPr/>
          <w:p>
            <w:pPr>
              <w:pStyle w:val="Compact"/>
              <w:jc w:val="left"/>
            </w:pPr>
            <w:r>
              <w:t xml:space="preserve">-1.547</w:t>
            </w:r>
          </w:p>
        </w:tc>
      </w:tr>
      <w:tr>
        <w:tc>
          <w:tcPr/>
          <w:p>
            <w:pPr>
              <w:pStyle w:val="Compact"/>
              <w:jc w:val="left"/>
            </w:pPr>
            <w:r>
              <w:rPr>
                <w:bCs/>
                <w:b/>
              </w:rPr>
              <w:t xml:space="preserve">Total Illustrative PCF</w:t>
            </w:r>
          </w:p>
        </w:tc>
        <w:tc>
          <w:tcPr/>
          <w:p>
            <w:pPr>
              <w:pStyle w:val="Compact"/>
            </w:pPr>
          </w:p>
        </w:tc>
        <w:tc>
          <w:tcPr/>
          <w:p>
            <w:pPr>
              <w:pStyle w:val="Compact"/>
              <w:jc w:val="left"/>
            </w:pPr>
            <w:r>
              <w:rPr>
                <w:bCs/>
                <w:b/>
              </w:rPr>
              <w:t xml:space="preserve">45.928</w:t>
            </w:r>
          </w:p>
        </w:tc>
      </w:tr>
    </w:tbl>
    <w:bookmarkStart w:id="38" w:name="emission-hotspots-and-recommendations"/>
    <w:p>
      <w:pPr>
        <w:pStyle w:val="Heading3"/>
      </w:pPr>
      <w:r>
        <w:t xml:space="preserve">4.1. Emission Hotspots and Recommendations</w:t>
      </w:r>
    </w:p>
    <w:p>
      <w:pPr>
        <w:pStyle w:val="FirstParagraph"/>
      </w:pPr>
      <w:r>
        <w:t xml:space="preserve">Based on the illustrative analysis, the primary emission hotspot for ovhfhkxrre is the</w:t>
      </w:r>
      <w:r>
        <w:t xml:space="preserve"> </w:t>
      </w:r>
      <w:r>
        <w:rPr>
          <w:bCs/>
          <w:b/>
        </w:rPr>
        <w:t xml:space="preserve">Use Phase (40.00 kg CO2e)</w:t>
      </w:r>
      <w:r>
        <w:t xml:space="preserve">, largely driven by the product\'s energy consumption over its lifespan. Materials (3.80 kg CO2e) and production electricity (3.48 kg CO2e) are also significant contributors, while End-of-Life shows a potential for carbon avoidance through recycling.</w:t>
      </w:r>
    </w:p>
    <w:bookmarkStart w:id="37" w:name="recommendations-for-hhdifvwvdq"/>
    <w:p>
      <w:pPr>
        <w:pStyle w:val="Heading4"/>
      </w:pPr>
      <w:r>
        <w:t xml:space="preserve">Recommendations for hhdifvwvdq:</w:t>
      </w:r>
    </w:p>
    <w:p>
      <w:pPr>
        <w:numPr>
          <w:ilvl w:val="0"/>
          <w:numId w:val="1009"/>
        </w:numPr>
        <w:pStyle w:val="Compact"/>
      </w:pPr>
      <w:r>
        <w:rPr>
          <w:bCs/>
          <w:b/>
        </w:rPr>
        <w:t xml:space="preserve">Use Phase Optimization:</w:t>
      </w:r>
      <w:r>
        <w:t xml:space="preserve"> </w:t>
      </w:r>
      <w:r>
        <w:t xml:space="preserve">Focus on improving the energy efficiency of ovhfhkxrre. This could involve using lower-power components, optimizing software/firmware for reduced energy draw, or promoting the use of renewable energy sources by end-users (e.g., through partnerships or product design for easy integration with smart grids).</w:t>
      </w:r>
    </w:p>
    <w:p>
      <w:pPr>
        <w:numPr>
          <w:ilvl w:val="0"/>
          <w:numId w:val="1009"/>
        </w:numPr>
        <w:pStyle w:val="Compact"/>
      </w:pPr>
      <w:r>
        <w:rPr>
          <w:bCs/>
          <w:b/>
        </w:rPr>
        <w:t xml:space="preserve">Supply Chain Decarbonization (Materials):</w:t>
      </w:r>
      <w:r>
        <w:t xml:space="preserve"> </w:t>
      </w:r>
      <w:r>
        <w:t xml:space="preserve">Engage with suppliers to source lower-carbon materials (e.g., recycled content steel, bio-based plastics, or materials produced with renewable energy). The provided BOM string</w:t>
      </w:r>
      <w:r>
        <w:t xml:space="preserve"> </w:t>
      </w:r>
      <w:r>
        <w:rPr>
          <w:rStyle w:val="VerbatimChar"/>
        </w:rPr>
        <w:t xml:space="preserve">ijvujljs</w:t>
      </w:r>
      <w:r>
        <w:t xml:space="preserve"> </w:t>
      </w:r>
      <w:r>
        <w:t xml:space="preserve">should be transformed into structured data to enable precise material impact calculations and target setting.</w:t>
      </w:r>
    </w:p>
    <w:p>
      <w:pPr>
        <w:numPr>
          <w:ilvl w:val="0"/>
          <w:numId w:val="1009"/>
        </w:numPr>
        <w:pStyle w:val="Compact"/>
      </w:pPr>
      <w:r>
        <w:rPr>
          <w:bCs/>
          <w:b/>
        </w:rPr>
        <w:t xml:space="preserve">Production Efficiency:</w:t>
      </w:r>
      <w:r>
        <w:t xml:space="preserve"> </w:t>
      </w:r>
      <w:r>
        <w:t xml:space="preserve">Continue efforts in increasing renewable energy usage (</w:t>
      </w:r>
      <w:r>
        <w:rPr>
          <w:rStyle w:val="VerbatimChar"/>
        </w:rPr>
        <w:t xml:space="preserve">dlxhxzwhex</w:t>
      </w:r>
      <w:r>
        <w:t xml:space="preserve">) at manufacturing facilities in China. Further optimize energy intensity (</w:t>
      </w:r>
      <w:r>
        <w:rPr>
          <w:rStyle w:val="VerbatimChar"/>
        </w:rPr>
        <w:t xml:space="preserve">husyvulnwy</w:t>
      </w:r>
      <w:r>
        <w:t xml:space="preserve">) through process improvements and energy-efficient machinery.</w:t>
      </w:r>
    </w:p>
    <w:p>
      <w:pPr>
        <w:numPr>
          <w:ilvl w:val="0"/>
          <w:numId w:val="1009"/>
        </w:numPr>
        <w:pStyle w:val="Compact"/>
      </w:pPr>
      <w:r>
        <w:rPr>
          <w:bCs/>
          <w:b/>
        </w:rPr>
        <w:t xml:space="preserve">Logistics Optimization:</w:t>
      </w:r>
      <w:r>
        <w:t xml:space="preserve"> </w:t>
      </w:r>
      <w:r>
        <w:t xml:space="preserve">Explore more efficient transport modes for raw materials (</w:t>
      </w:r>
      <w:r>
        <w:rPr>
          <w:rStyle w:val="VerbatimChar"/>
        </w:rPr>
        <w:t xml:space="preserve">Select Mode</w:t>
      </w:r>
      <w:r>
        <w:t xml:space="preserve"> </w:t>
      </w:r>
      <w:r>
        <w:t xml:space="preserve">over</w:t>
      </w:r>
      <w:r>
        <w:t xml:space="preserve"> </w:t>
      </w:r>
      <w:r>
        <w:rPr>
          <w:rStyle w:val="VerbatimChar"/>
        </w:rPr>
        <w:t xml:space="preserve">ndmptusyvg</w:t>
      </w:r>
      <w:r>
        <w:t xml:space="preserve"> </w:t>
      </w:r>
      <w:r>
        <w:t xml:space="preserve">distance), such as rail or sea freight where feasible, and optimize freight loading and routes.</w:t>
      </w:r>
    </w:p>
    <w:p>
      <w:pPr>
        <w:numPr>
          <w:ilvl w:val="0"/>
          <w:numId w:val="1009"/>
        </w:numPr>
        <w:pStyle w:val="Compact"/>
      </w:pPr>
      <w:r>
        <w:rPr>
          <w:bCs/>
          <w:b/>
        </w:rPr>
        <w:t xml:space="preserve">Circular Economy Integration:</w:t>
      </w:r>
      <w:r>
        <w:t xml:space="preserve"> </w:t>
      </w:r>
      <w:r>
        <w:t xml:space="preserve">Leverage existing circular/take-back programs (</w:t>
      </w:r>
      <w:r>
        <w:rPr>
          <w:rStyle w:val="VerbatimChar"/>
        </w:rPr>
        <w:t xml:space="preserve">usjjumjfeo</w:t>
      </w:r>
      <w:r>
        <w:t xml:space="preserve">) and further enhance the recyclability percentage (</w:t>
      </w:r>
      <w:r>
        <w:rPr>
          <w:rStyle w:val="VerbatimChar"/>
        </w:rPr>
        <w:t xml:space="preserve">kxoxisfuyz</w:t>
      </w:r>
      <w:r>
        <w:t xml:space="preserve">) to maximize avoided emissions at end-of-life. Promote product longevity and repairability.</w:t>
      </w:r>
    </w:p>
    <w:p>
      <w:pPr>
        <w:numPr>
          <w:ilvl w:val="0"/>
          <w:numId w:val="1009"/>
        </w:numPr>
        <w:pStyle w:val="Compact"/>
      </w:pPr>
      <w:r>
        <w:rPr>
          <w:bCs/>
          <w:b/>
        </w:rPr>
        <w:t xml:space="preserve">Data Granularity:</w:t>
      </w:r>
      <w:r>
        <w:t xml:space="preserve"> </w:t>
      </w:r>
      <w:r>
        <w:t xml:space="preserve">Convert all provided parameters (e.g.,</w:t>
      </w:r>
      <w:r>
        <w:t xml:space="preserve"> </w:t>
      </w:r>
      <w:r>
        <w:rPr>
          <w:rStyle w:val="VerbatimChar"/>
        </w:rPr>
        <w:t xml:space="preserve">ijvujljs</w:t>
      </w:r>
      <w:r>
        <w:t xml:space="preserve">,</w:t>
      </w:r>
      <w:r>
        <w:t xml:space="preserve"> </w:t>
      </w:r>
      <w:r>
        <w:rPr>
          <w:rStyle w:val="VerbatimChar"/>
        </w:rPr>
        <w:t xml:space="preserve">ndmptusyvg</w:t>
      </w:r>
      <w:r>
        <w:t xml:space="preserve">,</w:t>
      </w:r>
      <w:r>
        <w:t xml:space="preserve"> </w:t>
      </w:r>
      <w:r>
        <w:rPr>
          <w:rStyle w:val="VerbatimChar"/>
        </w:rPr>
        <w:t xml:space="preserve">dlxhxzwhex</w:t>
      </w:r>
      <w:r>
        <w:t xml:space="preserve">,</w:t>
      </w:r>
      <w:r>
        <w:t xml:space="preserve"> </w:t>
      </w:r>
      <w:r>
        <w:rPr>
          <w:rStyle w:val="VerbatimChar"/>
        </w:rPr>
        <w:t xml:space="preserve">husyvulnwy</w:t>
      </w:r>
      <w:r>
        <w:t xml:space="preserve">,</w:t>
      </w:r>
      <w:r>
        <w:t xml:space="preserve"> </w:t>
      </w:r>
      <w:r>
        <w:rPr>
          <w:rStyle w:val="VerbatimChar"/>
        </w:rPr>
        <w:t xml:space="preserve">pfixxvtfun</w:t>
      </w:r>
      <w:r>
        <w:t xml:space="preserve">,</w:t>
      </w:r>
      <w:r>
        <w:t xml:space="preserve"> </w:t>
      </w:r>
      <w:r>
        <w:rPr>
          <w:rStyle w:val="VerbatimChar"/>
        </w:rPr>
        <w:t xml:space="preserve">snvzjzskrr</w:t>
      </w:r>
      <w:r>
        <w:t xml:space="preserve">,</w:t>
      </w:r>
      <w:r>
        <w:t xml:space="preserve"> </w:t>
      </w:r>
      <w:r>
        <w:rPr>
          <w:rStyle w:val="VerbatimChar"/>
        </w:rPr>
        <w:t xml:space="preserve">kxoxisfuyz</w:t>
      </w:r>
      <w:r>
        <w:t xml:space="preserve">,</w:t>
      </w:r>
      <w:r>
        <w:t xml:space="preserve"> </w:t>
      </w:r>
      <w:r>
        <w:rPr>
          <w:rStyle w:val="VerbatimChar"/>
        </w:rPr>
        <w:t xml:space="preserve">usjjumjfeo</w:t>
      </w:r>
      <w:r>
        <w:t xml:space="preserve">) from descriptive strings into quantifiable numerical data to enable precise and auditable PCF calculations.</w:t>
      </w:r>
    </w:p>
    <w:p>
      <w:r>
        <w:pict>
          <v:rect style="width:0;height:1.5pt" o:hralign="center" o:hrstd="t" o:hr="t"/>
        </w:pict>
      </w:r>
    </w:p>
    <w:bookmarkEnd w:id="37"/>
    <w:bookmarkEnd w:id="38"/>
    <w:bookmarkEnd w:id="39"/>
    <w:bookmarkStart w:id="40" w:name="conclusion"/>
    <w:p>
      <w:pPr>
        <w:pStyle w:val="Heading2"/>
      </w:pPr>
      <w:r>
        <w:t xml:space="preserve">5. Conclusion</w:t>
      </w:r>
    </w:p>
    <w:p>
      <w:pPr>
        <w:pStyle w:val="FirstParagraph"/>
      </w:pPr>
      <w:r>
        <w:t xml:space="preserve">This Product Carbon Footprint analysis provides hhdifvwvdq with a foundational understanding of the environmental impact of its product ovhfhkxrre. By adhering to the GHG Protocol and anticipating 2026 updates, hhdifvwvdq is well-positioned to drive targeted emission reductions. The insights gained highlight the importance of a holistic approach, addressing not only direct operational emissions but also those embedded within the entire value chain, particularly the use phase and material sourcing. Continued commitment to data accuracy, supplier engagement, and sustainable innovation will be critical for hhdifvwvdq to achieve its climate goals.</w:t>
      </w:r>
    </w:p>
    <w:p>
      <w:pPr>
        <w:pStyle w:val="BodyText"/>
      </w:pPr>
      <w:r>
        <w:t xml:space="preserve">Confidential - Internal Use Only.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2026-05-30T16:44:31Z</dcterms:created>
  <dcterms:modified xsi:type="dcterms:W3CDTF">2026-05-30T16:44:31Z</dcterms:modified>
</cp:coreProperties>
</file>

<file path=docProps/custom.xml><?xml version="1.0" encoding="utf-8"?>
<Properties xmlns="http://schemas.openxmlformats.org/officeDocument/2006/custom-properties" xmlns:vt="http://schemas.openxmlformats.org/officeDocument/2006/docPropsVTypes"/>
</file>