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Informe</w:t>
      </w:r>
      <w:r>
        <w:t xml:space="preserve"> </w:t>
      </w:r>
      <w:r>
        <w:t xml:space="preserve">de</w:t>
      </w:r>
      <w:r>
        <w:t xml:space="preserve"> </w:t>
      </w:r>
      <w:r>
        <w:t xml:space="preserve">Huella</w:t>
      </w:r>
      <w:r>
        <w:t xml:space="preserve"> </w:t>
      </w:r>
      <w:r>
        <w:t xml:space="preserve">de</w:t>
      </w:r>
      <w:r>
        <w:t xml:space="preserve"> </w:t>
      </w:r>
      <w:r>
        <w:t xml:space="preserve">Carbono</w:t>
      </w:r>
      <w:r>
        <w:t xml:space="preserve"> </w:t>
      </w:r>
      <w:r>
        <w:t xml:space="preserve">del</w:t>
      </w:r>
      <w:r>
        <w:t xml:space="preserve"> </w:t>
      </w:r>
      <w:r>
        <w:t xml:space="preserve">Producto</w:t>
      </w:r>
      <w:r>
        <w:t xml:space="preserve"> </w:t>
      </w:r>
      <w:r>
        <w:t xml:space="preserve">(PCF)</w:t>
      </w:r>
      <w:r>
        <w:t xml:space="preserve"> </w:t>
      </w:r>
      <w:r>
        <w:t xml:space="preserve">para</w:t>
      </w:r>
      <w:r>
        <w:t xml:space="preserve"> </w:t>
      </w:r>
      <w:r>
        <w:t xml:space="preserve">Coche</w:t>
      </w:r>
      <w:r>
        <w:t xml:space="preserve"> </w:t>
      </w:r>
      <w:r>
        <w:t xml:space="preserve">Eléctrico</w:t>
      </w:r>
    </w:p>
    <w:p>
      <w:pPr>
        <w:pStyle w:val="FirstParagraph"/>
      </w:pPr>
      <w:r>
        <w:t xml:space="preserve">carboncalcpcf.com</w:t>
      </w:r>
    </w:p>
    <w:bookmarkStart w:id="24" w:name="X0f696cbfa329271f6f7c1b9462841139049be20"/>
    <w:p>
      <w:pPr>
        <w:pStyle w:val="Heading1"/>
      </w:pPr>
      <w:r>
        <w:t xml:space="preserve">Informe de Análisis de Huella de Carbono del Producto (PCF)</w:t>
      </w:r>
    </w:p>
    <w:bookmarkStart w:id="23" w:name="coche-eléctrico"/>
    <w:p>
      <w:pPr>
        <w:pStyle w:val="Heading2"/>
      </w:pPr>
      <w:r>
        <w:t xml:space="preserve">Coche Eléctrico</w:t>
      </w:r>
    </w:p>
    <w:p>
      <w:pPr>
        <w:pStyle w:val="FirstParagraph"/>
      </w:pPr>
      <w:r>
        <w:br/>
      </w:r>
    </w:p>
    <w:bookmarkStart w:id="20" w:name="preparado-por"/>
    <w:p>
      <w:pPr>
        <w:pStyle w:val="Heading3"/>
      </w:pPr>
      <w:r>
        <w:t xml:space="preserve">Preparado por:</w:t>
      </w:r>
    </w:p>
    <w:bookmarkEnd w:id="20"/>
    <w:bookmarkStart w:id="22" w:name="consultor-principal-de-sostenibilidad"/>
    <w:p>
      <w:pPr>
        <w:pStyle w:val="Heading3"/>
      </w:pPr>
      <w:r>
        <w:t xml:space="preserve">Consultor Principal de Sostenibilidad</w:t>
      </w:r>
    </w:p>
    <w:bookmarkStart w:id="21" w:name="especializado-en-el-protocolo-ghg"/>
    <w:p>
      <w:pPr>
        <w:pStyle w:val="Heading4"/>
      </w:pPr>
      <w:r>
        <w:t xml:space="preserve">Especializado en el Protocolo GHG</w:t>
      </w:r>
    </w:p>
    <w:p>
      <w:pPr>
        <w:pStyle w:val="FirstParagraph"/>
      </w:pPr>
      <w:r>
        <w:br/>
      </w:r>
    </w:p>
    <w:p>
      <w:pPr>
        <w:pStyle w:val="BodyText"/>
      </w:pPr>
      <w:r>
        <w:rPr>
          <w:bCs/>
          <w:b/>
        </w:rPr>
        <w:t xml:space="preserve">Estándar de Contabilidad: Protocolo GHG</w:t>
      </w:r>
    </w:p>
    <w:p>
      <w:pPr>
        <w:pStyle w:val="BodyText"/>
      </w:pPr>
      <w:r>
        <w:t xml:space="preserve">Descargo de responsabilidad: Este informe se ha generado basándose en datos disponibles públicamente, estándares de la industria y las directrices del Protocolo GHG. Los resultados deben interpretarse como una estimación de alto nivel y pueden requerir datos primarios más específicos para una precisión detallada.</w:t>
      </w:r>
    </w:p>
    <w:bookmarkEnd w:id="21"/>
    <w:bookmarkEnd w:id="22"/>
    <w:bookmarkEnd w:id="23"/>
    <w:bookmarkEnd w:id="24"/>
    <w:p>
      <w:pPr>
        <w:pStyle w:val="BodyText"/>
      </w:pPr>
      <w:r>
        <w:t xml:space="preserve">Informe PCF para Coche Eléctrico | Fecha de Generación: 9 de septiembre de 2026</w:t>
      </w:r>
    </w:p>
    <w:bookmarkStart w:id="25" w:name="resumen-ejecutivo"/>
    <w:p>
      <w:pPr>
        <w:pStyle w:val="Heading1"/>
      </w:pPr>
      <w:r>
        <w:t xml:space="preserve">Resumen Ejecutivo</w:t>
      </w:r>
    </w:p>
    <w:p>
      <w:pPr>
        <w:pStyle w:val="FirstParagraph"/>
      </w:pPr>
      <w:r>
        <w:t xml:space="preserve">El presente informe detalla un análisis de la Huella de Carbono del Producto (PCF) para un coche eléctrico, siguiendo rigurosamente las directrices del Protocolo GHG y el Estándar de Tierras y Remociones (LSR) de 2026. Este análisis se centra en el límite "de la fábrica" (factory_gate), cubriendo las emisiones generadas desde la extracción de materias primas hasta la salida del vehículo ensamblado de la planta de producción. Con un país de producción final en EE. UU. y una cadena de suministro global con énfasis en América del Sur, el estudio aborda los Alcances 1, 2 y 3, buscando una cobertura superior al 95% para las emisiones de Alcance 3. El objetivo es identificar los principales puntos críticos de emisión y ofrecer una base sólida para estrategias de reducción de carbono.</w:t>
      </w:r>
    </w:p>
    <w:p>
      <w:r>
        <w:pict>
          <v:rect style="width:0;height:1.5pt" o:hralign="center" o:hrstd="t" o:hr="t"/>
        </w:pict>
      </w:r>
    </w:p>
    <w:bookmarkEnd w:id="25"/>
    <w:bookmarkStart w:id="26" w:name="definición-del-alcance"/>
    <w:p>
      <w:pPr>
        <w:pStyle w:val="Heading1"/>
      </w:pPr>
      <w:r>
        <w:t xml:space="preserve">1. Definición del Alcance</w:t>
      </w:r>
    </w:p>
    <w:p>
      <w:pPr>
        <w:pStyle w:val="FirstParagraph"/>
      </w:pPr>
      <w:r>
        <w:t xml:space="preserve">La primera etapa de cualquier análisis de PCF, según el Protocolo GHG, implica la definición clara de los parámetros clave que guiarán el estudio.</w:t>
      </w:r>
    </w:p>
    <w:p>
      <w:pPr>
        <w:numPr>
          <w:ilvl w:val="0"/>
          <w:numId w:val="1001"/>
        </w:numPr>
        <w:pStyle w:val="Compact"/>
      </w:pPr>
      <w:r>
        <w:rPr>
          <w:bCs/>
          <w:b/>
        </w:rPr>
        <w:t xml:space="preserve">Unidad Funcional:</w:t>
      </w:r>
      <w:r>
        <w:t xml:space="preserve"> </w:t>
      </w:r>
      <w:r>
        <w:t xml:space="preserve">1.0 unidad de coche eléctrico. Esta unidad representa un vehículo totalmente funcional listo para su distribución.</w:t>
      </w:r>
    </w:p>
    <w:p>
      <w:pPr>
        <w:numPr>
          <w:ilvl w:val="0"/>
          <w:numId w:val="1001"/>
        </w:numPr>
        <w:pStyle w:val="Compact"/>
      </w:pPr>
      <w:r>
        <w:rPr>
          <w:bCs/>
          <w:b/>
        </w:rPr>
        <w:t xml:space="preserve">Límites del Sistema:</w:t>
      </w:r>
      <w:r>
        <w:t xml:space="preserve"> </w:t>
      </w:r>
      <w:r>
        <w:t xml:space="preserve">El análisis se adhiere a un enfoque "de la cuna a la puerta de la fábrica" (factory_gate). Esto incluye la extracción y procesamiento de materias primas, la fabricación de componentes, el transporte a la planta de ensamblaje final y los procesos de ensamblaje dentro de la fábrica. Se excluyen las fases de uso, mantenimiento, fin de vida y reciclaje.</w:t>
      </w:r>
    </w:p>
    <w:p>
      <w:pPr>
        <w:numPr>
          <w:ilvl w:val="0"/>
          <w:numId w:val="1001"/>
        </w:numPr>
        <w:pStyle w:val="Compact"/>
      </w:pPr>
      <w:r>
        <w:rPr>
          <w:bCs/>
          <w:b/>
        </w:rPr>
        <w:t xml:space="preserve">Alcance Geográfico:</w:t>
      </w:r>
    </w:p>
    <w:p>
      <w:pPr>
        <w:numPr>
          <w:ilvl w:val="1"/>
          <w:numId w:val="1002"/>
        </w:numPr>
        <w:pStyle w:val="Compact"/>
      </w:pPr>
      <w:r>
        <w:rPr>
          <w:bCs/>
          <w:b/>
        </w:rPr>
        <w:t xml:space="preserve">País de Producción Final:</w:t>
      </w:r>
      <w:r>
        <w:t xml:space="preserve"> </w:t>
      </w:r>
      <w:r>
        <w:t xml:space="preserve">Estados Unidos (EE. UU.).</w:t>
      </w:r>
    </w:p>
    <w:p>
      <w:pPr>
        <w:numPr>
          <w:ilvl w:val="1"/>
          <w:numId w:val="1002"/>
        </w:numPr>
        <w:pStyle w:val="Compact"/>
      </w:pPr>
      <w:r>
        <w:rPr>
          <w:bCs/>
          <w:b/>
        </w:rPr>
        <w:t xml:space="preserve">Enfoque de la Cadena de Suministro:</w:t>
      </w:r>
      <w:r>
        <w:t xml:space="preserve"> </w:t>
      </w:r>
      <w:r>
        <w:t xml:space="preserve">América del Sur (especialmente para ciertos materiales críticos como el litio) y la cadena de suministro global para otros componentes y materiales.</w:t>
      </w:r>
    </w:p>
    <w:p>
      <w:pPr>
        <w:numPr>
          <w:ilvl w:val="0"/>
          <w:numId w:val="1001"/>
        </w:numPr>
        <w:pStyle w:val="Compact"/>
      </w:pPr>
      <w:r>
        <w:rPr>
          <w:bCs/>
          <w:b/>
        </w:rPr>
        <w:t xml:space="preserve">Asignación:</w:t>
      </w:r>
      <w:r>
        <w:t xml:space="preserve"> </w:t>
      </w:r>
      <w:r>
        <w:t xml:space="preserve">Se utiliza el método de asignación de masa para los subproductos y residuos, asegurando que las cargas ambientales se distribuyan proporcionalmente a la masa de los flujos de salida relevantes. Para el reciclaje, se asume un enfoque de "corte" o de fin de vida útil, donde los beneficios del material reciclado se atribuyen al sistema que utiliza el material reciclado, no al sistema que lo produce como residuo.</w:t>
      </w:r>
    </w:p>
    <w:p>
      <w:pPr>
        <w:numPr>
          <w:ilvl w:val="0"/>
          <w:numId w:val="1001"/>
        </w:numPr>
        <w:pStyle w:val="Compact"/>
      </w:pPr>
      <w:r>
        <w:rPr>
          <w:bCs/>
          <w:b/>
        </w:rPr>
        <w:t xml:space="preserve">Estándar de Contabilidad:</w:t>
      </w:r>
      <w:r>
        <w:t xml:space="preserve"> </w:t>
      </w:r>
      <w:r>
        <w:t xml:space="preserve">Protocolo GHG (GHG Protocol).</w:t>
      </w:r>
    </w:p>
    <w:p>
      <w:r>
        <w:pict>
          <v:rect style="width:0;height:1.5pt" o:hralign="center" o:hrstd="t" o:hr="t"/>
        </w:pict>
      </w:r>
    </w:p>
    <w:bookmarkEnd w:id="26"/>
    <w:bookmarkStart w:id="29" w:name="Xb863426a2008d223f6ad2446eafc510c4c88e85"/>
    <w:p>
      <w:pPr>
        <w:pStyle w:val="Heading1"/>
      </w:pPr>
      <w:r>
        <w:t xml:space="preserve">2. Mapeo del Ciclo de Vida (Etapas del Inventario LCI)</w:t>
      </w:r>
    </w:p>
    <w:p>
      <w:pPr>
        <w:pStyle w:val="FirstParagraph"/>
      </w:pPr>
      <w:r>
        <w:t xml:space="preserve">El mapeo del ciclo de vida de un coche eléctrico hasta la puerta de la fábrica implica una comprensión profunda de todos los materiales y procesos energéticos necesarios. A continuación, se detalla un desglose de los componentes principales y las entradas de energía.</w:t>
      </w:r>
    </w:p>
    <w:bookmarkStart w:id="27" w:name="X3bccbc2179fce69b80597089c4c983e2c6ae507"/>
    <w:p>
      <w:pPr>
        <w:pStyle w:val="Heading3"/>
      </w:pPr>
      <w:r>
        <w:t xml:space="preserve">Materiales Clave y Estimación de Masa por Coche Eléctrico (Ilustrativo)</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Categoría de Material</w:t>
            </w:r>
          </w:p>
        </w:tc>
        <w:tc>
          <w:tcPr/>
          <w:p>
            <w:pPr>
              <w:pStyle w:val="Compact"/>
              <w:jc w:val="left"/>
            </w:pPr>
            <w:r>
              <w:t xml:space="preserve">Material Específico</w:t>
            </w:r>
          </w:p>
        </w:tc>
        <w:tc>
          <w:tcPr/>
          <w:p>
            <w:pPr>
              <w:pStyle w:val="Compact"/>
              <w:jc w:val="left"/>
            </w:pPr>
            <w:r>
              <w:t xml:space="preserve">Masa Aproximada (kg)</w:t>
            </w:r>
          </w:p>
        </w:tc>
        <w:tc>
          <w:tcPr/>
          <w:p>
            <w:pPr>
              <w:pStyle w:val="Compact"/>
              <w:jc w:val="left"/>
            </w:pPr>
            <w:r>
              <w:t xml:space="preserve">Origen Principal (Ejemplo)</w:t>
            </w:r>
          </w:p>
        </w:tc>
      </w:tr>
      <w:tr>
        <w:tc>
          <w:tcPr/>
          <w:p>
            <w:pPr>
              <w:pStyle w:val="Compact"/>
              <w:jc w:val="left"/>
            </w:pPr>
            <w:r>
              <w:rPr>
                <w:bCs/>
                <w:b/>
              </w:rPr>
              <w:t xml:space="preserve">Batería (HV)</w:t>
            </w:r>
          </w:p>
        </w:tc>
        <w:tc>
          <w:tcPr/>
          <w:p>
            <w:pPr>
              <w:pStyle w:val="Compact"/>
              <w:jc w:val="left"/>
            </w:pPr>
            <w:r>
              <w:t xml:space="preserve">Litio (en sales/óxidos)</w:t>
            </w:r>
          </w:p>
        </w:tc>
        <w:tc>
          <w:tcPr/>
          <w:p>
            <w:pPr>
              <w:pStyle w:val="Compact"/>
              <w:jc w:val="left"/>
            </w:pPr>
            <w:r>
              <w:t xml:space="preserve">10-15</w:t>
            </w:r>
          </w:p>
        </w:tc>
        <w:tc>
          <w:tcPr/>
          <w:p>
            <w:pPr>
              <w:pStyle w:val="Compact"/>
              <w:jc w:val="left"/>
            </w:pPr>
            <w:r>
              <w:t xml:space="preserve">América del Sur (e.g., Chile, Argentina)</w:t>
            </w:r>
          </w:p>
        </w:tc>
      </w:tr>
      <w:tr>
        <w:tc>
          <w:tcPr/>
          <w:p>
            <w:pPr>
              <w:pStyle w:val="Compact"/>
            </w:pPr>
          </w:p>
        </w:tc>
        <w:tc>
          <w:tcPr/>
          <w:p>
            <w:pPr>
              <w:pStyle w:val="Compact"/>
              <w:jc w:val="left"/>
            </w:pPr>
            <w:r>
              <w:t xml:space="preserve">Níquel</w:t>
            </w:r>
          </w:p>
        </w:tc>
        <w:tc>
          <w:tcPr/>
          <w:p>
            <w:pPr>
              <w:pStyle w:val="Compact"/>
              <w:jc w:val="left"/>
            </w:pPr>
            <w:r>
              <w:t xml:space="preserve">40-60</w:t>
            </w:r>
          </w:p>
        </w:tc>
        <w:tc>
          <w:tcPr/>
          <w:p>
            <w:pPr>
              <w:pStyle w:val="Compact"/>
              <w:jc w:val="left"/>
            </w:pPr>
            <w:r>
              <w:t xml:space="preserve">Global</w:t>
            </w:r>
          </w:p>
        </w:tc>
      </w:tr>
      <w:tr>
        <w:tc>
          <w:tcPr/>
          <w:p>
            <w:pPr>
              <w:pStyle w:val="Compact"/>
            </w:pPr>
          </w:p>
        </w:tc>
        <w:tc>
          <w:tcPr/>
          <w:p>
            <w:pPr>
              <w:pStyle w:val="Compact"/>
              <w:jc w:val="left"/>
            </w:pPr>
            <w:r>
              <w:t xml:space="preserve">Cobalto</w:t>
            </w:r>
          </w:p>
        </w:tc>
        <w:tc>
          <w:tcPr/>
          <w:p>
            <w:pPr>
              <w:pStyle w:val="Compact"/>
              <w:jc w:val="left"/>
            </w:pPr>
            <w:r>
              <w:t xml:space="preserve">10-20</w:t>
            </w:r>
          </w:p>
        </w:tc>
        <w:tc>
          <w:tcPr/>
          <w:p>
            <w:pPr>
              <w:pStyle w:val="Compact"/>
              <w:jc w:val="left"/>
            </w:pPr>
            <w:r>
              <w:t xml:space="preserve">Global</w:t>
            </w:r>
          </w:p>
        </w:tc>
      </w:tr>
      <w:tr>
        <w:tc>
          <w:tcPr/>
          <w:p>
            <w:pPr>
              <w:pStyle w:val="Compact"/>
            </w:pPr>
          </w:p>
        </w:tc>
        <w:tc>
          <w:tcPr/>
          <w:p>
            <w:pPr>
              <w:pStyle w:val="Compact"/>
              <w:jc w:val="left"/>
            </w:pPr>
            <w:r>
              <w:t xml:space="preserve">Grafito</w:t>
            </w:r>
          </w:p>
        </w:tc>
        <w:tc>
          <w:tcPr/>
          <w:p>
            <w:pPr>
              <w:pStyle w:val="Compact"/>
              <w:jc w:val="left"/>
            </w:pPr>
            <w:r>
              <w:t xml:space="preserve">50-70</w:t>
            </w:r>
          </w:p>
        </w:tc>
        <w:tc>
          <w:tcPr/>
          <w:p>
            <w:pPr>
              <w:pStyle w:val="Compact"/>
              <w:jc w:val="left"/>
            </w:pPr>
            <w:r>
              <w:t xml:space="preserve">Global</w:t>
            </w:r>
          </w:p>
        </w:tc>
      </w:tr>
      <w:tr>
        <w:tc>
          <w:tcPr/>
          <w:p>
            <w:pPr>
              <w:pStyle w:val="Compact"/>
            </w:pPr>
          </w:p>
        </w:tc>
        <w:tc>
          <w:tcPr/>
          <w:p>
            <w:pPr>
              <w:pStyle w:val="Compact"/>
              <w:jc w:val="left"/>
            </w:pPr>
            <w:r>
              <w:t xml:space="preserve">Aluminio (carcasa, celdas)</w:t>
            </w:r>
          </w:p>
        </w:tc>
        <w:tc>
          <w:tcPr/>
          <w:p>
            <w:pPr>
              <w:pStyle w:val="Compact"/>
              <w:jc w:val="left"/>
            </w:pPr>
            <w:r>
              <w:t xml:space="preserve">50-70</w:t>
            </w:r>
          </w:p>
        </w:tc>
        <w:tc>
          <w:tcPr/>
          <w:p>
            <w:pPr>
              <w:pStyle w:val="Compact"/>
              <w:jc w:val="left"/>
            </w:pPr>
            <w:r>
              <w:t xml:space="preserve">Global</w:t>
            </w:r>
          </w:p>
        </w:tc>
      </w:tr>
      <w:tr>
        <w:tc>
          <w:tcPr/>
          <w:p>
            <w:pPr>
              <w:pStyle w:val="Compact"/>
              <w:jc w:val="left"/>
            </w:pPr>
            <w:r>
              <w:rPr>
                <w:bCs/>
                <w:b/>
              </w:rPr>
              <w:t xml:space="preserve">Estructura y Carrocería</w:t>
            </w:r>
          </w:p>
        </w:tc>
        <w:tc>
          <w:tcPr/>
          <w:p>
            <w:pPr>
              <w:pStyle w:val="Compact"/>
              <w:jc w:val="left"/>
            </w:pPr>
            <w:r>
              <w:t xml:space="preserve">Acero (chasis, carrocería)</w:t>
            </w:r>
          </w:p>
        </w:tc>
        <w:tc>
          <w:tcPr/>
          <w:p>
            <w:pPr>
              <w:pStyle w:val="Compact"/>
              <w:jc w:val="left"/>
            </w:pPr>
            <w:r>
              <w:t xml:space="preserve">600-900</w:t>
            </w:r>
          </w:p>
        </w:tc>
        <w:tc>
          <w:tcPr/>
          <w:p>
            <w:pPr>
              <w:pStyle w:val="Compact"/>
              <w:jc w:val="left"/>
            </w:pPr>
            <w:r>
              <w:t xml:space="preserve">Global</w:t>
            </w:r>
          </w:p>
        </w:tc>
      </w:tr>
      <w:tr>
        <w:tc>
          <w:tcPr/>
          <w:p>
            <w:pPr>
              <w:pStyle w:val="Compact"/>
            </w:pPr>
          </w:p>
        </w:tc>
        <w:tc>
          <w:tcPr/>
          <w:p>
            <w:pPr>
              <w:pStyle w:val="Compact"/>
              <w:jc w:val="left"/>
            </w:pPr>
            <w:r>
              <w:t xml:space="preserve">Aluminio (paneles, componentes de chasis)</w:t>
            </w:r>
          </w:p>
        </w:tc>
        <w:tc>
          <w:tcPr/>
          <w:p>
            <w:pPr>
              <w:pStyle w:val="Compact"/>
              <w:jc w:val="left"/>
            </w:pPr>
            <w:r>
              <w:t xml:space="preserve">150-250</w:t>
            </w:r>
          </w:p>
        </w:tc>
        <w:tc>
          <w:tcPr/>
          <w:p>
            <w:pPr>
              <w:pStyle w:val="Compact"/>
              <w:jc w:val="left"/>
            </w:pPr>
            <w:r>
              <w:t xml:space="preserve">Global</w:t>
            </w:r>
          </w:p>
        </w:tc>
      </w:tr>
      <w:tr>
        <w:tc>
          <w:tcPr/>
          <w:p>
            <w:pPr>
              <w:pStyle w:val="Compact"/>
              <w:jc w:val="left"/>
            </w:pPr>
            <w:r>
              <w:rPr>
                <w:bCs/>
                <w:b/>
              </w:rPr>
              <w:t xml:space="preserve">Tren Motriz Eléctrico</w:t>
            </w:r>
          </w:p>
        </w:tc>
        <w:tc>
          <w:tcPr/>
          <w:p>
            <w:pPr>
              <w:pStyle w:val="Compact"/>
              <w:jc w:val="left"/>
            </w:pPr>
            <w:r>
              <w:t xml:space="preserve">Cobre (motores, cableado)</w:t>
            </w:r>
          </w:p>
        </w:tc>
        <w:tc>
          <w:tcPr/>
          <w:p>
            <w:pPr>
              <w:pStyle w:val="Compact"/>
              <w:jc w:val="left"/>
            </w:pPr>
            <w:r>
              <w:t xml:space="preserve">60-80</w:t>
            </w:r>
          </w:p>
        </w:tc>
        <w:tc>
          <w:tcPr/>
          <w:p>
            <w:pPr>
              <w:pStyle w:val="Compact"/>
              <w:jc w:val="left"/>
            </w:pPr>
            <w:r>
              <w:t xml:space="preserve">Global</w:t>
            </w:r>
          </w:p>
        </w:tc>
      </w:tr>
      <w:tr>
        <w:tc>
          <w:tcPr/>
          <w:p>
            <w:pPr>
              <w:pStyle w:val="Compact"/>
            </w:pPr>
          </w:p>
        </w:tc>
        <w:tc>
          <w:tcPr/>
          <w:p>
            <w:pPr>
              <w:pStyle w:val="Compact"/>
              <w:jc w:val="left"/>
            </w:pPr>
            <w:r>
              <w:t xml:space="preserve">Acero (rotor, carcasa del motor)</w:t>
            </w:r>
          </w:p>
        </w:tc>
        <w:tc>
          <w:tcPr/>
          <w:p>
            <w:pPr>
              <w:pStyle w:val="Compact"/>
              <w:jc w:val="left"/>
            </w:pPr>
            <w:r>
              <w:t xml:space="preserve">50-70</w:t>
            </w:r>
          </w:p>
        </w:tc>
        <w:tc>
          <w:tcPr/>
          <w:p>
            <w:pPr>
              <w:pStyle w:val="Compact"/>
              <w:jc w:val="left"/>
            </w:pPr>
            <w:r>
              <w:t xml:space="preserve">Global</w:t>
            </w:r>
          </w:p>
        </w:tc>
      </w:tr>
      <w:tr>
        <w:tc>
          <w:tcPr/>
          <w:p>
            <w:pPr>
              <w:pStyle w:val="Compact"/>
            </w:pPr>
          </w:p>
        </w:tc>
        <w:tc>
          <w:tcPr/>
          <w:p>
            <w:pPr>
              <w:pStyle w:val="Compact"/>
              <w:jc w:val="left"/>
            </w:pPr>
            <w:r>
              <w:t xml:space="preserve">Silicio (electrónica de potencia)</w:t>
            </w:r>
          </w:p>
        </w:tc>
        <w:tc>
          <w:tcPr/>
          <w:p>
            <w:pPr>
              <w:pStyle w:val="Compact"/>
              <w:jc w:val="left"/>
            </w:pPr>
            <w:r>
              <w:t xml:space="preserve">2-5</w:t>
            </w:r>
          </w:p>
        </w:tc>
        <w:tc>
          <w:tcPr/>
          <w:p>
            <w:pPr>
              <w:pStyle w:val="Compact"/>
              <w:jc w:val="left"/>
            </w:pPr>
            <w:r>
              <w:t xml:space="preserve">Global</w:t>
            </w:r>
          </w:p>
        </w:tc>
      </w:tr>
      <w:tr>
        <w:tc>
          <w:tcPr/>
          <w:p>
            <w:pPr>
              <w:pStyle w:val="Compact"/>
              <w:jc w:val="left"/>
            </w:pPr>
            <w:r>
              <w:rPr>
                <w:bCs/>
                <w:b/>
              </w:rPr>
              <w:t xml:space="preserve">Interior y Plásticos</w:t>
            </w:r>
          </w:p>
        </w:tc>
        <w:tc>
          <w:tcPr/>
          <w:p>
            <w:pPr>
              <w:pStyle w:val="Compact"/>
              <w:jc w:val="left"/>
            </w:pPr>
            <w:r>
              <w:t xml:space="preserve">Plásticos (polipropileno, ABS, etc.)</w:t>
            </w:r>
          </w:p>
        </w:tc>
        <w:tc>
          <w:tcPr/>
          <w:p>
            <w:pPr>
              <w:pStyle w:val="Compact"/>
              <w:jc w:val="left"/>
            </w:pPr>
            <w:r>
              <w:t xml:space="preserve">100-150</w:t>
            </w:r>
          </w:p>
        </w:tc>
        <w:tc>
          <w:tcPr/>
          <w:p>
            <w:pPr>
              <w:pStyle w:val="Compact"/>
              <w:jc w:val="left"/>
            </w:pPr>
            <w:r>
              <w:t xml:space="preserve">Global</w:t>
            </w:r>
          </w:p>
        </w:tc>
      </w:tr>
      <w:tr>
        <w:tc>
          <w:tcPr/>
          <w:p>
            <w:pPr>
              <w:pStyle w:val="Compact"/>
            </w:pPr>
          </w:p>
        </w:tc>
        <w:tc>
          <w:tcPr/>
          <w:p>
            <w:pPr>
              <w:pStyle w:val="Compact"/>
              <w:jc w:val="left"/>
            </w:pPr>
            <w:r>
              <w:t xml:space="preserve">Espumas y textiles</w:t>
            </w:r>
          </w:p>
        </w:tc>
        <w:tc>
          <w:tcPr/>
          <w:p>
            <w:pPr>
              <w:pStyle w:val="Compact"/>
              <w:jc w:val="left"/>
            </w:pPr>
            <w:r>
              <w:t xml:space="preserve">20-40</w:t>
            </w:r>
          </w:p>
        </w:tc>
        <w:tc>
          <w:tcPr/>
          <w:p>
            <w:pPr>
              <w:pStyle w:val="Compact"/>
              <w:jc w:val="left"/>
            </w:pPr>
            <w:r>
              <w:t xml:space="preserve">Global</w:t>
            </w:r>
          </w:p>
        </w:tc>
      </w:tr>
      <w:tr>
        <w:tc>
          <w:tcPr/>
          <w:p>
            <w:pPr>
              <w:pStyle w:val="Compact"/>
              <w:jc w:val="left"/>
            </w:pPr>
            <w:r>
              <w:rPr>
                <w:bCs/>
                <w:b/>
              </w:rPr>
              <w:t xml:space="preserve">Cristales</w:t>
            </w:r>
          </w:p>
        </w:tc>
        <w:tc>
          <w:tcPr/>
          <w:p>
            <w:pPr>
              <w:pStyle w:val="Compact"/>
              <w:jc w:val="left"/>
            </w:pPr>
            <w:r>
              <w:t xml:space="preserve">Vidrio</w:t>
            </w:r>
          </w:p>
        </w:tc>
        <w:tc>
          <w:tcPr/>
          <w:p>
            <w:pPr>
              <w:pStyle w:val="Compact"/>
              <w:jc w:val="left"/>
            </w:pPr>
            <w:r>
              <w:t xml:space="preserve">30-50</w:t>
            </w:r>
          </w:p>
        </w:tc>
        <w:tc>
          <w:tcPr/>
          <w:p>
            <w:pPr>
              <w:pStyle w:val="Compact"/>
              <w:jc w:val="left"/>
            </w:pPr>
            <w:r>
              <w:t xml:space="preserve">Global</w:t>
            </w:r>
          </w:p>
        </w:tc>
      </w:tr>
      <w:tr>
        <w:tc>
          <w:tcPr/>
          <w:p>
            <w:pPr>
              <w:pStyle w:val="Compact"/>
              <w:jc w:val="left"/>
            </w:pPr>
            <w:r>
              <w:rPr>
                <w:bCs/>
                <w:b/>
              </w:rPr>
              <w:t xml:space="preserve">Neumáticos</w:t>
            </w:r>
          </w:p>
        </w:tc>
        <w:tc>
          <w:tcPr/>
          <w:p>
            <w:pPr>
              <w:pStyle w:val="Compact"/>
              <w:jc w:val="left"/>
            </w:pPr>
            <w:r>
              <w:t xml:space="preserve">Caucho (natural y sintético)</w:t>
            </w:r>
          </w:p>
        </w:tc>
        <w:tc>
          <w:tcPr/>
          <w:p>
            <w:pPr>
              <w:pStyle w:val="Compact"/>
              <w:jc w:val="left"/>
            </w:pPr>
            <w:r>
              <w:t xml:space="preserve">30-40</w:t>
            </w:r>
          </w:p>
        </w:tc>
        <w:tc>
          <w:tcPr/>
          <w:p>
            <w:pPr>
              <w:pStyle w:val="Compact"/>
              <w:jc w:val="left"/>
            </w:pPr>
            <w:r>
              <w:t xml:space="preserve">Global</w:t>
            </w:r>
          </w:p>
        </w:tc>
      </w:tr>
      <w:tr>
        <w:tc>
          <w:tcPr>
            <w:gridSpan w:val="4"/>
          </w:tcPr>
          <w:p>
            <w:pPr>
              <w:pStyle w:val="Compact"/>
              <w:jc w:val="left"/>
            </w:pPr>
            <w:r>
              <w:rPr>
                <w:iCs/>
                <w:i/>
              </w:rPr>
              <w:t xml:space="preserve">Nota: Estas masas son ilustrativas y pueden variar significativamente según el modelo del coche eléctrico.</w:t>
            </w:r>
          </w:p>
        </w:tc>
      </w:tr>
    </w:tbl>
    <w:bookmarkEnd w:id="27"/>
    <w:bookmarkStart w:id="28" w:name="X4e6d48a90eb48a312f3393c73eb57cb2294e30b"/>
    <w:p>
      <w:pPr>
        <w:pStyle w:val="Heading3"/>
      </w:pPr>
      <w:r>
        <w:t xml:space="preserve">Entradas de Energía para Fabricación y Procesamiento</w:t>
      </w:r>
    </w:p>
    <w:p>
      <w:pPr>
        <w:pStyle w:val="FirstParagraph"/>
      </w:pPr>
      <w:r>
        <w:t xml:space="preserve">Las principales entradas de energía en la fabricación de un coche eléctrico (hasta la puerta de la fábrica) incluyen:</w:t>
      </w:r>
    </w:p>
    <w:p>
      <w:pPr>
        <w:numPr>
          <w:ilvl w:val="0"/>
          <w:numId w:val="1003"/>
        </w:numPr>
        <w:pStyle w:val="Compact"/>
      </w:pPr>
      <w:r>
        <w:rPr>
          <w:bCs/>
          <w:b/>
        </w:rPr>
        <w:t xml:space="preserve">Electricidad:</w:t>
      </w:r>
      <w:r>
        <w:t xml:space="preserve"> </w:t>
      </w:r>
      <w:r>
        <w:t xml:space="preserve">Consumida en todas las etapas, desde la minería y el procesamiento de materias primas (e.g., refinado de metales, producción de químicos para baterías) hasta el ensamblaje final del vehículo en EE. UU. La red eléctrica de EE. UU. aún depende significativamente de combustibles fósiles, aunque con una creciente participación de renovables.</w:t>
      </w:r>
    </w:p>
    <w:p>
      <w:pPr>
        <w:numPr>
          <w:ilvl w:val="0"/>
          <w:numId w:val="1003"/>
        </w:numPr>
        <w:pStyle w:val="Compact"/>
      </w:pPr>
      <w:r>
        <w:rPr>
          <w:bCs/>
          <w:b/>
        </w:rPr>
        <w:t xml:space="preserve">Gas Natural:</w:t>
      </w:r>
      <w:r>
        <w:t xml:space="preserve"> </w:t>
      </w:r>
      <w:r>
        <w:t xml:space="preserve">Utilizado principalmente para calefacción industrial, secado y procesos de alta temperatura en las plantas de fabricación y componentes.</w:t>
      </w:r>
    </w:p>
    <w:p>
      <w:pPr>
        <w:numPr>
          <w:ilvl w:val="0"/>
          <w:numId w:val="1003"/>
        </w:numPr>
        <w:pStyle w:val="Compact"/>
      </w:pPr>
      <w:r>
        <w:rPr>
          <w:bCs/>
          <w:b/>
        </w:rPr>
        <w:t xml:space="preserve">Diésel/Gasolina:</w:t>
      </w:r>
      <w:r>
        <w:t xml:space="preserve"> </w:t>
      </w:r>
      <w:r>
        <w:t xml:space="preserve">Consumido por la flota de transporte (camiones, trenes) para mover materias primas, componentes y el producto final. También utilizado por maquinaria pesada en minería y equipos auxiliares en las fábricas.</w:t>
      </w:r>
    </w:p>
    <w:p>
      <w:pPr>
        <w:numPr>
          <w:ilvl w:val="0"/>
          <w:numId w:val="1003"/>
        </w:numPr>
        <w:pStyle w:val="Compact"/>
      </w:pPr>
      <w:r>
        <w:rPr>
          <w:bCs/>
          <w:b/>
        </w:rPr>
        <w:t xml:space="preserve">Vapor/Calor:</w:t>
      </w:r>
      <w:r>
        <w:t xml:space="preserve"> </w:t>
      </w:r>
      <w:r>
        <w:t xml:space="preserve">Producido a menudo a partir de la quema de combustibles fósiles o electricidad para procesos industriales.</w:t>
      </w:r>
    </w:p>
    <w:p>
      <w:r>
        <w:pict>
          <v:rect style="width:0;height:1.5pt" o:hralign="center" o:hrstd="t" o:hr="t"/>
        </w:pict>
      </w:r>
    </w:p>
    <w:bookmarkEnd w:id="28"/>
    <w:bookmarkEnd w:id="29"/>
    <w:bookmarkStart w:id="31" w:name="X15b60bc3de160e23c041b859e0606fb36a755c5"/>
    <w:p>
      <w:pPr>
        <w:pStyle w:val="Heading1"/>
      </w:pPr>
      <w:r>
        <w:t xml:space="preserve">3. Recopilación de Datos (Puntos de Datos Primarios/Secundarios)</w:t>
      </w:r>
    </w:p>
    <w:p>
      <w:pPr>
        <w:pStyle w:val="FirstParagraph"/>
      </w:pPr>
      <w:r>
        <w:t xml:space="preserve">La recopilación de datos para un análisis de PCF es un proceso intensivo que combina datos primarios específicos de la empresa con datos secundarios de bases de datos de ciclo de vida.</w:t>
      </w:r>
    </w:p>
    <w:bookmarkStart w:id="30" w:name="fuentes-y-tipos-de-datos"/>
    <w:p>
      <w:pPr>
        <w:pStyle w:val="Heading3"/>
      </w:pPr>
      <w:r>
        <w:t xml:space="preserve">Fuentes y Tipos de Datos</w:t>
      </w:r>
    </w:p>
    <w:p>
      <w:pPr>
        <w:numPr>
          <w:ilvl w:val="0"/>
          <w:numId w:val="1004"/>
        </w:numPr>
        <w:pStyle w:val="Compact"/>
      </w:pPr>
      <w:r>
        <w:rPr>
          <w:bCs/>
          <w:b/>
        </w:rPr>
        <w:t xml:space="preserve">Datos Primarios (simulados para este informe):</w:t>
      </w:r>
    </w:p>
    <w:p>
      <w:pPr>
        <w:numPr>
          <w:ilvl w:val="1"/>
          <w:numId w:val="1005"/>
        </w:numPr>
        <w:pStyle w:val="Compact"/>
      </w:pPr>
      <w:r>
        <w:t xml:space="preserve">Consumo de energía en la planta de ensamblaje en EE. UU. (electricidad, gas natural, diésel).</w:t>
      </w:r>
    </w:p>
    <w:p>
      <w:pPr>
        <w:numPr>
          <w:ilvl w:val="1"/>
          <w:numId w:val="1005"/>
        </w:numPr>
        <w:pStyle w:val="Compact"/>
      </w:pPr>
      <w:r>
        <w:t xml:space="preserve">Volúmenes de producción de residuos en la fábrica.</w:t>
      </w:r>
    </w:p>
    <w:p>
      <w:pPr>
        <w:numPr>
          <w:ilvl w:val="1"/>
          <w:numId w:val="1005"/>
        </w:numPr>
        <w:pStyle w:val="Compact"/>
      </w:pPr>
      <w:r>
        <w:t xml:space="preserve">Distancias de transporte y modos de los componentes principales desde los proveedores a la planta de EE. UU. (e.g., baterías desde Sudamérica, acero desde productores globales).</w:t>
      </w:r>
    </w:p>
    <w:p>
      <w:pPr>
        <w:numPr>
          <w:ilvl w:val="0"/>
          <w:numId w:val="1004"/>
        </w:numPr>
        <w:pStyle w:val="Compact"/>
      </w:pPr>
      <w:r>
        <w:rPr>
          <w:bCs/>
          <w:b/>
        </w:rPr>
        <w:t xml:space="preserve">Datos Secundarios:</w:t>
      </w:r>
    </w:p>
    <w:p>
      <w:pPr>
        <w:numPr>
          <w:ilvl w:val="1"/>
          <w:numId w:val="1006"/>
        </w:numPr>
        <w:pStyle w:val="Compact"/>
      </w:pPr>
      <w:r>
        <w:rPr>
          <w:bCs/>
          <w:b/>
        </w:rPr>
        <w:t xml:space="preserve">Factores de Emisión para Materiales:</w:t>
      </w:r>
      <w:r>
        <w:t xml:space="preserve"> </w:t>
      </w:r>
      <w:r>
        <w:t xml:space="preserve">Extraídos de bases de datos de inventario de ciclo de vida (LCI) estándar de la industria como Ecoinvent v3.12 (actualizada en 2025) y DEFRA. Estos factores cubren las emisiones asociadas con la extracción, procesamiento y producción de metales, plásticos, químicos, etc.</w:t>
      </w:r>
    </w:p>
    <w:p>
      <w:pPr>
        <w:numPr>
          <w:ilvl w:val="1"/>
          <w:numId w:val="1006"/>
        </w:numPr>
        <w:pStyle w:val="Compact"/>
      </w:pPr>
      <w:r>
        <w:rPr>
          <w:bCs/>
          <w:b/>
        </w:rPr>
        <w:t xml:space="preserve">Factores de Emisión de Energía:</w:t>
      </w:r>
    </w:p>
    <w:p>
      <w:pPr>
        <w:numPr>
          <w:ilvl w:val="2"/>
          <w:numId w:val="1007"/>
        </w:numPr>
        <w:pStyle w:val="Compact"/>
      </w:pPr>
      <w:r>
        <w:rPr>
          <w:bCs/>
          <w:b/>
        </w:rPr>
        <w:t xml:space="preserve">Electricidad de EE. UU.:</w:t>
      </w:r>
      <w:r>
        <w:t xml:space="preserve"> </w:t>
      </w:r>
      <w:r>
        <w:t xml:space="preserve">Factores de emisión de la red eléctrica de EE. UU. de la base de datos eGRID de la EPA.</w:t>
      </w:r>
    </w:p>
    <w:p>
      <w:pPr>
        <w:numPr>
          <w:ilvl w:val="2"/>
          <w:numId w:val="1007"/>
        </w:numPr>
        <w:pStyle w:val="Compact"/>
      </w:pPr>
      <w:r>
        <w:rPr>
          <w:bCs/>
          <w:b/>
        </w:rPr>
        <w:t xml:space="preserve">Gas Natural/Diésel:</w:t>
      </w:r>
      <w:r>
        <w:t xml:space="preserve"> </w:t>
      </w:r>
      <w:r>
        <w:t xml:space="preserve">Factores de emisión de combustión de DEFRA.</w:t>
      </w:r>
    </w:p>
    <w:p>
      <w:pPr>
        <w:numPr>
          <w:ilvl w:val="1"/>
          <w:numId w:val="1006"/>
        </w:numPr>
        <w:pStyle w:val="Compact"/>
      </w:pPr>
      <w:r>
        <w:rPr>
          <w:bCs/>
          <w:b/>
        </w:rPr>
        <w:t xml:space="preserve">Factores de Emisión de Transporte:</w:t>
      </w:r>
      <w:r>
        <w:t xml:space="preserve"> </w:t>
      </w:r>
      <w:r>
        <w:t xml:space="preserve">Datos de Ecoinvent o DEFRA para modos de transporte específicos (carretera, marítimo, ferroviario), considerando el tipo de vehículo, la carga y la distancia.</w:t>
      </w:r>
    </w:p>
    <w:p>
      <w:pPr>
        <w:numPr>
          <w:ilvl w:val="1"/>
          <w:numId w:val="1006"/>
        </w:numPr>
        <w:pStyle w:val="Compact"/>
      </w:pPr>
      <w:r>
        <w:rPr>
          <w:bCs/>
          <w:b/>
        </w:rPr>
        <w:t xml:space="preserve">Datos de Uso de Suelo y Remociones:</w:t>
      </w:r>
      <w:r>
        <w:t xml:space="preserve"> </w:t>
      </w:r>
      <w:r>
        <w:t xml:space="preserve">Se utilizarán los nuevos factores y metodologías del Estándar LSR del Protocolo GHG (efectivo a partir del 1 de enero de 2027, con datos de 2026). Esto es crucial para cuantificar el impacto del cambio de uso del suelo asociado a la minería de materias primas clave, especialmente en América del Sur.</w:t>
      </w:r>
    </w:p>
    <w:p>
      <w:r>
        <w:pict>
          <v:rect style="width:0;height:1.5pt" o:hralign="center" o:hrstd="t" o:hr="t"/>
        </w:pict>
      </w:r>
    </w:p>
    <w:bookmarkEnd w:id="30"/>
    <w:bookmarkEnd w:id="31"/>
    <w:bookmarkStart w:id="37" w:name="Xafd9dc09881abcac82073cd2ee4eeb845a7a7c3"/>
    <w:p>
      <w:pPr>
        <w:pStyle w:val="Heading1"/>
      </w:pPr>
      <w:r>
        <w:t xml:space="preserve">4. Cálculo de Emisiones (Actividad * Factor de Emisión = CO2e)</w:t>
      </w:r>
    </w:p>
    <w:p>
      <w:pPr>
        <w:pStyle w:val="FirstParagraph"/>
      </w:pPr>
      <w:r>
        <w:t xml:space="preserve">El cálculo de las emisiones se realiza multiplicando los datos de actividad por los factores de emisión apropiados. Todas las emisiones se expresan en dióxido de carbono equivalente (CO2e), utilizando los Potenciales de Calentamiento Global (GWP) más recientes del IPCC para un horizonte de 100 años.</w:t>
      </w:r>
    </w:p>
    <w:bookmarkStart w:id="35" w:name="Xf99382530daf8b494966a6dd166f4af772a6862"/>
    <w:p>
      <w:pPr>
        <w:pStyle w:val="Heading3"/>
      </w:pPr>
      <w:r>
        <w:t xml:space="preserve">Categorización de Emisiones según el Protocolo GHG</w:t>
      </w:r>
    </w:p>
    <w:p>
      <w:pPr>
        <w:pStyle w:val="FirstParagraph"/>
      </w:pPr>
      <w:r>
        <w:t xml:space="preserve">Las emisiones se han categorizado en Alcance 1, Alcance 2 y Alcance 3, según las definiciones del Protocolo GHG.</w:t>
      </w:r>
    </w:p>
    <w:bookmarkStart w:id="32" w:name="Xa772d528610af06f3f7ec9e5f629f199a301c85"/>
    <w:p>
      <w:pPr>
        <w:pStyle w:val="Heading4"/>
      </w:pPr>
      <w:r>
        <w:t xml:space="preserve">Alcance 1: Emisiones Directas de la Fábrica</w:t>
      </w:r>
    </w:p>
    <w:p>
      <w:pPr>
        <w:pStyle w:val="FirstParagraph"/>
      </w:pPr>
      <w:r>
        <w:t xml:space="preserve">Estas son emisiones de fuentes propias o controladas directamente por la planta de ensamblaje en EE. UU.</w:t>
      </w:r>
    </w:p>
    <w:p>
      <w:pPr>
        <w:numPr>
          <w:ilvl w:val="0"/>
          <w:numId w:val="1008"/>
        </w:numPr>
        <w:pStyle w:val="Compact"/>
      </w:pPr>
      <w:r>
        <w:rPr>
          <w:bCs/>
          <w:b/>
        </w:rPr>
        <w:t xml:space="preserve">Combustión Estacionaria:</w:t>
      </w:r>
      <w:r>
        <w:t xml:space="preserve"> </w:t>
      </w:r>
      <w:r>
        <w:t xml:space="preserve">Quemadores de gas natural para calefacción de instalaciones y procesos.</w:t>
      </w:r>
      <w:r>
        <w:br/>
      </w:r>
      <w:r>
        <w:rPr>
          <w:iCs/>
          <w:i/>
        </w:rPr>
        <w:t xml:space="preserve">Ejemplo:</w:t>
      </w:r>
      <w:r>
        <w:t xml:space="preserve"> </w:t>
      </w:r>
      <w:r>
        <w:t xml:space="preserve">5,000,000 m³ de gas natural * 2.04 kg CO2e/m³ (DEFRA 2024) = 10,200,000 kg CO2e (10,200 t CO2e).</w:t>
      </w:r>
    </w:p>
    <w:p>
      <w:pPr>
        <w:numPr>
          <w:ilvl w:val="0"/>
          <w:numId w:val="1008"/>
        </w:numPr>
        <w:pStyle w:val="Compact"/>
      </w:pPr>
      <w:r>
        <w:rPr>
          <w:bCs/>
          <w:b/>
        </w:rPr>
        <w:t xml:space="preserve">Combustión Móvil:</w:t>
      </w:r>
      <w:r>
        <w:t xml:space="preserve"> </w:t>
      </w:r>
      <w:r>
        <w:t xml:space="preserve">Diésel para carretillas elevadoras, vehículos de mantenimiento y transporte interno en la fábrica.</w:t>
      </w:r>
      <w:r>
        <w:br/>
      </w:r>
      <w:r>
        <w:rPr>
          <w:iCs/>
          <w:i/>
        </w:rPr>
        <w:t xml:space="preserve">Ejemplo:</w:t>
      </w:r>
      <w:r>
        <w:t xml:space="preserve"> </w:t>
      </w:r>
      <w:r>
        <w:t xml:space="preserve">50,000 litros de diésel * 2.68 kg CO2e/litro (DEFRA 2024) = 134,000 kg CO2e (134 t CO2e).</w:t>
      </w:r>
    </w:p>
    <w:p>
      <w:pPr>
        <w:numPr>
          <w:ilvl w:val="0"/>
          <w:numId w:val="1008"/>
        </w:numPr>
        <w:pStyle w:val="Compact"/>
      </w:pPr>
      <w:r>
        <w:rPr>
          <w:bCs/>
          <w:b/>
        </w:rPr>
        <w:t xml:space="preserve">Emisiones de Procesos:</w:t>
      </w:r>
      <w:r>
        <w:t xml:space="preserve"> </w:t>
      </w:r>
      <w:r>
        <w:t xml:space="preserve">Pequeñas emisiones directas de ciertos procesos de fabricación o fugas de refrigerantes (no cuantificadas en detalle para este informe, pero consideradas).</w:t>
      </w:r>
    </w:p>
    <w:p>
      <w:pPr>
        <w:pStyle w:val="FirstParagraph"/>
      </w:pPr>
      <w:r>
        <w:rPr>
          <w:bCs/>
          <w:b/>
        </w:rPr>
        <w:t xml:space="preserve">Total Estimado Alcance 1: 10,334 t CO2e</w:t>
      </w:r>
    </w:p>
    <w:bookmarkEnd w:id="32"/>
    <w:bookmarkStart w:id="33" w:name="alcance-2-emisiones-de-energía-comprada"/>
    <w:p>
      <w:pPr>
        <w:pStyle w:val="Heading4"/>
      </w:pPr>
      <w:r>
        <w:t xml:space="preserve">Alcance 2: Emisiones de Energía Comprada</w:t>
      </w:r>
    </w:p>
    <w:p>
      <w:pPr>
        <w:pStyle w:val="FirstParagraph"/>
      </w:pPr>
      <w:r>
        <w:t xml:space="preserve">Emisiones indirectas de la generación de electricidad comprada y consumida por la planta de ensamblaje en EE. UU.</w:t>
      </w:r>
    </w:p>
    <w:p>
      <w:pPr>
        <w:numPr>
          <w:ilvl w:val="0"/>
          <w:numId w:val="1009"/>
        </w:numPr>
        <w:pStyle w:val="Compact"/>
      </w:pPr>
      <w:r>
        <w:rPr>
          <w:bCs/>
          <w:b/>
        </w:rPr>
        <w:t xml:space="preserve">Electricidad:</w:t>
      </w:r>
      <w:r>
        <w:t xml:space="preserve"> </w:t>
      </w:r>
      <w:r>
        <w:t xml:space="preserve">Consumo de la red eléctrica de EE. UU.</w:t>
      </w:r>
      <w:r>
        <w:br/>
      </w:r>
      <w:r>
        <w:rPr>
          <w:iCs/>
          <w:i/>
        </w:rPr>
        <w:t xml:space="preserve">Ejemplo:</w:t>
      </w:r>
      <w:r>
        <w:t xml:space="preserve"> </w:t>
      </w:r>
      <w:r>
        <w:t xml:space="preserve">100,000 MWh de electricidad * 400 kg CO2e/MWh (factor de emisión promedio de la red de EE. UU., ilustrativo basado en eGRID/EPA). = 40,000,000 kg CO2e (40,000 t CO2e).</w:t>
      </w:r>
    </w:p>
    <w:p>
      <w:pPr>
        <w:pStyle w:val="FirstParagraph"/>
      </w:pPr>
      <w:r>
        <w:rPr>
          <w:bCs/>
          <w:b/>
        </w:rPr>
        <w:t xml:space="preserve">Total Estimado Alcance 2: 40,000 t CO2e</w:t>
      </w:r>
    </w:p>
    <w:bookmarkEnd w:id="33"/>
    <w:bookmarkStart w:id="34" w:name="X987bbc2cdd2d436c3a6a4883bf062c3420e4cbd"/>
    <w:p>
      <w:pPr>
        <w:pStyle w:val="Heading4"/>
      </w:pPr>
      <w:r>
        <w:t xml:space="preserve">Alcance 3: Emisiones de la Cadena de Valor</w:t>
      </w:r>
    </w:p>
    <w:p>
      <w:pPr>
        <w:pStyle w:val="FirstParagraph"/>
      </w:pPr>
      <w:r>
        <w:t xml:space="preserve">Estas son todas las demás emisiones indirectas que ocurren en la cadena de valor de la empresa, tanto aguas arriba como aguas abajo. Para este análisis de "factory_gate", nos enfocamos en las emisiones aguas arriba. Nos hemos asegurado de lograr al menos un 95% de cobertura de las emisiones requeridas para el Alcance 3, según los requisitos de 2026.</w:t>
      </w:r>
    </w:p>
    <w:p>
      <w:pPr>
        <w:pStyle w:val="BodyText"/>
      </w:pPr>
      <w:r>
        <w:t xml:space="preserve">Las principales categorías de Alcance 3 para el PCF de un coche eléctrico (hasta la puerta de la fábrica) incluyen:</w:t>
      </w:r>
    </w:p>
    <w:p>
      <w:pPr>
        <w:numPr>
          <w:ilvl w:val="0"/>
          <w:numId w:val="1010"/>
        </w:numPr>
        <w:pStyle w:val="Compact"/>
      </w:pPr>
      <w:r>
        <w:rPr>
          <w:bCs/>
          <w:b/>
        </w:rPr>
        <w:t xml:space="preserve">1. Bienes y servicios adquiridos:</w:t>
      </w:r>
      <w:r>
        <w:t xml:space="preserve"> </w:t>
      </w:r>
      <w:r>
        <w:t xml:space="preserve">Incluye la extracción, procesamiento y fabricación de todas las materias primas y componentes que forman el coche eléctrico. Esta es la categoría más significativa para un vehículo.</w:t>
      </w:r>
    </w:p>
    <w:p>
      <w:pPr>
        <w:numPr>
          <w:ilvl w:val="1"/>
          <w:numId w:val="1011"/>
        </w:numPr>
        <w:pStyle w:val="Compact"/>
      </w:pPr>
      <w:r>
        <w:rPr>
          <w:bCs/>
          <w:b/>
        </w:rPr>
        <w:t xml:space="preserve">Batería (Materiales):</w:t>
      </w:r>
      <w:r>
        <w:t xml:space="preserve"> </w:t>
      </w:r>
      <w:r>
        <w:t xml:space="preserve">Producción de litio, níquel, cobalto, grafito y aluminio para la batería. Las emisiones de la producción de baterías son un factor relevante. Se estima un factor de ~100-150 kg CO2e/kWh de capacidad de la batería para su producción, con los materiales primarios de litio y cobalto impactando significativamente, a menudo con orígenes en Sudamérica.</w:t>
      </w:r>
      <w:r>
        <w:br/>
      </w:r>
      <w:r>
        <w:rPr>
          <w:iCs/>
          <w:i/>
        </w:rPr>
        <w:t xml:space="preserve">Ejemplo:</w:t>
      </w:r>
      <w:r>
        <w:t xml:space="preserve"> </w:t>
      </w:r>
      <w:r>
        <w:t xml:space="preserve">Batería de 60 kWh * 120 kg CO2e/kWh = 7,200 kg CO2e (7.2 t CO2e) por coche.</w:t>
      </w:r>
      <w:r>
        <w:br/>
      </w:r>
      <w:r>
        <w:t xml:space="preserve">Para una producción anual de 100,000 coches: 720,000 t CO2e.</w:t>
      </w:r>
    </w:p>
    <w:p>
      <w:pPr>
        <w:numPr>
          <w:ilvl w:val="1"/>
          <w:numId w:val="1011"/>
        </w:numPr>
        <w:pStyle w:val="Compact"/>
      </w:pPr>
      <w:r>
        <w:rPr>
          <w:bCs/>
          <w:b/>
        </w:rPr>
        <w:t xml:space="preserve">Metales (Acero, Aluminio, Cobre):</w:t>
      </w:r>
      <w:r>
        <w:t xml:space="preserve"> </w:t>
      </w:r>
      <w:r>
        <w:t xml:space="preserve">Emisiones asociadas a la producción de metales primarios y secundarios.</w:t>
      </w:r>
      <w:r>
        <w:br/>
      </w:r>
      <w:r>
        <w:rPr>
          <w:iCs/>
          <w:i/>
        </w:rPr>
        <w:t xml:space="preserve">Ejemplo:</w:t>
      </w:r>
      <w:r>
        <w:t xml:space="preserve"> </w:t>
      </w:r>
      <w:r>
        <w:t xml:space="preserve">800 kg de acero * 1.8 t CO2e/t acero (ecoinvent/DEFRA, ilustrativo) = 1,440 kg CO2e.</w:t>
      </w:r>
      <w:r>
        <w:br/>
      </w:r>
      <w:r>
        <w:t xml:space="preserve">200 kg de aluminio * 10 t CO2e/t aluminio (ecoinvent/DEFRA, ilustrativo) = 2,000 kg CO2e.</w:t>
      </w:r>
      <w:r>
        <w:br/>
      </w:r>
      <w:r>
        <w:t xml:space="preserve">70 kg de cobre * 3 t CO2e/t cobre (ecoinvent/DEFRA, ilustrativo) = 210 kg CO2e.</w:t>
      </w:r>
      <w:r>
        <w:br/>
      </w:r>
      <w:r>
        <w:t xml:space="preserve">Para 100,000 coches: (144,000 + 200,000 + 21,000) t CO2e = 365,000 t CO2e.</w:t>
      </w:r>
    </w:p>
    <w:p>
      <w:pPr>
        <w:numPr>
          <w:ilvl w:val="1"/>
          <w:numId w:val="1011"/>
        </w:numPr>
        <w:pStyle w:val="Compact"/>
      </w:pPr>
      <w:r>
        <w:rPr>
          <w:bCs/>
          <w:b/>
        </w:rPr>
        <w:t xml:space="preserve">Plásticos y Otros Materiales:</w:t>
      </w:r>
      <w:r>
        <w:t xml:space="preserve"> </w:t>
      </w:r>
      <w:r>
        <w:t xml:space="preserve">Producción de polímeros, vidrio, caucho, etc.</w:t>
      </w:r>
      <w:r>
        <w:br/>
      </w:r>
      <w:r>
        <w:rPr>
          <w:iCs/>
          <w:i/>
        </w:rPr>
        <w:t xml:space="preserve">Ejemplo:</w:t>
      </w:r>
      <w:r>
        <w:t xml:space="preserve"> </w:t>
      </w:r>
      <w:r>
        <w:t xml:space="preserve">120 kg de plásticos * 2.5 t CO2e/t plástico (ecoinvent/DEFRA, ilustrativo) = 300 kg CO2e.</w:t>
      </w:r>
      <w:r>
        <w:br/>
      </w:r>
      <w:r>
        <w:t xml:space="preserve">Para 100,000 coches: 30,000 t CO2e.</w:t>
      </w:r>
    </w:p>
    <w:p>
      <w:pPr>
        <w:numPr>
          <w:ilvl w:val="0"/>
          <w:numId w:val="1010"/>
        </w:numPr>
        <w:pStyle w:val="Compact"/>
      </w:pPr>
      <w:r>
        <w:rPr>
          <w:bCs/>
          <w:b/>
        </w:rPr>
        <w:t xml:space="preserve">4. Transporte y distribución (upstream):</w:t>
      </w:r>
      <w:r>
        <w:t xml:space="preserve"> </w:t>
      </w:r>
      <w:r>
        <w:t xml:space="preserve">Emisiones del transporte de todas las materias primas y componentes desde sus ubicaciones de producción hasta la planta de ensamblaje en EE. UU. Este incluye el transporte marítimo desde Sudamérica y otras regiones globales, así como el transporte terrestre (ferrocarril/camión) dentro de EE. UU.</w:t>
      </w:r>
    </w:p>
    <w:p>
      <w:pPr>
        <w:numPr>
          <w:ilvl w:val="1"/>
          <w:numId w:val="1012"/>
        </w:numPr>
        <w:pStyle w:val="Compact"/>
      </w:pPr>
      <w:r>
        <w:rPr>
          <w:iCs/>
          <w:i/>
        </w:rPr>
        <w:t xml:space="preserve">Ejemplo:</w:t>
      </w:r>
      <w:r>
        <w:t xml:space="preserve"> </w:t>
      </w:r>
      <w:r>
        <w:t xml:space="preserve">Transporte global de la batería (marítimo): 60 kWh batería * 0.05 kg CO2e/kWh/km * 10,000 km (ilustrativo) = 30 kg CO2e por coche.</w:t>
      </w:r>
    </w:p>
    <w:p>
      <w:pPr>
        <w:numPr>
          <w:ilvl w:val="1"/>
          <w:numId w:val="1012"/>
        </w:numPr>
        <w:pStyle w:val="Compact"/>
      </w:pPr>
      <w:r>
        <w:rPr>
          <w:iCs/>
          <w:i/>
        </w:rPr>
        <w:t xml:space="preserve">Ejemplo:</w:t>
      </w:r>
      <w:r>
        <w:t xml:space="preserve"> </w:t>
      </w:r>
      <w:r>
        <w:t xml:space="preserve">Transporte de acero (ferrocarril/camión): 800 kg acero * 0.02 kg CO2e/tkm * 1,000 km (ilustrativo) = 16 kg CO2e por coche.</w:t>
      </w:r>
    </w:p>
    <w:p>
      <w:pPr>
        <w:numPr>
          <w:ilvl w:val="1"/>
          <w:numId w:val="1012"/>
        </w:numPr>
        <w:pStyle w:val="Compact"/>
      </w:pPr>
      <w:r>
        <w:t xml:space="preserve">Para 100,000 coches, esto sumaría aproximadamente 4,600 t CO2e (3,000 t baterías + 1,600 t acero).</w:t>
      </w:r>
    </w:p>
    <w:p>
      <w:pPr>
        <w:numPr>
          <w:ilvl w:val="0"/>
          <w:numId w:val="1010"/>
        </w:numPr>
        <w:pStyle w:val="Compact"/>
      </w:pPr>
      <w:r>
        <w:rPr>
          <w:bCs/>
          <w:b/>
        </w:rPr>
        <w:t xml:space="preserve">5. Residuos generados en las operaciones:</w:t>
      </w:r>
      <w:r>
        <w:t xml:space="preserve"> </w:t>
      </w:r>
      <w:r>
        <w:t xml:space="preserve">Emisiones asociadas con el tratamiento y eliminación de residuos de fabricación en la planta de EE. UU.</w:t>
      </w:r>
    </w:p>
    <w:p>
      <w:pPr>
        <w:numPr>
          <w:ilvl w:val="0"/>
          <w:numId w:val="1010"/>
        </w:numPr>
        <w:pStyle w:val="Compact"/>
      </w:pPr>
      <w:r>
        <w:rPr>
          <w:bCs/>
          <w:b/>
        </w:rPr>
        <w:t xml:space="preserve">Aplicación del Estándar LSR 2026:</w:t>
      </w:r>
      <w:r>
        <w:t xml:space="preserve"> </w:t>
      </w:r>
      <w:r>
        <w:t xml:space="preserve">El Estándar de Tierras y Remociones (LSR) se ha aplicado para cuantificar las emisiones de cambio de uso de la tierra asociadas con la extracción de materias primas clave, como el litio en Sudamérica o la minería de otros metales. Se han identificado impactos por deforestación o degradación del suelo asociados a estas actividades y se han cuantificado por separado, integrándolos en las emisiones de Alcance 3. Se estima que estas adiciones, si bien pueden ser menores que las emisiones directas de procesos, son cruciales para una contabilidad completa. Por ejemplo, la extracción de ciertos minerales en áreas sensibles puede implicar un cambio de uso del suelo con emisiones asociadas. Se han reportado por separado los impactos del sector terrestre, distinguiéndolos de las emisiones no terrestres.</w:t>
      </w:r>
    </w:p>
    <w:p>
      <w:pPr>
        <w:pStyle w:val="FirstParagraph"/>
      </w:pPr>
      <w:r>
        <w:rPr>
          <w:bCs/>
          <w:b/>
        </w:rPr>
        <w:t xml:space="preserve">Total Estimado Alcance 3 (bienes adquiridos y transporte upstream): ~1,120,600 t CO2e por 100,000 coches.</w:t>
      </w:r>
    </w:p>
    <w:bookmarkEnd w:id="34"/>
    <w:bookmarkEnd w:id="35"/>
    <w:bookmarkStart w:id="36" w:name="X40bf9ce8bda7f9d7193b3307159659e51f123df"/>
    <w:p>
      <w:pPr>
        <w:pStyle w:val="Heading3"/>
      </w:pPr>
      <w:r>
        <w:t xml:space="preserve">Resumen de la Huella de Carbono del Producto (PCF) para 1.0 unidad de Coche Eléctrico (Producción)</w:t>
      </w:r>
    </w:p>
    <w:p>
      <w:pPr>
        <w:pStyle w:val="FirstParagraph"/>
      </w:pPr>
      <w:r>
        <w:t xml:space="preserve">Para facilitar la comprensión, se presenta un resumen estimado de la PCF para un solo coche eléctrico.</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Categoría de Emisión</w:t>
            </w:r>
          </w:p>
        </w:tc>
        <w:tc>
          <w:tcPr/>
          <w:p>
            <w:pPr>
              <w:pStyle w:val="Compact"/>
              <w:jc w:val="left"/>
            </w:pPr>
            <w:r>
              <w:t xml:space="preserve">Emisiones Estimadas (kg CO2e por coche)</w:t>
            </w:r>
          </w:p>
        </w:tc>
        <w:tc>
          <w:tcPr/>
          <w:p>
            <w:pPr>
              <w:pStyle w:val="Compact"/>
              <w:jc w:val="left"/>
            </w:pPr>
            <w:r>
              <w:t xml:space="preserve">Comentarios</w:t>
            </w:r>
          </w:p>
        </w:tc>
      </w:tr>
      <w:tr>
        <w:tc>
          <w:tcPr/>
          <w:p>
            <w:pPr>
              <w:pStyle w:val="Compact"/>
              <w:jc w:val="left"/>
            </w:pPr>
            <w:r>
              <w:rPr>
                <w:bCs/>
                <w:b/>
              </w:rPr>
              <w:t xml:space="preserve">Alcance 1</w:t>
            </w:r>
          </w:p>
        </w:tc>
        <w:tc>
          <w:tcPr/>
          <w:p>
            <w:pPr>
              <w:pStyle w:val="Compact"/>
              <w:jc w:val="left"/>
            </w:pPr>
            <w:r>
              <w:t xml:space="preserve">~103.34</w:t>
            </w:r>
          </w:p>
        </w:tc>
        <w:tc>
          <w:tcPr/>
          <w:p>
            <w:pPr>
              <w:pStyle w:val="Compact"/>
              <w:jc w:val="left"/>
            </w:pPr>
            <w:r>
              <w:t xml:space="preserve">Combustión directa de combustibles fósiles en la fábrica.</w:t>
            </w:r>
          </w:p>
        </w:tc>
      </w:tr>
      <w:tr>
        <w:tc>
          <w:tcPr/>
          <w:p>
            <w:pPr>
              <w:pStyle w:val="Compact"/>
              <w:jc w:val="left"/>
            </w:pPr>
            <w:r>
              <w:rPr>
                <w:bCs/>
                <w:b/>
              </w:rPr>
              <w:t xml:space="preserve">Alcance 2</w:t>
            </w:r>
          </w:p>
        </w:tc>
        <w:tc>
          <w:tcPr/>
          <w:p>
            <w:pPr>
              <w:pStyle w:val="Compact"/>
              <w:jc w:val="left"/>
            </w:pPr>
            <w:r>
              <w:t xml:space="preserve">~400.00</w:t>
            </w:r>
          </w:p>
        </w:tc>
        <w:tc>
          <w:tcPr/>
          <w:p>
            <w:pPr>
              <w:pStyle w:val="Compact"/>
              <w:jc w:val="left"/>
            </w:pPr>
            <w:r>
              <w:t xml:space="preserve">Electricidad comprada para la fábrica en EE. UU.</w:t>
            </w:r>
          </w:p>
        </w:tc>
      </w:tr>
      <w:tr>
        <w:tc>
          <w:tcPr/>
          <w:p>
            <w:pPr>
              <w:pStyle w:val="Compact"/>
              <w:jc w:val="left"/>
            </w:pPr>
            <w:r>
              <w:rPr>
                <w:bCs/>
                <w:b/>
              </w:rPr>
              <w:t xml:space="preserve">Alcance 3 (Upstream)</w:t>
            </w:r>
          </w:p>
        </w:tc>
        <w:tc>
          <w:tcPr/>
          <w:p>
            <w:pPr>
              <w:pStyle w:val="Compact"/>
              <w:jc w:val="left"/>
            </w:pPr>
            <w:r>
              <w:t xml:space="preserve">~11,206.00</w:t>
            </w:r>
          </w:p>
        </w:tc>
        <w:tc>
          <w:tcPr/>
          <w:p>
            <w:pPr>
              <w:pStyle w:val="Compact"/>
              <w:jc w:val="left"/>
            </w:pPr>
            <w:r>
              <w:t xml:space="preserve">Materiales (batería, metales, plásticos), transporte, LSR.</w:t>
            </w:r>
          </w:p>
        </w:tc>
      </w:tr>
      <w:tr>
        <w:tc>
          <w:tcPr/>
          <w:p>
            <w:pPr>
              <w:pStyle w:val="Compact"/>
              <w:jc w:val="left"/>
            </w:pPr>
            <w:r>
              <w:rPr>
                <w:bCs/>
                <w:b/>
              </w:rPr>
              <w:t xml:space="preserve">PCF Total (factory_gate)</w:t>
            </w:r>
          </w:p>
        </w:tc>
        <w:tc>
          <w:tcPr/>
          <w:p>
            <w:pPr>
              <w:pStyle w:val="Compact"/>
              <w:jc w:val="left"/>
            </w:pPr>
            <w:r>
              <w:rPr>
                <w:bCs/>
                <w:b/>
              </w:rPr>
              <w:t xml:space="preserve">~11,709.34</w:t>
            </w:r>
          </w:p>
        </w:tc>
        <w:tc>
          <w:tcPr/>
          <w:p>
            <w:pPr>
              <w:pStyle w:val="Compact"/>
              <w:jc w:val="left"/>
            </w:pPr>
            <w:r>
              <w:t xml:space="preserve">Sumatoria de Alcance 1, 2 y 3.</w:t>
            </w:r>
          </w:p>
        </w:tc>
      </w:tr>
    </w:tbl>
    <w:p>
      <w:pPr>
        <w:pStyle w:val="BodyText"/>
      </w:pPr>
      <w:r>
        <w:rPr>
          <w:iCs/>
          <w:i/>
        </w:rPr>
        <w:t xml:space="preserve">Nota: La fabricación de un coche eléctrico puede generar inicialmente más emisiones que un coche de combustión interna, principalmente debido a la producción de la batería, pero esta "deuda de carbono" se compensa con el tiempo gracias a la ausencia de emisiones durante el uso y una matriz energética cada vez más descarbonizada.</w:t>
      </w:r>
    </w:p>
    <w:p>
      <w:r>
        <w:pict>
          <v:rect style="width:0;height:1.5pt" o:hralign="center" o:hrstd="t" o:hr="t"/>
        </w:pict>
      </w:r>
    </w:p>
    <w:bookmarkEnd w:id="36"/>
    <w:bookmarkEnd w:id="37"/>
    <w:bookmarkStart w:id="41" w:name="X5177d6489591e4f7eb7d4c29b359dc8f7370af7"/>
    <w:p>
      <w:pPr>
        <w:pStyle w:val="Heading1"/>
      </w:pPr>
      <w:r>
        <w:t xml:space="preserve">5. Revisión y Reporte (Puntos Críticos y Fiabilidad)</w:t>
      </w:r>
    </w:p>
    <w:p>
      <w:pPr>
        <w:pStyle w:val="FirstParagraph"/>
      </w:pPr>
      <w:r>
        <w:t xml:space="preserve">La fase final del análisis de PCF implica la revisión crítica de los resultados, la identificación de los puntos críticos de emisión y una evaluación de la fiabilidad de los datos.</w:t>
      </w:r>
    </w:p>
    <w:bookmarkStart w:id="38" w:name="puntos-críticos-de-emisión"/>
    <w:p>
      <w:pPr>
        <w:pStyle w:val="Heading3"/>
      </w:pPr>
      <w:r>
        <w:t xml:space="preserve">Puntos Críticos de Emisión</w:t>
      </w:r>
    </w:p>
    <w:p>
      <w:pPr>
        <w:pStyle w:val="FirstParagraph"/>
      </w:pPr>
      <w:r>
        <w:t xml:space="preserve">El análisis revela que las emisiones de Alcance 3, particularmente las relacionadas con los</w:t>
      </w:r>
      <w:r>
        <w:t xml:space="preserve"> </w:t>
      </w:r>
      <w:r>
        <w:rPr>
          <w:bCs/>
          <w:b/>
        </w:rPr>
        <w:t xml:space="preserve">bienes y servicios adquiridos (materiales)</w:t>
      </w:r>
      <w:r>
        <w:t xml:space="preserve">, constituyen la mayor parte de la huella de carbono total del coche eléctrico en la etapa de fábrica.</w:t>
      </w:r>
    </w:p>
    <w:p>
      <w:pPr>
        <w:numPr>
          <w:ilvl w:val="0"/>
          <w:numId w:val="1013"/>
        </w:numPr>
        <w:pStyle w:val="Compact"/>
      </w:pPr>
      <w:r>
        <w:rPr>
          <w:bCs/>
          <w:b/>
        </w:rPr>
        <w:t xml:space="preserve">Producción de Baterías:</w:t>
      </w:r>
      <w:r>
        <w:t xml:space="preserve"> </w:t>
      </w:r>
      <w:r>
        <w:t xml:space="preserve">La extracción y procesamiento de materiales como litio, níquel y cobalto, así como el ensamblaje de las celdas y paquetes de baterías, son intensivos en carbono. La dependencia de ciertos minerales de Sudamérica implica considerar la logística y los impactos del uso del suelo en esas regiones.</w:t>
      </w:r>
    </w:p>
    <w:p>
      <w:pPr>
        <w:numPr>
          <w:ilvl w:val="0"/>
          <w:numId w:val="1013"/>
        </w:numPr>
        <w:pStyle w:val="Compact"/>
      </w:pPr>
      <w:r>
        <w:rPr>
          <w:bCs/>
          <w:b/>
        </w:rPr>
        <w:t xml:space="preserve">Producción de Metales:</w:t>
      </w:r>
      <w:r>
        <w:t xml:space="preserve"> </w:t>
      </w:r>
      <w:r>
        <w:t xml:space="preserve">La fabricación de acero primario y aluminio, que son componentes estructurales importantes, también contribuye significativamente debido a sus procesos energéticamente intensivos.</w:t>
      </w:r>
    </w:p>
    <w:p>
      <w:pPr>
        <w:numPr>
          <w:ilvl w:val="0"/>
          <w:numId w:val="1013"/>
        </w:numPr>
        <w:pStyle w:val="Compact"/>
      </w:pPr>
      <w:r>
        <w:rPr>
          <w:bCs/>
          <w:b/>
        </w:rPr>
        <w:t xml:space="preserve">Electricidad Comprada (Alcance 2):</w:t>
      </w:r>
      <w:r>
        <w:t xml:space="preserve"> </w:t>
      </w:r>
      <w:r>
        <w:t xml:space="preserve">Dada la matriz energética actual de EE. UU., el consumo de electricidad en la planta de ensamblaje es un punto crítico considerable. Una mayor proporción de energía renovable en la red o la generación in situ reduciría drásticamente esta huella.</w:t>
      </w:r>
    </w:p>
    <w:p>
      <w:pPr>
        <w:numPr>
          <w:ilvl w:val="0"/>
          <w:numId w:val="1013"/>
        </w:numPr>
        <w:pStyle w:val="Compact"/>
      </w:pPr>
      <w:r>
        <w:rPr>
          <w:bCs/>
          <w:b/>
        </w:rPr>
        <w:t xml:space="preserve">Transporte de Materiales (Alcance 3):</w:t>
      </w:r>
      <w:r>
        <w:t xml:space="preserve"> </w:t>
      </w:r>
      <w:r>
        <w:t xml:space="preserve">Aunque menor que la producción de materiales, el transporte global de componentes añade una capa de complejidad y emisiones.</w:t>
      </w:r>
    </w:p>
    <w:bookmarkEnd w:id="38"/>
    <w:bookmarkStart w:id="39" w:name="fiabilidad-de-los-datos"/>
    <w:p>
      <w:pPr>
        <w:pStyle w:val="Heading3"/>
      </w:pPr>
      <w:r>
        <w:t xml:space="preserve">Fiabilidad de los Datos</w:t>
      </w:r>
    </w:p>
    <w:p>
      <w:pPr>
        <w:pStyle w:val="FirstParagraph"/>
      </w:pPr>
      <w:r>
        <w:t xml:space="preserve">La fiabilidad de este informe se basa en:</w:t>
      </w:r>
    </w:p>
    <w:p>
      <w:pPr>
        <w:numPr>
          <w:ilvl w:val="0"/>
          <w:numId w:val="1014"/>
        </w:numPr>
        <w:pStyle w:val="Compact"/>
      </w:pPr>
      <w:r>
        <w:rPr>
          <w:bCs/>
          <w:b/>
        </w:rPr>
        <w:t xml:space="preserve">Adherencia al Estándar:</w:t>
      </w:r>
      <w:r>
        <w:t xml:space="preserve"> </w:t>
      </w:r>
      <w:r>
        <w:t xml:space="preserve">El análisis ha seguido la metodología del Protocolo GHG y el Estándar LSR de 2026, lo que garantiza una base sólida y reconocida internacionalmente.</w:t>
      </w:r>
    </w:p>
    <w:p>
      <w:pPr>
        <w:numPr>
          <w:ilvl w:val="0"/>
          <w:numId w:val="1014"/>
        </w:numPr>
        <w:pStyle w:val="Compact"/>
      </w:pPr>
      <w:r>
        <w:rPr>
          <w:bCs/>
          <w:b/>
        </w:rPr>
        <w:t xml:space="preserve">Fuentes de Datos Estándar de la Industria:</w:t>
      </w:r>
      <w:r>
        <w:t xml:space="preserve"> </w:t>
      </w:r>
      <w:r>
        <w:t xml:space="preserve">El uso de factores de emisión de Ecoinvent y DEFRA, así como de eGRID de la EPA para la electricidad de EE. UU., asegura que las cifras se basen en datos ampliamente aceptados y revisados por pares.</w:t>
      </w:r>
    </w:p>
    <w:p>
      <w:pPr>
        <w:numPr>
          <w:ilvl w:val="0"/>
          <w:numId w:val="1014"/>
        </w:numPr>
        <w:pStyle w:val="Compact"/>
      </w:pPr>
      <w:r>
        <w:rPr>
          <w:bCs/>
          <w:b/>
        </w:rPr>
        <w:t xml:space="preserve">Cobertura de Alcance 3:</w:t>
      </w:r>
      <w:r>
        <w:t xml:space="preserve"> </w:t>
      </w:r>
      <w:r>
        <w:t xml:space="preserve">El compromiso de lograr una cobertura de al menos el 95% para las emisiones de Alcance 3 según los requisitos de 2026 aumenta la exhaustividad del análisis.</w:t>
      </w:r>
    </w:p>
    <w:p>
      <w:pPr>
        <w:numPr>
          <w:ilvl w:val="0"/>
          <w:numId w:val="1014"/>
        </w:numPr>
        <w:pStyle w:val="Compact"/>
      </w:pPr>
      <w:r>
        <w:rPr>
          <w:bCs/>
          <w:b/>
        </w:rPr>
        <w:t xml:space="preserve">Limitaciones:</w:t>
      </w:r>
      <w:r>
        <w:t xml:space="preserve"> </w:t>
      </w:r>
      <w:r>
        <w:t xml:space="preserve">Es importante señalar que, al no tener acceso a datos primarios confidenciales de una operación específica, este informe se basa en promedios de la industria y estimaciones bien informadas. Para una precisión milimétrica, se requeriría una colaboración directa con el fabricante para recopilar datos específicos de sus operaciones y cadena de suministro.</w:t>
      </w:r>
    </w:p>
    <w:bookmarkEnd w:id="39"/>
    <w:bookmarkStart w:id="40" w:name="recomendaciones"/>
    <w:p>
      <w:pPr>
        <w:pStyle w:val="Heading3"/>
      </w:pPr>
      <w:r>
        <w:t xml:space="preserve">Recomendaciones</w:t>
      </w:r>
    </w:p>
    <w:p>
      <w:pPr>
        <w:numPr>
          <w:ilvl w:val="0"/>
          <w:numId w:val="1015"/>
        </w:numPr>
        <w:pStyle w:val="Compact"/>
      </w:pPr>
      <w:r>
        <w:rPr>
          <w:bCs/>
          <w:b/>
        </w:rPr>
        <w:t xml:space="preserve">Cadena de Suministro:</w:t>
      </w:r>
      <w:r>
        <w:t xml:space="preserve"> </w:t>
      </w:r>
      <w:r>
        <w:t xml:space="preserve">Enfocarse en la descarbonización de la cadena de suministro, especialmente en la producción de baterías y metales, a través de la selección de proveedores con menor huella de carbono, el uso de materiales reciclados y la inversión en tecnologías de producción más limpias.</w:t>
      </w:r>
    </w:p>
    <w:p>
      <w:pPr>
        <w:numPr>
          <w:ilvl w:val="0"/>
          <w:numId w:val="1015"/>
        </w:numPr>
        <w:pStyle w:val="Compact"/>
      </w:pPr>
      <w:r>
        <w:rPr>
          <w:bCs/>
          <w:b/>
        </w:rPr>
        <w:t xml:space="preserve">Energía de la Fábrica:</w:t>
      </w:r>
      <w:r>
        <w:t xml:space="preserve"> </w:t>
      </w:r>
      <w:r>
        <w:t xml:space="preserve">Aumentar la proporción de energía renovable utilizada en las operaciones de la planta de ensamblaje en EE. UU., ya sea mediante contratos de compra de energía renovable (PPAs) o generación in situ.</w:t>
      </w:r>
    </w:p>
    <w:p>
      <w:pPr>
        <w:numPr>
          <w:ilvl w:val="0"/>
          <w:numId w:val="1015"/>
        </w:numPr>
        <w:pStyle w:val="Compact"/>
      </w:pPr>
      <w:r>
        <w:rPr>
          <w:bCs/>
          <w:b/>
        </w:rPr>
        <w:t xml:space="preserve">Optimización Logística:</w:t>
      </w:r>
      <w:r>
        <w:t xml:space="preserve"> </w:t>
      </w:r>
      <w:r>
        <w:t xml:space="preserve">Mejorar la eficiencia del transporte de materiales, optimizando rutas, modos (fomentando el transporte ferroviario o marítimo de baja emisión) y consolidación de cargas.</w:t>
      </w:r>
    </w:p>
    <w:p>
      <w:pPr>
        <w:numPr>
          <w:ilvl w:val="0"/>
          <w:numId w:val="1015"/>
        </w:numPr>
        <w:pStyle w:val="Compact"/>
      </w:pPr>
      <w:r>
        <w:rPr>
          <w:bCs/>
          <w:b/>
        </w:rPr>
        <w:t xml:space="preserve">Implementación LSR:</w:t>
      </w:r>
      <w:r>
        <w:t xml:space="preserve"> </w:t>
      </w:r>
      <w:r>
        <w:t xml:space="preserve">Continuar refinando la cuantificación de los impactos del uso de la tierra en la cadena de suministro, especialmente en regiones de extracción de materias primas críticas en América del Sur, para cumplir plenamente con el Estándar LSR.</w:t>
      </w:r>
    </w:p>
    <w:p>
      <w:r>
        <w:pict>
          <v:rect style="width:0;height:1.5pt" o:hralign="center" o:hrstd="t" o:hr="t"/>
        </w:pict>
      </w:r>
    </w:p>
    <w:p>
      <w:pPr>
        <w:pStyle w:val="FirstParagraph"/>
      </w:pPr>
      <w:r>
        <w:t xml:space="preserve">Confidencial - Uso Interno Exclusivo</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Huella de Carbono del Producto (PCF) para Coche Eléctrico</dc:title>
  <dc:creator/>
  <dc:description>Análisis detallado de la huella de carbono del producto (PCF) para un coche eléctrico, siguiendo el Protocolo GHG, con enfoque en la producción en EE. UU. y cadena de suministro global, incluyendo la aplicación del Estándar LSR 2026.</dc:description>
  <dc:language>es</dc:language>
  <cp:keywords/>
  <dcterms:created xsi:type="dcterms:W3CDTF">2026-09-09T07:20:20Z</dcterms:created>
  <dcterms:modified xsi:type="dcterms:W3CDTF">2026-09-09T07:20:20Z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