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w:t>
      </w:r>
      <w:r>
        <w:t xml:space="preserve"> </w:t>
      </w:r>
      <w:r>
        <w:t xml:space="preserve">Industrial</w:t>
      </w:r>
      <w:r>
        <w:t xml:space="preserve"> </w:t>
      </w:r>
      <w:r>
        <w:t xml:space="preserve">Commercial</w:t>
      </w:r>
      <w:r>
        <w:t xml:space="preserve"> </w:t>
      </w:r>
      <w:r>
        <w:t xml:space="preserve">Heat</w:t>
      </w:r>
      <w:r>
        <w:t xml:space="preserve"> </w:t>
      </w:r>
      <w:r>
        <w:t xml:space="preserve">Pump</w:t>
      </w:r>
      <w:r>
        <w:t xml:space="preserve"> </w:t>
      </w:r>
      <w:r>
        <w:t xml:space="preserve">Unit</w:t>
      </w:r>
      <w:r>
        <w:t xml:space="preserve"> </w:t>
      </w:r>
      <w:r>
        <w:t xml:space="preserve">(1.0</w:t>
      </w:r>
      <w:r>
        <w:t xml:space="preserve"> </w:t>
      </w:r>
      <w:r>
        <w:t xml:space="preserve">Unit)</w:t>
      </w:r>
      <w:r>
        <w:t xml:space="preserve"> </w:t>
      </w:r>
      <w:r>
        <w:t xml:space="preserve">|</w:t>
      </w:r>
      <w:r>
        <w:t xml:space="preserve"> </w:t>
      </w:r>
      <w:r>
        <w:t xml:space="preserve">GHG</w:t>
      </w:r>
      <w:r>
        <w:t xml:space="preserve"> </w:t>
      </w:r>
      <w:r>
        <w:t xml:space="preserve">Protocol</w:t>
      </w:r>
    </w:p>
    <w:p>
      <w:pPr>
        <w:pStyle w:val="FirstParagraph"/>
      </w:pPr>
      <w:r>
        <w:t xml:space="preserve">carboncalcpcf.com</w:t>
      </w:r>
    </w:p>
    <w:p>
      <w:pPr>
        <w:pStyle w:val="BodyText"/>
      </w:pPr>
      <w:r>
        <w:t xml:space="preserve">GHG Protocol Compliant PCF Report</w:t>
      </w:r>
    </w:p>
    <w:p>
      <w:pPr>
        <w:pStyle w:val="BodyText"/>
      </w:pPr>
      <w:r>
        <w:t xml:space="preserve">Product Carbon Footprint (PCF) Technical Report</w:t>
      </w:r>
    </w:p>
    <w:p>
      <w:pPr>
        <w:pStyle w:val="BodyText"/>
      </w:pPr>
      <w:r>
        <w:t xml:space="preserve">Cradle-to-Gate Assessment for Industrial Smart Commercial Heat Pump (HP-NL-500)</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Accounting Standard:</w:t>
            </w:r>
          </w:p>
        </w:tc>
        <w:tc>
          <w:tcPr/>
          <w:p>
            <w:pPr>
              <w:pStyle w:val="Compact"/>
              <w:jc w:val="left"/>
            </w:pPr>
            <w:r>
              <w:rPr>
                <w:bCs/>
                <w:b/>
              </w:rPr>
              <w:t xml:space="preserve">GHG Protocol Product Life Cycle Accounting and Reporting Standard</w:t>
            </w:r>
          </w:p>
        </w:tc>
      </w:tr>
      <w:tr>
        <w:tc>
          <w:tcPr/>
          <w:p>
            <w:pPr>
              <w:pStyle w:val="Compact"/>
              <w:jc w:val="left"/>
            </w:pPr>
            <w:r>
              <w:t xml:space="preserve">Complementary Standard:</w:t>
            </w:r>
          </w:p>
        </w:tc>
        <w:tc>
          <w:tcPr/>
          <w:p>
            <w:pPr>
              <w:pStyle w:val="Compact"/>
              <w:jc w:val="left"/>
            </w:pPr>
            <w:r>
              <w:t xml:space="preserve">2026 GHG Protocol Land Sector and Removals (LSR) Standard</w:t>
            </w:r>
          </w:p>
        </w:tc>
      </w:tr>
      <w:tr>
        <w:tc>
          <w:tcPr/>
          <w:p>
            <w:pPr>
              <w:pStyle w:val="Compact"/>
              <w:jc w:val="left"/>
            </w:pPr>
            <w:r>
              <w:t xml:space="preserve">Functional Unit:</w:t>
            </w:r>
          </w:p>
        </w:tc>
        <w:tc>
          <w:tcPr/>
          <w:p>
            <w:pPr>
              <w:pStyle w:val="Compact"/>
              <w:jc w:val="left"/>
            </w:pPr>
            <w:r>
              <w:t xml:space="preserve">1.0 unit (HP-NL-500, 25 kW Nominal Thermal Capacity)</w:t>
            </w:r>
          </w:p>
        </w:tc>
      </w:tr>
      <w:tr>
        <w:tc>
          <w:tcPr/>
          <w:p>
            <w:pPr>
              <w:pStyle w:val="Compact"/>
              <w:jc w:val="left"/>
            </w:pPr>
            <w:r>
              <w:t xml:space="preserve">System Boundary:</w:t>
            </w:r>
          </w:p>
        </w:tc>
        <w:tc>
          <w:tcPr/>
          <w:p>
            <w:pPr>
              <w:pStyle w:val="Compact"/>
              <w:jc w:val="left"/>
            </w:pPr>
            <w:r>
              <w:t xml:space="preserve">Factory Gate (Cradle-to-Gate: Stages A1 - A3)</w:t>
            </w:r>
          </w:p>
        </w:tc>
      </w:tr>
      <w:tr>
        <w:tc>
          <w:tcPr/>
          <w:p>
            <w:pPr>
              <w:pStyle w:val="Compact"/>
              <w:jc w:val="left"/>
            </w:pPr>
            <w:r>
              <w:t xml:space="preserve">Geographic Focus:</w:t>
            </w:r>
          </w:p>
        </w:tc>
        <w:tc>
          <w:tcPr/>
          <w:p>
            <w:pPr>
              <w:pStyle w:val="Compact"/>
              <w:jc w:val="left"/>
            </w:pPr>
            <w:r>
              <w:t xml:space="preserve">Final Assembly: Netherlands; Supply Chain: Europe-Focused</w:t>
            </w:r>
          </w:p>
        </w:tc>
      </w:tr>
      <w:tr>
        <w:tc>
          <w:tcPr/>
          <w:p>
            <w:pPr>
              <w:pStyle w:val="Compact"/>
              <w:jc w:val="left"/>
            </w:pPr>
            <w:r>
              <w:t xml:space="preserve">Scope 3 Coverage:</w:t>
            </w:r>
          </w:p>
        </w:tc>
        <w:tc>
          <w:tcPr/>
          <w:p>
            <w:pPr>
              <w:pStyle w:val="Compact"/>
              <w:jc w:val="left"/>
            </w:pPr>
            <w:r>
              <w:t xml:space="preserve">97.8% of Total Upstream Gate Boundary (&gt;95% Threshold Compliant)</w:t>
            </w:r>
          </w:p>
        </w:tc>
      </w:tr>
      <w:tr>
        <w:tc>
          <w:tcPr/>
          <w:p>
            <w:pPr>
              <w:pStyle w:val="Compact"/>
              <w:jc w:val="left"/>
            </w:pPr>
            <w:r>
              <w:t xml:space="preserve">Assessment Completed:</w:t>
            </w:r>
          </w:p>
        </w:tc>
        <w:tc>
          <w:tcPr/>
          <w:p>
            <w:pPr>
              <w:pStyle w:val="Compact"/>
              <w:jc w:val="left"/>
            </w:pPr>
            <w:r>
              <w:t xml:space="preserve">October 2026</w:t>
            </w:r>
          </w:p>
        </w:tc>
      </w:tr>
    </w:tbl>
    <w:p>
      <w:pPr>
        <w:pStyle w:val="BodyText"/>
      </w:pPr>
      <w:r>
        <w:rPr>
          <w:bCs/>
          <w:b/>
        </w:rPr>
        <w:t xml:space="preserve">Notice &amp; Disclaimer:</w:t>
      </w:r>
      <w:r>
        <w:t xml:space="preserve"> </w:t>
      </w:r>
      <w:r>
        <w:t xml:space="preserve">This Product Carbon Footprint (PCF) report is generated in accordance with the GHG Protocol Product Life Cycle Accounting and Reporting Standard and the 2026 Land Sector and Removals (LSR) guidance. The findings herein are compiled based on primary activity data provided by the final manufacturing site in Tilburg, Netherlands, combined with secondary life cycle inventory (LCI) data from recognized databases (Ecoinvent 3.10 and DEFRA 2025/2026). This document is intended for formal compliance, supplier decarbonization assessments, and corporate inventory reporting.</w:t>
      </w:r>
    </w:p>
    <w:p>
      <w:pPr>
        <w:pStyle w:val="BodyText"/>
      </w:pPr>
      <w:r>
        <w:t xml:space="preserve">Product Carbon Footprint Report: HP-NL-500 (1.0 Unit)</w:t>
      </w:r>
      <w:r>
        <w:t xml:space="preserve"> </w:t>
      </w:r>
      <w:r>
        <w:t xml:space="preserve">Generated Date: October 2026</w:t>
      </w:r>
    </w:p>
    <w:bookmarkStart w:id="20" w:name="executive-summary"/>
    <w:p>
      <w:pPr>
        <w:pStyle w:val="Heading1"/>
      </w:pPr>
      <w:r>
        <w:t xml:space="preserve">Executive Summary</w:t>
      </w:r>
    </w:p>
    <w:p>
      <w:pPr>
        <w:pStyle w:val="FirstParagraph"/>
      </w:pPr>
      <w:r>
        <w:t xml:space="preserve">This report presents the verified cradle-to-gate Product Carbon Footprint (PCF) for one finished unit (1.0 unit) of the</w:t>
      </w:r>
      <w:r>
        <w:t xml:space="preserve"> </w:t>
      </w:r>
      <w:r>
        <w:rPr>
          <w:bCs/>
          <w:b/>
        </w:rPr>
        <w:t xml:space="preserve">HP-NL-500 Industrial Smart Commercial Heat Pump System</w:t>
      </w:r>
      <w:r>
        <w:t xml:space="preserve">, assembled in the Netherlands. The assessment strictly follows the</w:t>
      </w:r>
      <w:r>
        <w:t xml:space="preserve"> </w:t>
      </w:r>
      <w:r>
        <w:rPr>
          <w:iCs/>
          <w:i/>
        </w:rPr>
        <w:t xml:space="preserve">Greenhouse Gas Protocol (GHG Protocol) Product Life Cycle Accounting and Reporting Standard</w:t>
      </w:r>
      <w:r>
        <w:t xml:space="preserve">, integrating the</w:t>
      </w:r>
      <w:r>
        <w:t xml:space="preserve"> </w:t>
      </w:r>
      <w:r>
        <w:rPr>
          <w:iCs/>
          <w:i/>
        </w:rPr>
        <w:t xml:space="preserve">2026 Land Sector and Removals (LSR) Standard</w:t>
      </w:r>
      <w:r>
        <w:t xml:space="preserve"> </w:t>
      </w:r>
      <w:r>
        <w:t xml:space="preserve">for upstream biogenic materials and direct emissions accounting.</w:t>
      </w:r>
    </w:p>
    <w:p>
      <w:pPr>
        <w:pStyle w:val="BodyText"/>
      </w:pPr>
      <w:r>
        <w:t xml:space="preserve">The total cradle-to-gate carbon footprint is</w:t>
      </w:r>
      <w:r>
        <w:t xml:space="preserve"> </w:t>
      </w:r>
      <w:r>
        <w:rPr>
          <w:bCs/>
          <w:b/>
        </w:rPr>
        <w:t xml:space="preserve">1,482.42 kg CO</w:t>
      </w:r>
      <w:r>
        <w:rPr>
          <w:vertAlign w:val="subscript"/>
          <w:bCs/>
          <w:b/>
        </w:rPr>
        <w:t xml:space="preserve">2</w:t>
      </w:r>
      <w:r>
        <w:rPr>
          <w:bCs/>
          <w:b/>
        </w:rPr>
        <w:t xml:space="preserve">e per functional unit</w:t>
      </w:r>
      <w:r>
        <w:t xml:space="preserve"> </w:t>
      </w:r>
      <w:r>
        <w:t xml:space="preserve">under the primary Market-Based electricity accounting approach (and</w:t>
      </w:r>
      <w:r>
        <w:t xml:space="preserve"> </w:t>
      </w:r>
      <w:r>
        <w:rPr>
          <w:bCs/>
          <w:b/>
        </w:rPr>
        <w:t xml:space="preserve">1,514.86 kg CO</w:t>
      </w:r>
      <w:r>
        <w:rPr>
          <w:vertAlign w:val="subscript"/>
          <w:bCs/>
          <w:b/>
        </w:rPr>
        <w:t xml:space="preserve">2</w:t>
      </w:r>
      <w:r>
        <w:rPr>
          <w:bCs/>
          <w:b/>
        </w:rPr>
        <w:t xml:space="preserve">e per functional unit</w:t>
      </w:r>
      <w:r>
        <w:t xml:space="preserve"> </w:t>
      </w:r>
      <w:r>
        <w:t xml:space="preserve">under the Location-Based approach). Upstream Scope 3 emissions account for the vast majority of the footprint, with material extraction and component manufacturing driving the overall impact.</w:t>
      </w:r>
    </w:p>
    <w:p>
      <w:pPr>
        <w:pStyle w:val="BodyText"/>
      </w:pPr>
      <w:r>
        <w:t xml:space="preserve">Key Emissions Summary (Functional Unit: 1.0 Finished Heat Pump)</w:t>
      </w:r>
    </w:p>
    <w:p>
      <w:pPr>
        <w:numPr>
          <w:ilvl w:val="0"/>
          <w:numId w:val="1001"/>
        </w:numPr>
        <w:pStyle w:val="Compact"/>
      </w:pPr>
      <w:r>
        <w:rPr>
          <w:bCs/>
          <w:b/>
        </w:rPr>
        <w:t xml:space="preserve">Scope 1 (Direct Operations):</w:t>
      </w:r>
      <w:r>
        <w:t xml:space="preserve"> </w:t>
      </w:r>
      <w:r>
        <w:t xml:space="preserve">9.42 kg CO</w:t>
      </w:r>
      <w:r>
        <w:rPr>
          <w:vertAlign w:val="subscript"/>
        </w:rPr>
        <w:t xml:space="preserve">2</w:t>
      </w:r>
      <w:r>
        <w:t xml:space="preserve">e (0.64% of total)</w:t>
      </w:r>
    </w:p>
    <w:p>
      <w:pPr>
        <w:numPr>
          <w:ilvl w:val="0"/>
          <w:numId w:val="1001"/>
        </w:numPr>
        <w:pStyle w:val="Compact"/>
      </w:pPr>
      <w:r>
        <w:rPr>
          <w:bCs/>
          <w:b/>
        </w:rPr>
        <w:t xml:space="preserve">Scope 2 (Indirect - Purchased Electricity &amp; Heating, Market-Based):</w:t>
      </w:r>
      <w:r>
        <w:t xml:space="preserve"> </w:t>
      </w:r>
      <w:r>
        <w:t xml:space="preserve">2.21 kg CO</w:t>
      </w:r>
      <w:r>
        <w:rPr>
          <w:vertAlign w:val="subscript"/>
        </w:rPr>
        <w:t xml:space="preserve">2</w:t>
      </w:r>
      <w:r>
        <w:t xml:space="preserve">e (0.15% of total)</w:t>
      </w:r>
    </w:p>
    <w:p>
      <w:pPr>
        <w:numPr>
          <w:ilvl w:val="0"/>
          <w:numId w:val="1001"/>
        </w:numPr>
        <w:pStyle w:val="Compact"/>
      </w:pPr>
      <w:r>
        <w:rPr>
          <w:bCs/>
          <w:b/>
        </w:rPr>
        <w:t xml:space="preserve">Scope 3 (Upstream Value Chain, Cradle-to-Gate):</w:t>
      </w:r>
      <w:r>
        <w:t xml:space="preserve"> </w:t>
      </w:r>
      <w:r>
        <w:t xml:space="preserve">1,470.79 kg CO</w:t>
      </w:r>
      <w:r>
        <w:rPr>
          <w:vertAlign w:val="subscript"/>
        </w:rPr>
        <w:t xml:space="preserve">2</w:t>
      </w:r>
      <w:r>
        <w:t xml:space="preserve">e (99.21% of total)</w:t>
      </w:r>
    </w:p>
    <w:p>
      <w:pPr>
        <w:numPr>
          <w:ilvl w:val="0"/>
          <w:numId w:val="1001"/>
        </w:numPr>
        <w:pStyle w:val="Compact"/>
      </w:pPr>
      <w:r>
        <w:rPr>
          <w:bCs/>
          <w:b/>
        </w:rPr>
        <w:t xml:space="preserve">Scope 3 Boundary Coverage:</w:t>
      </w:r>
      <w:r>
        <w:t xml:space="preserve"> </w:t>
      </w:r>
      <w:r>
        <w:t xml:space="preserve">97.8% of upstream impacts quantified, fully satisfying the 2026 ≥95% Scope 3 coverage rule.</w:t>
      </w:r>
    </w:p>
    <w:p>
      <w:pPr>
        <w:numPr>
          <w:ilvl w:val="0"/>
          <w:numId w:val="1001"/>
        </w:numPr>
        <w:pStyle w:val="Compact"/>
      </w:pPr>
      <w:r>
        <w:rPr>
          <w:bCs/>
          <w:b/>
        </w:rPr>
        <w:t xml:space="preserve">2026 LSR Land Sector &amp; Carbon Removals:</w:t>
      </w:r>
      <w:r>
        <w:t xml:space="preserve"> </w:t>
      </w:r>
      <w:r>
        <w:t xml:space="preserve">Net neutral biogenic storage of -12.40 kg CO</w:t>
      </w:r>
      <w:r>
        <w:rPr>
          <w:vertAlign w:val="subscript"/>
        </w:rPr>
        <w:t xml:space="preserve">2</w:t>
      </w:r>
      <w:r>
        <w:t xml:space="preserve">e in FSC-certified timber packaging, reported distinctly in accordance with GHG Protocol 2026 LSR requirements.</w:t>
      </w:r>
    </w:p>
    <w:p>
      <w:r>
        <w:pict>
          <v:rect style="width:0;height:1.5pt" o:hralign="center" o:hrstd="t" o:hr="t"/>
        </w:pict>
      </w:r>
    </w:p>
    <w:bookmarkEnd w:id="20"/>
    <w:bookmarkStart w:id="25" w:name="scope-definition-and-assessment-boundary"/>
    <w:p>
      <w:pPr>
        <w:pStyle w:val="Heading1"/>
      </w:pPr>
      <w:r>
        <w:t xml:space="preserve">1. Scope Definition and Assessment Boundary</w:t>
      </w:r>
    </w:p>
    <w:bookmarkStart w:id="21" w:name="functional-unit"/>
    <w:p>
      <w:pPr>
        <w:pStyle w:val="Heading2"/>
      </w:pPr>
      <w:r>
        <w:t xml:space="preserve">1.1 Functional Unit</w:t>
      </w:r>
    </w:p>
    <w:p>
      <w:pPr>
        <w:pStyle w:val="FirstParagraph"/>
      </w:pPr>
      <w:r>
        <w:t xml:space="preserve">The functional unit is defined as</w:t>
      </w:r>
      <w:r>
        <w:t xml:space="preserve"> </w:t>
      </w:r>
      <w:r>
        <w:rPr>
          <w:bCs/>
          <w:b/>
        </w:rPr>
        <w:t xml:space="preserve">1.0 unit of fully assembled, tested, and packaged HP-NL-500 Commercial Heat Pump</w:t>
      </w:r>
      <w:r>
        <w:t xml:space="preserve"> </w:t>
      </w:r>
      <w:r>
        <w:t xml:space="preserve">with a rated heating capacity of 25.0 kW (R290 working fluid, total dry weight of 214.5 kg, excluding external distribution piping and secondary ducting).</w:t>
      </w:r>
    </w:p>
    <w:bookmarkEnd w:id="21"/>
    <w:bookmarkStart w:id="22" w:name="Xc571c570b398d84819b32ca86b5eae90dde3ffd"/>
    <w:p>
      <w:pPr>
        <w:pStyle w:val="Heading2"/>
      </w:pPr>
      <w:r>
        <w:t xml:space="preserve">1.2 System Boundary: Factory Gate (Cradle-to-Gate)</w:t>
      </w:r>
    </w:p>
    <w:p>
      <w:pPr>
        <w:pStyle w:val="FirstParagraph"/>
      </w:pPr>
      <w:r>
        <w:t xml:space="preserve">The assessment boundary extends from the extraction of raw geological and bio-based resources up to the completion and packaging of the unit at the manufacturing facility gate in Tilburg, North Brabant, Netherlands (Stages A1 through A3 according to EN 15804 / ISO 14067 modules). Downstream installation, operational lifetime refrigerant replenishment, building operational use (Use Stage B1–B7), and final decommissioning (End of Life Stage C1–C4) are excluded from this factory-gate declaration.</w:t>
      </w:r>
    </w:p>
    <w:p>
      <w:pPr>
        <w:numPr>
          <w:ilvl w:val="0"/>
          <w:numId w:val="1002"/>
        </w:numPr>
        <w:pStyle w:val="Compact"/>
      </w:pPr>
      <w:r>
        <w:rPr>
          <w:bCs/>
          <w:b/>
        </w:rPr>
        <w:t xml:space="preserve">Stage A1 (Raw Material Extraction and Processing):</w:t>
      </w:r>
      <w:r>
        <w:t xml:space="preserve"> </w:t>
      </w:r>
      <w:r>
        <w:t xml:space="preserve">Mining, smelting, chemical refining, and precursor synthesis of sheet steel, copper piping, aluminum exchanger blocks, compressor castings, printed circuit boards (PCBs), and hydrocarbon refrigerants.</w:t>
      </w:r>
    </w:p>
    <w:p>
      <w:pPr>
        <w:numPr>
          <w:ilvl w:val="0"/>
          <w:numId w:val="1002"/>
        </w:numPr>
        <w:pStyle w:val="Compact"/>
      </w:pPr>
      <w:r>
        <w:rPr>
          <w:bCs/>
          <w:b/>
        </w:rPr>
        <w:t xml:space="preserve">Stage A2 (Inbound Transportation):</w:t>
      </w:r>
      <w:r>
        <w:t xml:space="preserve"> </w:t>
      </w:r>
      <w:r>
        <w:t xml:space="preserve">Heavy freight, rail, and European regional container logistics transporting intermediate parts from Tier-1 and Tier-2 European suppliers to Tilburg, Netherlands.</w:t>
      </w:r>
    </w:p>
    <w:p>
      <w:pPr>
        <w:numPr>
          <w:ilvl w:val="0"/>
          <w:numId w:val="1002"/>
        </w:numPr>
        <w:pStyle w:val="Compact"/>
      </w:pPr>
      <w:r>
        <w:rPr>
          <w:bCs/>
          <w:b/>
        </w:rPr>
        <w:t xml:space="preserve">Stage A3 (Manufacturing &amp; Final Packaging):</w:t>
      </w:r>
      <w:r>
        <w:t xml:space="preserve"> </w:t>
      </w:r>
      <w:r>
        <w:t xml:space="preserve">Sheet metal cutting, automated CNC bending, copper tube expansion, robotic soldering, hermetic refrigerant charging, vacuum tightness leak testing, end-of-line electrical performance validation, and wooden/corrugated protective packaging.</w:t>
      </w:r>
    </w:p>
    <w:bookmarkEnd w:id="22"/>
    <w:bookmarkStart w:id="23" w:name="geographic-scope-supply-chain-sourcing"/>
    <w:p>
      <w:pPr>
        <w:pStyle w:val="Heading2"/>
      </w:pPr>
      <w:r>
        <w:t xml:space="preserve">1.3 Geographic Scope &amp; Supply Chain Sourcing</w:t>
      </w:r>
    </w:p>
    <w:p>
      <w:pPr>
        <w:pStyle w:val="FirstParagraph"/>
      </w:pPr>
      <w:r>
        <w:t xml:space="preserve">The manufacturing and quality verification take place exclusively in the</w:t>
      </w:r>
      <w:r>
        <w:t xml:space="preserve"> </w:t>
      </w:r>
      <w:r>
        <w:rPr>
          <w:bCs/>
          <w:b/>
        </w:rPr>
        <w:t xml:space="preserve">Netherlands</w:t>
      </w:r>
      <w:r>
        <w:t xml:space="preserve">. The supply chain has an explicit</w:t>
      </w:r>
      <w:r>
        <w:t xml:space="preserve"> </w:t>
      </w:r>
      <w:r>
        <w:rPr>
          <w:bCs/>
          <w:b/>
        </w:rPr>
        <w:t xml:space="preserve">Europe-Focused</w:t>
      </w:r>
      <w:r>
        <w:t xml:space="preserve"> </w:t>
      </w:r>
      <w:r>
        <w:t xml:space="preserve">geographic footprint:</w:t>
      </w:r>
    </w:p>
    <w:p>
      <w:pPr>
        <w:numPr>
          <w:ilvl w:val="0"/>
          <w:numId w:val="1003"/>
        </w:numPr>
        <w:pStyle w:val="Compact"/>
      </w:pPr>
      <w:r>
        <w:t xml:space="preserve">Chassis structural steel and brackets: Germany and Belgium (average transit 350 km).</w:t>
      </w:r>
    </w:p>
    <w:p>
      <w:pPr>
        <w:numPr>
          <w:ilvl w:val="0"/>
          <w:numId w:val="1003"/>
        </w:numPr>
        <w:pStyle w:val="Compact"/>
      </w:pPr>
      <w:r>
        <w:t xml:space="preserve">Copper coils, piping, and brass fittings: Germany and Poland (average transit 720 km).</w:t>
      </w:r>
    </w:p>
    <w:p>
      <w:pPr>
        <w:numPr>
          <w:ilvl w:val="0"/>
          <w:numId w:val="1003"/>
        </w:numPr>
        <w:pStyle w:val="Compact"/>
      </w:pPr>
      <w:r>
        <w:t xml:space="preserve">Aluminum microchannel evaporators: Sweden and France (average transit 950 km).</w:t>
      </w:r>
    </w:p>
    <w:p>
      <w:pPr>
        <w:numPr>
          <w:ilvl w:val="0"/>
          <w:numId w:val="1003"/>
        </w:numPr>
        <w:pStyle w:val="Compact"/>
      </w:pPr>
      <w:r>
        <w:t xml:space="preserve">Inverter motor drive, semiconductors, and electronic control boards: Germany and Czech Republic (average transit 780 km).</w:t>
      </w:r>
    </w:p>
    <w:p>
      <w:pPr>
        <w:numPr>
          <w:ilvl w:val="0"/>
          <w:numId w:val="1003"/>
        </w:numPr>
        <w:pStyle w:val="Compact"/>
      </w:pPr>
      <w:r>
        <w:t xml:space="preserve">Refrigerant fluid (Ultra-pure R290 Propane): Netherlands domestic chemical distributor (transit 85 km).</w:t>
      </w:r>
    </w:p>
    <w:bookmarkEnd w:id="23"/>
    <w:bookmarkStart w:id="24" w:name="cut-off-criteria-allocation-rules"/>
    <w:p>
      <w:pPr>
        <w:pStyle w:val="Heading2"/>
      </w:pPr>
      <w:r>
        <w:t xml:space="preserve">1.4 Cut-off Criteria &amp; Allocation Rules</w:t>
      </w:r>
    </w:p>
    <w:p>
      <w:pPr>
        <w:pStyle w:val="FirstParagraph"/>
      </w:pPr>
      <w:r>
        <w:t xml:space="preserve">In conformance with the GHG Protocol Product Standard, all mass and energy flows exceeding 0.1% of the total unit weight or primary energy use were cataloged. Cumulative exclusions (such as grease lubricants, traceability barcode labels, and minor soldering flux residues) do not exceed 0.8% of unit mass, ensuring that</w:t>
      </w:r>
      <w:r>
        <w:t xml:space="preserve"> </w:t>
      </w:r>
      <w:r>
        <w:rPr>
          <w:bCs/>
          <w:b/>
        </w:rPr>
        <w:t xml:space="preserve">&gt;99.2% of total mass</w:t>
      </w:r>
      <w:r>
        <w:t xml:space="preserve"> </w:t>
      </w:r>
      <w:r>
        <w:t xml:space="preserve">and</w:t>
      </w:r>
      <w:r>
        <w:t xml:space="preserve"> </w:t>
      </w:r>
      <w:r>
        <w:rPr>
          <w:bCs/>
          <w:b/>
        </w:rPr>
        <w:t xml:space="preserve">&gt;95% Scope 3 emissions</w:t>
      </w:r>
      <w:r>
        <w:t xml:space="preserve"> </w:t>
      </w:r>
      <w:r>
        <w:t xml:space="preserve">are completely accounted for.</w:t>
      </w:r>
    </w:p>
    <w:p>
      <w:pPr>
        <w:pStyle w:val="BodyText"/>
      </w:pPr>
      <w:r>
        <w:t xml:space="preserve">Physical allocation based on mass and unit throughput is applied to allocate general facility electrical consumption, heating gas, and internal scrap handling at the Tilburg production facility.</w:t>
      </w:r>
    </w:p>
    <w:p>
      <w:r>
        <w:pict>
          <v:rect style="width:0;height:1.5pt" o:hralign="center" o:hrstd="t" o:hr="t"/>
        </w:pict>
      </w:r>
    </w:p>
    <w:bookmarkEnd w:id="24"/>
    <w:bookmarkEnd w:id="25"/>
    <w:bookmarkStart w:id="26" w:name="life-cycle-inventory-lci-mapping"/>
    <w:p>
      <w:pPr>
        <w:pStyle w:val="Heading1"/>
      </w:pPr>
      <w:r>
        <w:t xml:space="preserve">2. Life Cycle Inventory (LCI) &amp; Mapping</w:t>
      </w:r>
    </w:p>
    <w:p>
      <w:pPr>
        <w:pStyle w:val="FirstParagraph"/>
      </w:pPr>
      <w:r>
        <w:t xml:space="preserve">The LCI accounts for every material input, chemical additive, sub-assembly component, and energy stream entering the manufacturing gate.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LCI Category / Sub-Assembly</w:t>
            </w:r>
          </w:p>
        </w:tc>
        <w:tc>
          <w:tcPr/>
          <w:p>
            <w:pPr>
              <w:pStyle w:val="Compact"/>
              <w:jc w:val="left"/>
            </w:pPr>
            <w:r>
              <w:t xml:space="preserve">Material / Energy Constituent</w:t>
            </w:r>
          </w:p>
        </w:tc>
        <w:tc>
          <w:tcPr/>
          <w:p>
            <w:pPr>
              <w:pStyle w:val="Compact"/>
              <w:jc w:val="left"/>
            </w:pPr>
            <w:r>
              <w:t xml:space="preserve">Quantity per Unit</w:t>
            </w:r>
          </w:p>
        </w:tc>
        <w:tc>
          <w:tcPr/>
          <w:p>
            <w:pPr>
              <w:pStyle w:val="Compact"/>
              <w:jc w:val="left"/>
            </w:pPr>
            <w:r>
              <w:t xml:space="preserve">Data Source Tier</w:t>
            </w:r>
          </w:p>
        </w:tc>
        <w:tc>
          <w:tcPr/>
          <w:p>
            <w:pPr>
              <w:pStyle w:val="Compact"/>
              <w:jc w:val="left"/>
            </w:pPr>
            <w:r>
              <w:t xml:space="preserve">Geographic Provenance</w:t>
            </w:r>
          </w:p>
        </w:tc>
      </w:tr>
      <w:tr>
        <w:tc>
          <w:tcPr/>
          <w:p>
            <w:pPr>
              <w:pStyle w:val="Compact"/>
              <w:jc w:val="left"/>
            </w:pPr>
            <w:r>
              <w:t xml:space="preserve">Chassis &amp; Structural Framework</w:t>
            </w:r>
          </w:p>
        </w:tc>
        <w:tc>
          <w:tcPr/>
          <w:p>
            <w:pPr>
              <w:pStyle w:val="Compact"/>
              <w:jc w:val="left"/>
            </w:pPr>
            <w:r>
              <w:t xml:space="preserve">Galvanized Structural Steel Plate (S250GD)</w:t>
            </w:r>
          </w:p>
        </w:tc>
        <w:tc>
          <w:tcPr/>
          <w:p>
            <w:pPr>
              <w:pStyle w:val="Compact"/>
              <w:jc w:val="left"/>
            </w:pPr>
            <w:r>
              <w:t xml:space="preserve">82.40 kg</w:t>
            </w:r>
          </w:p>
        </w:tc>
        <w:tc>
          <w:tcPr/>
          <w:p>
            <w:pPr>
              <w:pStyle w:val="Compact"/>
              <w:jc w:val="left"/>
            </w:pPr>
            <w:r>
              <w:t xml:space="preserve">Tier 1 Primary / Supplier EPD</w:t>
            </w:r>
          </w:p>
        </w:tc>
        <w:tc>
          <w:tcPr/>
          <w:p>
            <w:pPr>
              <w:pStyle w:val="Compact"/>
              <w:jc w:val="left"/>
            </w:pPr>
            <w:r>
              <w:t xml:space="preserve">Duisburg, Germany</w:t>
            </w:r>
          </w:p>
        </w:tc>
      </w:tr>
      <w:tr>
        <w:tc>
          <w:tcPr/>
          <w:p>
            <w:pPr>
              <w:pStyle w:val="Compact"/>
              <w:jc w:val="left"/>
            </w:pPr>
            <w:r>
              <w:t xml:space="preserve">Hydronic Circuitry &amp; Coils</w:t>
            </w:r>
          </w:p>
        </w:tc>
        <w:tc>
          <w:tcPr/>
          <w:p>
            <w:pPr>
              <w:pStyle w:val="Compact"/>
              <w:jc w:val="left"/>
            </w:pPr>
            <w:r>
              <w:t xml:space="preserve">Deoxidized High Phosphorus Copper (Cu-DHP)</w:t>
            </w:r>
          </w:p>
        </w:tc>
        <w:tc>
          <w:tcPr/>
          <w:p>
            <w:pPr>
              <w:pStyle w:val="Compact"/>
              <w:jc w:val="left"/>
            </w:pPr>
            <w:r>
              <w:t xml:space="preserve">26.80 kg</w:t>
            </w:r>
          </w:p>
        </w:tc>
        <w:tc>
          <w:tcPr/>
          <w:p>
            <w:pPr>
              <w:pStyle w:val="Compact"/>
              <w:jc w:val="left"/>
            </w:pPr>
            <w:r>
              <w:t xml:space="preserve">Tier 1 Primary / Supplier EPD</w:t>
            </w:r>
          </w:p>
        </w:tc>
        <w:tc>
          <w:tcPr/>
          <w:p>
            <w:pPr>
              <w:pStyle w:val="Compact"/>
              <w:jc w:val="left"/>
            </w:pPr>
            <w:r>
              <w:t xml:space="preserve">Wieland, Germany</w:t>
            </w:r>
          </w:p>
        </w:tc>
      </w:tr>
      <w:tr>
        <w:tc>
          <w:tcPr/>
          <w:p>
            <w:pPr>
              <w:pStyle w:val="Compact"/>
              <w:jc w:val="left"/>
            </w:pPr>
            <w:r>
              <w:t xml:space="preserve">Heat Exchanger Arrays</w:t>
            </w:r>
          </w:p>
        </w:tc>
        <w:tc>
          <w:tcPr/>
          <w:p>
            <w:pPr>
              <w:pStyle w:val="Compact"/>
              <w:jc w:val="left"/>
            </w:pPr>
            <w:r>
              <w:t xml:space="preserve">Wrought Aluminum Alloy (AlMn / Series 3000)</w:t>
            </w:r>
          </w:p>
        </w:tc>
        <w:tc>
          <w:tcPr/>
          <w:p>
            <w:pPr>
              <w:pStyle w:val="Compact"/>
              <w:jc w:val="left"/>
            </w:pPr>
            <w:r>
              <w:t xml:space="preserve">31.50 kg</w:t>
            </w:r>
          </w:p>
        </w:tc>
        <w:tc>
          <w:tcPr/>
          <w:p>
            <w:pPr>
              <w:pStyle w:val="Compact"/>
              <w:jc w:val="left"/>
            </w:pPr>
            <w:r>
              <w:t xml:space="preserve">Tier 2 Secondary / Ecoinvent</w:t>
            </w:r>
          </w:p>
        </w:tc>
        <w:tc>
          <w:tcPr/>
          <w:p>
            <w:pPr>
              <w:pStyle w:val="Compact"/>
              <w:jc w:val="left"/>
            </w:pPr>
            <w:r>
              <w:t xml:space="preserve">Rheinwerk, Germany</w:t>
            </w:r>
          </w:p>
        </w:tc>
      </w:tr>
      <w:tr>
        <w:tc>
          <w:tcPr/>
          <w:p>
            <w:pPr>
              <w:pStyle w:val="Compact"/>
              <w:jc w:val="left"/>
            </w:pPr>
            <w:r>
              <w:t xml:space="preserve">Hermetic Scroll Compressor</w:t>
            </w:r>
          </w:p>
        </w:tc>
        <w:tc>
          <w:tcPr/>
          <w:p>
            <w:pPr>
              <w:pStyle w:val="Compact"/>
              <w:jc w:val="left"/>
            </w:pPr>
            <w:r>
              <w:t xml:space="preserve">Cast Iron Casing, Rotor, Stator, NdFeB Magnet</w:t>
            </w:r>
          </w:p>
        </w:tc>
        <w:tc>
          <w:tcPr/>
          <w:p>
            <w:pPr>
              <w:pStyle w:val="Compact"/>
              <w:jc w:val="left"/>
            </w:pPr>
            <w:r>
              <w:t xml:space="preserve">42.00 kg</w:t>
            </w:r>
          </w:p>
        </w:tc>
        <w:tc>
          <w:tcPr/>
          <w:p>
            <w:pPr>
              <w:pStyle w:val="Compact"/>
              <w:jc w:val="left"/>
            </w:pPr>
            <w:r>
              <w:t xml:space="preserve">Tier 1 Primary Bill of Materials</w:t>
            </w:r>
          </w:p>
        </w:tc>
        <w:tc>
          <w:tcPr/>
          <w:p>
            <w:pPr>
              <w:pStyle w:val="Compact"/>
              <w:jc w:val="left"/>
            </w:pPr>
            <w:r>
              <w:t xml:space="preserve">France / EU</w:t>
            </w:r>
          </w:p>
        </w:tc>
      </w:tr>
      <w:tr>
        <w:tc>
          <w:tcPr/>
          <w:p>
            <w:pPr>
              <w:pStyle w:val="Compact"/>
              <w:jc w:val="left"/>
            </w:pPr>
            <w:r>
              <w:t xml:space="preserve">Variable Speed Inverter &amp; Control</w:t>
            </w:r>
          </w:p>
        </w:tc>
        <w:tc>
          <w:tcPr/>
          <w:p>
            <w:pPr>
              <w:pStyle w:val="Compact"/>
              <w:jc w:val="left"/>
            </w:pPr>
            <w:r>
              <w:t xml:space="preserve">PCB Substrates, Silicon MOSFETs, Solder, Cu traces</w:t>
            </w:r>
          </w:p>
        </w:tc>
        <w:tc>
          <w:tcPr/>
          <w:p>
            <w:pPr>
              <w:pStyle w:val="Compact"/>
              <w:jc w:val="left"/>
            </w:pPr>
            <w:r>
              <w:t xml:space="preserve">6.80 kg</w:t>
            </w:r>
          </w:p>
        </w:tc>
        <w:tc>
          <w:tcPr/>
          <w:p>
            <w:pPr>
              <w:pStyle w:val="Compact"/>
              <w:jc w:val="left"/>
            </w:pPr>
            <w:r>
              <w:t xml:space="preserve">Tier 2 Secondary / Ecoinvent</w:t>
            </w:r>
          </w:p>
        </w:tc>
        <w:tc>
          <w:tcPr/>
          <w:p>
            <w:pPr>
              <w:pStyle w:val="Compact"/>
              <w:jc w:val="left"/>
            </w:pPr>
            <w:r>
              <w:t xml:space="preserve">Germany / Czech Rep.</w:t>
            </w:r>
          </w:p>
        </w:tc>
      </w:tr>
      <w:tr>
        <w:tc>
          <w:tcPr/>
          <w:p>
            <w:pPr>
              <w:pStyle w:val="Compact"/>
              <w:jc w:val="left"/>
            </w:pPr>
            <w:r>
              <w:t xml:space="preserve">Thermal &amp; Acoustic Insulation</w:t>
            </w:r>
          </w:p>
        </w:tc>
        <w:tc>
          <w:tcPr/>
          <w:p>
            <w:pPr>
              <w:pStyle w:val="Compact"/>
              <w:jc w:val="left"/>
            </w:pPr>
            <w:r>
              <w:t xml:space="preserve">Rigid Polyurethane Foam (PUR) &amp; EPDM Gaskets</w:t>
            </w:r>
          </w:p>
        </w:tc>
        <w:tc>
          <w:tcPr/>
          <w:p>
            <w:pPr>
              <w:pStyle w:val="Compact"/>
              <w:jc w:val="left"/>
            </w:pPr>
            <w:r>
              <w:t xml:space="preserve">11.20 kg</w:t>
            </w:r>
          </w:p>
        </w:tc>
        <w:tc>
          <w:tcPr/>
          <w:p>
            <w:pPr>
              <w:pStyle w:val="Compact"/>
              <w:jc w:val="left"/>
            </w:pPr>
            <w:r>
              <w:t xml:space="preserve">Tier 2 Secondary / Ecoinvent</w:t>
            </w:r>
          </w:p>
        </w:tc>
        <w:tc>
          <w:tcPr/>
          <w:p>
            <w:pPr>
              <w:pStyle w:val="Compact"/>
              <w:jc w:val="left"/>
            </w:pPr>
            <w:r>
              <w:t xml:space="preserve">Antwerp, Belgium</w:t>
            </w:r>
          </w:p>
        </w:tc>
      </w:tr>
      <w:tr>
        <w:tc>
          <w:tcPr/>
          <w:p>
            <w:pPr>
              <w:pStyle w:val="Compact"/>
              <w:jc w:val="left"/>
            </w:pPr>
            <w:r>
              <w:t xml:space="preserve">Working Fluid (Refrigerant)</w:t>
            </w:r>
          </w:p>
        </w:tc>
        <w:tc>
          <w:tcPr/>
          <w:p>
            <w:pPr>
              <w:pStyle w:val="Compact"/>
              <w:jc w:val="left"/>
            </w:pPr>
            <w:r>
              <w:t xml:space="preserve">R290 Hydrocarbon (GWP = 3.0, AR6 100-yr)</w:t>
            </w:r>
          </w:p>
        </w:tc>
        <w:tc>
          <w:tcPr/>
          <w:p>
            <w:pPr>
              <w:pStyle w:val="Compact"/>
              <w:jc w:val="left"/>
            </w:pPr>
            <w:r>
              <w:t xml:space="preserve">1.65 kg</w:t>
            </w:r>
          </w:p>
        </w:tc>
        <w:tc>
          <w:tcPr/>
          <w:p>
            <w:pPr>
              <w:pStyle w:val="Compact"/>
              <w:jc w:val="left"/>
            </w:pPr>
            <w:r>
              <w:t xml:space="preserve">Primary Chemical Receipt</w:t>
            </w:r>
          </w:p>
        </w:tc>
        <w:tc>
          <w:tcPr/>
          <w:p>
            <w:pPr>
              <w:pStyle w:val="Compact"/>
              <w:jc w:val="left"/>
            </w:pPr>
            <w:r>
              <w:t xml:space="preserve">Rotterdam, Netherlands</w:t>
            </w:r>
          </w:p>
        </w:tc>
      </w:tr>
      <w:tr>
        <w:tc>
          <w:tcPr/>
          <w:p>
            <w:pPr>
              <w:pStyle w:val="Compact"/>
              <w:jc w:val="left"/>
            </w:pPr>
            <w:r>
              <w:t xml:space="preserve">Factory Packaging</w:t>
            </w:r>
          </w:p>
        </w:tc>
        <w:tc>
          <w:tcPr/>
          <w:p>
            <w:pPr>
              <w:pStyle w:val="Compact"/>
              <w:jc w:val="left"/>
            </w:pPr>
            <w:r>
              <w:t xml:space="preserve">FSC Certified Kiln-Dried Pine Pallet</w:t>
            </w:r>
          </w:p>
        </w:tc>
        <w:tc>
          <w:tcPr/>
          <w:p>
            <w:pPr>
              <w:pStyle w:val="Compact"/>
              <w:jc w:val="left"/>
            </w:pPr>
            <w:r>
              <w:t xml:space="preserve">16.50 kg</w:t>
            </w:r>
          </w:p>
        </w:tc>
        <w:tc>
          <w:tcPr/>
          <w:p>
            <w:pPr>
              <w:pStyle w:val="Compact"/>
              <w:jc w:val="left"/>
            </w:pPr>
            <w:r>
              <w:t xml:space="preserve">Primary Supplier Delivery Data</w:t>
            </w:r>
          </w:p>
        </w:tc>
        <w:tc>
          <w:tcPr/>
          <w:p>
            <w:pPr>
              <w:pStyle w:val="Compact"/>
              <w:jc w:val="left"/>
            </w:pPr>
            <w:r>
              <w:t xml:space="preserve">Netherlands (LSR Compliant)</w:t>
            </w:r>
          </w:p>
        </w:tc>
      </w:tr>
      <w:tr>
        <w:tc>
          <w:tcPr/>
          <w:p>
            <w:pPr>
              <w:pStyle w:val="Compact"/>
              <w:jc w:val="left"/>
            </w:pPr>
            <w:r>
              <w:t xml:space="preserve">Packaging Protective Enclosure</w:t>
            </w:r>
          </w:p>
        </w:tc>
        <w:tc>
          <w:tcPr/>
          <w:p>
            <w:pPr>
              <w:pStyle w:val="Compact"/>
              <w:jc w:val="left"/>
            </w:pPr>
            <w:r>
              <w:t xml:space="preserve">Double-wall Corrugated Paperboard (70% recycled)</w:t>
            </w:r>
          </w:p>
        </w:tc>
        <w:tc>
          <w:tcPr/>
          <w:p>
            <w:pPr>
              <w:pStyle w:val="Compact"/>
              <w:jc w:val="left"/>
            </w:pPr>
            <w:r>
              <w:t xml:space="preserve">6.20 kg</w:t>
            </w:r>
          </w:p>
        </w:tc>
        <w:tc>
          <w:tcPr/>
          <w:p>
            <w:pPr>
              <w:pStyle w:val="Compact"/>
              <w:jc w:val="left"/>
            </w:pPr>
            <w:r>
              <w:t xml:space="preserve">Primary Supplier Delivery Data</w:t>
            </w:r>
          </w:p>
        </w:tc>
        <w:tc>
          <w:tcPr/>
          <w:p>
            <w:pPr>
              <w:pStyle w:val="Compact"/>
              <w:jc w:val="left"/>
            </w:pPr>
            <w:r>
              <w:t xml:space="preserve">Netherlands</w:t>
            </w:r>
          </w:p>
        </w:tc>
      </w:tr>
      <w:tr>
        <w:tc>
          <w:tcPr/>
          <w:p>
            <w:pPr>
              <w:pStyle w:val="Compact"/>
              <w:jc w:val="left"/>
            </w:pPr>
            <w:r>
              <w:t xml:space="preserve">Assembly Electricity</w:t>
            </w:r>
          </w:p>
        </w:tc>
        <w:tc>
          <w:tcPr/>
          <w:p>
            <w:pPr>
              <w:pStyle w:val="Compact"/>
              <w:jc w:val="left"/>
            </w:pPr>
            <w:r>
              <w:t xml:space="preserve">Grid Electricity (Offset via Dutch Wind PPA)</w:t>
            </w:r>
          </w:p>
        </w:tc>
        <w:tc>
          <w:tcPr/>
          <w:p>
            <w:pPr>
              <w:pStyle w:val="Compact"/>
              <w:jc w:val="left"/>
            </w:pPr>
            <w:r>
              <w:t xml:space="preserve">108.50 kWh</w:t>
            </w:r>
          </w:p>
        </w:tc>
        <w:tc>
          <w:tcPr/>
          <w:p>
            <w:pPr>
              <w:pStyle w:val="Compact"/>
              <w:jc w:val="left"/>
            </w:pPr>
            <w:r>
              <w:t xml:space="preserve">Primary Factory Sub-meter</w:t>
            </w:r>
          </w:p>
        </w:tc>
        <w:tc>
          <w:tcPr/>
          <w:p>
            <w:pPr>
              <w:pStyle w:val="Compact"/>
              <w:jc w:val="left"/>
            </w:pPr>
            <w:r>
              <w:t xml:space="preserve">Tilburg, Netherlands</w:t>
            </w:r>
          </w:p>
        </w:tc>
      </w:tr>
      <w:tr>
        <w:tc>
          <w:tcPr/>
          <w:p>
            <w:pPr>
              <w:pStyle w:val="Compact"/>
              <w:jc w:val="left"/>
            </w:pPr>
            <w:r>
              <w:t xml:space="preserve">Assembly Space &amp; Test Heating</w:t>
            </w:r>
          </w:p>
        </w:tc>
        <w:tc>
          <w:tcPr/>
          <w:p>
            <w:pPr>
              <w:pStyle w:val="Compact"/>
              <w:jc w:val="left"/>
            </w:pPr>
            <w:r>
              <w:t xml:space="preserve">Direct Natural Gas (High-efficiency boiler)</w:t>
            </w:r>
          </w:p>
        </w:tc>
        <w:tc>
          <w:tcPr/>
          <w:p>
            <w:pPr>
              <w:pStyle w:val="Compact"/>
              <w:jc w:val="left"/>
            </w:pPr>
            <w:r>
              <w:t xml:space="preserve">46.20 kWh (4.52 m³)</w:t>
            </w:r>
          </w:p>
        </w:tc>
        <w:tc>
          <w:tcPr/>
          <w:p>
            <w:pPr>
              <w:pStyle w:val="Compact"/>
              <w:jc w:val="left"/>
            </w:pPr>
            <w:r>
              <w:t xml:space="preserve">Primary Gas Utility Invoice</w:t>
            </w:r>
          </w:p>
        </w:tc>
        <w:tc>
          <w:tcPr/>
          <w:p>
            <w:pPr>
              <w:pStyle w:val="Compact"/>
              <w:jc w:val="left"/>
            </w:pPr>
            <w:r>
              <w:t xml:space="preserve">Tilburg, Netherlands</w:t>
            </w:r>
          </w:p>
        </w:tc>
      </w:tr>
    </w:tbl>
    <w:p>
      <w:r>
        <w:pict>
          <v:rect style="width:0;height:1.5pt" o:hralign="center" o:hrstd="t" o:hr="t"/>
        </w:pict>
      </w:r>
    </w:p>
    <w:bookmarkEnd w:id="26"/>
    <w:bookmarkStart w:id="27" w:name="data-collection-quality-assessment"/>
    <w:p>
      <w:pPr>
        <w:pStyle w:val="Heading1"/>
      </w:pPr>
      <w:r>
        <w:t xml:space="preserve">3. Data Collection &amp; Quality Assessment</w:t>
      </w:r>
    </w:p>
    <w:p>
      <w:pPr>
        <w:pStyle w:val="FirstParagraph"/>
      </w:pPr>
      <w:r>
        <w:t xml:space="preserve">Data sets are classified into primary (activity data gathered directly from facility systems and primary tier-1 bills of materials) and secondary data (peer-reviewed life cycle databases including Ecoinvent v3.10 cut-off and DEFRA 2025/2026 GHG conversion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Data Parameter</w:t>
            </w:r>
          </w:p>
        </w:tc>
        <w:tc>
          <w:tcPr/>
          <w:p>
            <w:pPr>
              <w:pStyle w:val="Compact"/>
              <w:jc w:val="left"/>
            </w:pPr>
            <w:r>
              <w:t xml:space="preserve">Assessment Criteria</w:t>
            </w:r>
          </w:p>
        </w:tc>
        <w:tc>
          <w:tcPr/>
          <w:p>
            <w:pPr>
              <w:pStyle w:val="Compact"/>
              <w:jc w:val="left"/>
            </w:pPr>
            <w:r>
              <w:t xml:space="preserve">Quality Rating</w:t>
            </w:r>
          </w:p>
        </w:tc>
        <w:tc>
          <w:tcPr/>
          <w:p>
            <w:pPr>
              <w:pStyle w:val="Compact"/>
              <w:jc w:val="left"/>
            </w:pPr>
            <w:r>
              <w:t xml:space="preserve">Mitigation &amp; Methodological Notes</w:t>
            </w:r>
          </w:p>
        </w:tc>
      </w:tr>
      <w:tr>
        <w:tc>
          <w:tcPr/>
          <w:p>
            <w:pPr>
              <w:pStyle w:val="Compact"/>
              <w:jc w:val="left"/>
            </w:pPr>
            <w:r>
              <w:t xml:space="preserve">Temporal Representativeness</w:t>
            </w:r>
          </w:p>
        </w:tc>
        <w:tc>
          <w:tcPr/>
          <w:p>
            <w:pPr>
              <w:pStyle w:val="Compact"/>
              <w:jc w:val="left"/>
            </w:pPr>
            <w:r>
              <w:t xml:space="preserve">Data collected over calendar year 2025/2026</w:t>
            </w:r>
          </w:p>
        </w:tc>
        <w:tc>
          <w:tcPr/>
          <w:p>
            <w:pPr>
              <w:pStyle w:val="Compact"/>
              <w:jc w:val="left"/>
            </w:pPr>
            <w:r>
              <w:t xml:space="preserve">Very High</w:t>
            </w:r>
          </w:p>
        </w:tc>
        <w:tc>
          <w:tcPr/>
          <w:p>
            <w:pPr>
              <w:pStyle w:val="Compact"/>
              <w:jc w:val="left"/>
            </w:pPr>
            <w:r>
              <w:t xml:space="preserve">All meter readings and shipping manifests represent recent 12-month production.</w:t>
            </w:r>
          </w:p>
        </w:tc>
      </w:tr>
      <w:tr>
        <w:tc>
          <w:tcPr/>
          <w:p>
            <w:pPr>
              <w:pStyle w:val="Compact"/>
              <w:jc w:val="left"/>
            </w:pPr>
            <w:r>
              <w:t xml:space="preserve">Geographical Specificity</w:t>
            </w:r>
          </w:p>
        </w:tc>
        <w:tc>
          <w:tcPr/>
          <w:p>
            <w:pPr>
              <w:pStyle w:val="Compact"/>
              <w:jc w:val="left"/>
            </w:pPr>
            <w:r>
              <w:t xml:space="preserve">Netherlands final gate &amp; West-European supply nodes</w:t>
            </w:r>
          </w:p>
        </w:tc>
        <w:tc>
          <w:tcPr/>
          <w:p>
            <w:pPr>
              <w:pStyle w:val="Compact"/>
              <w:jc w:val="left"/>
            </w:pPr>
            <w:r>
              <w:t xml:space="preserve">High</w:t>
            </w:r>
          </w:p>
        </w:tc>
        <w:tc>
          <w:tcPr/>
          <w:p>
            <w:pPr>
              <w:pStyle w:val="Compact"/>
              <w:jc w:val="left"/>
            </w:pPr>
            <w:r>
              <w:t xml:space="preserve">Country-specific grid factors and specific European freight distance models applied.</w:t>
            </w:r>
          </w:p>
        </w:tc>
      </w:tr>
      <w:tr>
        <w:tc>
          <w:tcPr/>
          <w:p>
            <w:pPr>
              <w:pStyle w:val="Compact"/>
              <w:jc w:val="left"/>
            </w:pPr>
            <w:r>
              <w:t xml:space="preserve">Technological Alignment</w:t>
            </w:r>
          </w:p>
        </w:tc>
        <w:tc>
          <w:tcPr/>
          <w:p>
            <w:pPr>
              <w:pStyle w:val="Compact"/>
              <w:jc w:val="left"/>
            </w:pPr>
            <w:r>
              <w:t xml:space="preserve">State-of-the-art heat pump manufacturing lines</w:t>
            </w:r>
          </w:p>
        </w:tc>
        <w:tc>
          <w:tcPr/>
          <w:p>
            <w:pPr>
              <w:pStyle w:val="Compact"/>
              <w:jc w:val="left"/>
            </w:pPr>
            <w:r>
              <w:t xml:space="preserve">High</w:t>
            </w:r>
          </w:p>
        </w:tc>
        <w:tc>
          <w:tcPr/>
          <w:p>
            <w:pPr>
              <w:pStyle w:val="Compact"/>
              <w:jc w:val="left"/>
            </w:pPr>
            <w:r>
              <w:t xml:space="preserve">Direct measurement of energy sub-meters for sheet pressing, soldering, and vacuum pumps.</w:t>
            </w:r>
          </w:p>
        </w:tc>
      </w:tr>
      <w:tr>
        <w:tc>
          <w:tcPr/>
          <w:p>
            <w:pPr>
              <w:pStyle w:val="Compact"/>
              <w:jc w:val="left"/>
            </w:pPr>
            <w:r>
              <w:t xml:space="preserve">Completeness &amp; Uncertainty</w:t>
            </w:r>
          </w:p>
        </w:tc>
        <w:tc>
          <w:tcPr/>
          <w:p>
            <w:pPr>
              <w:pStyle w:val="Compact"/>
              <w:jc w:val="left"/>
            </w:pPr>
            <w:r>
              <w:t xml:space="preserve">Comprehensive mass balance verification</w:t>
            </w:r>
          </w:p>
        </w:tc>
        <w:tc>
          <w:tcPr/>
          <w:p>
            <w:pPr>
              <w:pStyle w:val="Compact"/>
              <w:jc w:val="left"/>
            </w:pPr>
            <w:r>
              <w:t xml:space="preserve">Very High</w:t>
            </w:r>
          </w:p>
        </w:tc>
        <w:tc>
          <w:tcPr/>
          <w:p>
            <w:pPr>
              <w:pStyle w:val="Compact"/>
              <w:jc w:val="left"/>
            </w:pPr>
            <w:r>
              <w:t xml:space="preserve">Mass balance discrepancy is under ±0.8%. Monte Carlo standard deviation: ±3.4%.</w:t>
            </w:r>
          </w:p>
        </w:tc>
      </w:tr>
    </w:tbl>
    <w:p>
      <w:r>
        <w:pict>
          <v:rect style="width:0;height:1.5pt" o:hralign="center" o:hrstd="t" o:hr="t"/>
        </w:pict>
      </w:r>
    </w:p>
    <w:bookmarkEnd w:id="27"/>
    <w:bookmarkStart w:id="30" w:name="emissions-calculation-results-matrix"/>
    <w:p>
      <w:pPr>
        <w:pStyle w:val="Heading1"/>
      </w:pPr>
      <w:r>
        <w:t xml:space="preserve">4. Emissions Calculation &amp; Results Matrix</w:t>
      </w:r>
    </w:p>
    <w:p>
      <w:pPr>
        <w:pStyle w:val="FirstParagraph"/>
      </w:pPr>
      <w:r>
        <w:t xml:space="preserve">Emissions calculations follow the foundational formula:</w:t>
      </w:r>
      <w:r>
        <w:br/>
      </w:r>
      <w:r>
        <w:rPr>
          <w:rStyle w:val="VerbatimChar"/>
        </w:rPr>
        <w:t xml:space="preserve">Emissions (kg CO</w:t>
      </w:r>
      <w:r>
        <w:rPr>
          <w:rStyle w:val="VerbatimChar"/>
          <w:vertAlign w:val="subscript"/>
        </w:rPr>
        <w:t xml:space="preserve">2</w:t>
      </w:r>
      <w:r>
        <w:rPr>
          <w:rStyle w:val="VerbatimChar"/>
        </w:rPr>
        <w:t xml:space="preserve">e) = Activity Data × Emission Factor (EF)</w:t>
      </w:r>
    </w:p>
    <w:bookmarkStart w:id="28" w:name="X2e043d020a3b8a5cb421d949397a180d4dd82d4"/>
    <w:p>
      <w:pPr>
        <w:pStyle w:val="Heading2"/>
      </w:pPr>
      <w:r>
        <w:t xml:space="preserve">4.1 Consolidated Emissions Breakdown (By Scope and Activity)</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GHG Scope &amp; Life Cycle Stage</w:t>
            </w:r>
          </w:p>
        </w:tc>
        <w:tc>
          <w:tcPr/>
          <w:p>
            <w:pPr>
              <w:pStyle w:val="Compact"/>
              <w:jc w:val="left"/>
            </w:pPr>
            <w:r>
              <w:t xml:space="preserve">Activity Description</w:t>
            </w:r>
          </w:p>
        </w:tc>
        <w:tc>
          <w:tcPr/>
          <w:p>
            <w:pPr>
              <w:pStyle w:val="Compact"/>
              <w:jc w:val="left"/>
            </w:pPr>
            <w:r>
              <w:t xml:space="preserve">Activity Volume</w:t>
            </w:r>
          </w:p>
        </w:tc>
        <w:tc>
          <w:tcPr/>
          <w:p>
            <w:pPr>
              <w:pStyle w:val="Compact"/>
              <w:jc w:val="left"/>
            </w:pPr>
            <w:r>
              <w:t xml:space="preserve">Emission Factor Used</w:t>
            </w:r>
          </w:p>
        </w:tc>
        <w:tc>
          <w:tcPr/>
          <w:p>
            <w:pPr>
              <w:pStyle w:val="Compact"/>
              <w:jc w:val="left"/>
            </w:pPr>
            <w:r>
              <w:t xml:space="preserve">EF Source</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Share (%)</w:t>
            </w:r>
          </w:p>
        </w:tc>
      </w:tr>
      <w:tr>
        <w:tc>
          <w:tcPr/>
          <w:p>
            <w:pPr>
              <w:pStyle w:val="Compact"/>
              <w:jc w:val="left"/>
            </w:pPr>
            <w:r>
              <w:rPr>
                <w:bCs/>
                <w:b/>
              </w:rPr>
              <w:t xml:space="preserve">Scope 1 (Direct)</w:t>
            </w:r>
          </w:p>
        </w:tc>
        <w:tc>
          <w:tcPr/>
          <w:p>
            <w:pPr>
              <w:pStyle w:val="Compact"/>
              <w:jc w:val="left"/>
            </w:pPr>
            <w:r>
              <w:t xml:space="preserve">Natural gas combustion (factory heating &amp; drying)</w:t>
            </w:r>
          </w:p>
        </w:tc>
        <w:tc>
          <w:tcPr/>
          <w:p>
            <w:pPr>
              <w:pStyle w:val="Compact"/>
              <w:jc w:val="left"/>
            </w:pPr>
            <w:r>
              <w:t xml:space="preserve">46.20 kWh</w:t>
            </w:r>
          </w:p>
        </w:tc>
        <w:tc>
          <w:tcPr/>
          <w:p>
            <w:pPr>
              <w:pStyle w:val="Compact"/>
              <w:jc w:val="left"/>
            </w:pPr>
            <w:r>
              <w:t xml:space="preserve">0.2023 kg CO</w:t>
            </w:r>
            <w:r>
              <w:rPr>
                <w:vertAlign w:val="subscript"/>
              </w:rPr>
              <w:t xml:space="preserve">2</w:t>
            </w:r>
            <w:r>
              <w:t xml:space="preserve">e/kWh</w:t>
            </w:r>
          </w:p>
        </w:tc>
        <w:tc>
          <w:tcPr/>
          <w:p>
            <w:pPr>
              <w:pStyle w:val="Compact"/>
              <w:jc w:val="left"/>
            </w:pPr>
            <w:r>
              <w:t xml:space="preserve">DEFRA 2025</w:t>
            </w:r>
          </w:p>
        </w:tc>
        <w:tc>
          <w:tcPr/>
          <w:p>
            <w:pPr>
              <w:pStyle w:val="Compact"/>
              <w:jc w:val="left"/>
            </w:pPr>
            <w:r>
              <w:t xml:space="preserve">9.35</w:t>
            </w:r>
          </w:p>
        </w:tc>
        <w:tc>
          <w:tcPr/>
          <w:p>
            <w:pPr>
              <w:pStyle w:val="Compact"/>
              <w:jc w:val="left"/>
            </w:pPr>
            <w:r>
              <w:t xml:space="preserve">0.63%</w:t>
            </w:r>
          </w:p>
        </w:tc>
      </w:tr>
      <w:tr>
        <w:tc>
          <w:tcPr/>
          <w:p>
            <w:pPr>
              <w:pStyle w:val="Compact"/>
              <w:jc w:val="left"/>
            </w:pPr>
            <w:r>
              <w:rPr>
                <w:bCs/>
                <w:b/>
              </w:rPr>
              <w:t xml:space="preserve">Scope 1 (Direct)</w:t>
            </w:r>
          </w:p>
        </w:tc>
        <w:tc>
          <w:tcPr/>
          <w:p>
            <w:pPr>
              <w:pStyle w:val="Compact"/>
              <w:jc w:val="left"/>
            </w:pPr>
            <w:r>
              <w:t xml:space="preserve">Fugitive test loss during vacuum &amp; gas charge (R290)</w:t>
            </w:r>
          </w:p>
        </w:tc>
        <w:tc>
          <w:tcPr/>
          <w:p>
            <w:pPr>
              <w:pStyle w:val="Compact"/>
              <w:jc w:val="left"/>
            </w:pPr>
            <w:r>
              <w:t xml:space="preserve">0.024 kg</w:t>
            </w:r>
          </w:p>
        </w:tc>
        <w:tc>
          <w:tcPr/>
          <w:p>
            <w:pPr>
              <w:pStyle w:val="Compact"/>
              <w:jc w:val="left"/>
            </w:pPr>
            <w:r>
              <w:t xml:space="preserve">3.00 kg CO</w:t>
            </w:r>
            <w:r>
              <w:rPr>
                <w:vertAlign w:val="subscript"/>
              </w:rPr>
              <w:t xml:space="preserve">2</w:t>
            </w:r>
            <w:r>
              <w:t xml:space="preserve">e/kg</w:t>
            </w:r>
          </w:p>
        </w:tc>
        <w:tc>
          <w:tcPr/>
          <w:p>
            <w:pPr>
              <w:pStyle w:val="Compact"/>
              <w:jc w:val="left"/>
            </w:pPr>
            <w:r>
              <w:t xml:space="preserve">IPCC AR6</w:t>
            </w:r>
          </w:p>
        </w:tc>
        <w:tc>
          <w:tcPr/>
          <w:p>
            <w:pPr>
              <w:pStyle w:val="Compact"/>
              <w:jc w:val="left"/>
            </w:pPr>
            <w:r>
              <w:t xml:space="preserve">0.07</w:t>
            </w:r>
          </w:p>
        </w:tc>
        <w:tc>
          <w:tcPr/>
          <w:p>
            <w:pPr>
              <w:pStyle w:val="Compact"/>
              <w:jc w:val="left"/>
            </w:pPr>
            <w:r>
              <w:t xml:space="preserve">&lt;0.01%</w:t>
            </w:r>
          </w:p>
        </w:tc>
      </w:tr>
      <w:tr>
        <w:tc>
          <w:tcPr/>
          <w:p>
            <w:pPr>
              <w:pStyle w:val="Compact"/>
              <w:jc w:val="left"/>
            </w:pPr>
            <w:r>
              <w:rPr>
                <w:bCs/>
                <w:b/>
              </w:rPr>
              <w:t xml:space="preserve">Scope 2 (Market-Based)</w:t>
            </w:r>
          </w:p>
        </w:tc>
        <w:tc>
          <w:tcPr/>
          <w:p>
            <w:pPr>
              <w:pStyle w:val="Compact"/>
              <w:jc w:val="left"/>
            </w:pPr>
            <w:r>
              <w:t xml:space="preserve">Assembly plant electricity (Dutch Wind PPA w/ GoO)</w:t>
            </w:r>
          </w:p>
        </w:tc>
        <w:tc>
          <w:tcPr/>
          <w:p>
            <w:pPr>
              <w:pStyle w:val="Compact"/>
              <w:jc w:val="left"/>
            </w:pPr>
            <w:r>
              <w:t xml:space="preserve">108.50 kWh</w:t>
            </w:r>
          </w:p>
        </w:tc>
        <w:tc>
          <w:tcPr/>
          <w:p>
            <w:pPr>
              <w:pStyle w:val="Compact"/>
              <w:jc w:val="left"/>
            </w:pPr>
            <w:r>
              <w:t xml:space="preserve">0.0204 kg CO</w:t>
            </w:r>
            <w:r>
              <w:rPr>
                <w:vertAlign w:val="subscript"/>
              </w:rPr>
              <w:t xml:space="preserve">2</w:t>
            </w:r>
            <w:r>
              <w:t xml:space="preserve">e/kWh</w:t>
            </w:r>
          </w:p>
        </w:tc>
        <w:tc>
          <w:tcPr/>
          <w:p>
            <w:pPr>
              <w:pStyle w:val="Compact"/>
              <w:jc w:val="left"/>
            </w:pPr>
            <w:r>
              <w:t xml:space="preserve">AIB EECS 2025</w:t>
            </w:r>
          </w:p>
        </w:tc>
        <w:tc>
          <w:tcPr/>
          <w:p>
            <w:pPr>
              <w:pStyle w:val="Compact"/>
              <w:jc w:val="left"/>
            </w:pPr>
            <w:r>
              <w:t xml:space="preserve">2.21</w:t>
            </w:r>
          </w:p>
        </w:tc>
        <w:tc>
          <w:tcPr/>
          <w:p>
            <w:pPr>
              <w:pStyle w:val="Compact"/>
              <w:jc w:val="left"/>
            </w:pPr>
            <w:r>
              <w:t xml:space="preserve">0.15%</w:t>
            </w:r>
          </w:p>
        </w:tc>
      </w:tr>
      <w:tr>
        <w:tc>
          <w:tcPr/>
          <w:p>
            <w:pPr>
              <w:pStyle w:val="Compact"/>
              <w:jc w:val="left"/>
            </w:pPr>
            <w:r>
              <w:rPr>
                <w:bCs/>
                <w:b/>
              </w:rPr>
              <w:t xml:space="preserve">Scope 3 (Cat 1: Materials)</w:t>
            </w:r>
          </w:p>
        </w:tc>
        <w:tc>
          <w:tcPr/>
          <w:p>
            <w:pPr>
              <w:pStyle w:val="Compact"/>
              <w:jc w:val="left"/>
            </w:pPr>
            <w:r>
              <w:t xml:space="preserve">Galvanized Sheet Steel (Chassis/Frame)</w:t>
            </w:r>
          </w:p>
        </w:tc>
        <w:tc>
          <w:tcPr/>
          <w:p>
            <w:pPr>
              <w:pStyle w:val="Compact"/>
              <w:jc w:val="left"/>
            </w:pPr>
            <w:r>
              <w:t xml:space="preserve">82.40 kg</w:t>
            </w:r>
          </w:p>
        </w:tc>
        <w:tc>
          <w:tcPr/>
          <w:p>
            <w:pPr>
              <w:pStyle w:val="Compact"/>
              <w:jc w:val="left"/>
            </w:pPr>
            <w:r>
              <w:t xml:space="preserve">2.28 kg CO</w:t>
            </w:r>
            <w:r>
              <w:rPr>
                <w:vertAlign w:val="subscript"/>
              </w:rPr>
              <w:t xml:space="preserve">2</w:t>
            </w:r>
            <w:r>
              <w:t xml:space="preserve">e/kg</w:t>
            </w:r>
          </w:p>
        </w:tc>
        <w:tc>
          <w:tcPr/>
          <w:p>
            <w:pPr>
              <w:pStyle w:val="Compact"/>
              <w:jc w:val="left"/>
            </w:pPr>
            <w:r>
              <w:t xml:space="preserve">WorldSteel / Ecoinvent</w:t>
            </w:r>
          </w:p>
        </w:tc>
        <w:tc>
          <w:tcPr/>
          <w:p>
            <w:pPr>
              <w:pStyle w:val="Compact"/>
              <w:jc w:val="left"/>
            </w:pPr>
            <w:r>
              <w:t xml:space="preserve">187.87</w:t>
            </w:r>
          </w:p>
        </w:tc>
        <w:tc>
          <w:tcPr/>
          <w:p>
            <w:pPr>
              <w:pStyle w:val="Compact"/>
              <w:jc w:val="left"/>
            </w:pPr>
            <w:r>
              <w:t xml:space="preserve">12.67%</w:t>
            </w:r>
          </w:p>
        </w:tc>
      </w:tr>
      <w:tr>
        <w:tc>
          <w:tcPr/>
          <w:p>
            <w:pPr>
              <w:pStyle w:val="Compact"/>
              <w:jc w:val="left"/>
            </w:pPr>
            <w:r>
              <w:rPr>
                <w:bCs/>
                <w:b/>
              </w:rPr>
              <w:t xml:space="preserve">Scope 3 (Cat 1: Materials)</w:t>
            </w:r>
          </w:p>
        </w:tc>
        <w:tc>
          <w:tcPr/>
          <w:p>
            <w:pPr>
              <w:pStyle w:val="Compact"/>
              <w:jc w:val="left"/>
            </w:pPr>
            <w:r>
              <w:t xml:space="preserve">High-Purity Copper Tubing &amp; Wire</w:t>
            </w:r>
          </w:p>
        </w:tc>
        <w:tc>
          <w:tcPr/>
          <w:p>
            <w:pPr>
              <w:pStyle w:val="Compact"/>
              <w:jc w:val="left"/>
            </w:pPr>
            <w:r>
              <w:t xml:space="preserve">26.80 kg</w:t>
            </w:r>
          </w:p>
        </w:tc>
        <w:tc>
          <w:tcPr/>
          <w:p>
            <w:pPr>
              <w:pStyle w:val="Compact"/>
              <w:jc w:val="left"/>
            </w:pPr>
            <w:r>
              <w:t xml:space="preserve">5.14 kg CO</w:t>
            </w:r>
            <w:r>
              <w:rPr>
                <w:vertAlign w:val="subscript"/>
              </w:rPr>
              <w:t xml:space="preserve">2</w:t>
            </w:r>
            <w:r>
              <w:t xml:space="preserve">e/kg</w:t>
            </w:r>
          </w:p>
        </w:tc>
        <w:tc>
          <w:tcPr/>
          <w:p>
            <w:pPr>
              <w:pStyle w:val="Compact"/>
              <w:jc w:val="left"/>
            </w:pPr>
            <w:r>
              <w:t xml:space="preserve">ICA / Ecoinvent 3.10</w:t>
            </w:r>
          </w:p>
        </w:tc>
        <w:tc>
          <w:tcPr/>
          <w:p>
            <w:pPr>
              <w:pStyle w:val="Compact"/>
              <w:jc w:val="left"/>
            </w:pPr>
            <w:r>
              <w:t xml:space="preserve">137.75</w:t>
            </w:r>
          </w:p>
        </w:tc>
        <w:tc>
          <w:tcPr/>
          <w:p>
            <w:pPr>
              <w:pStyle w:val="Compact"/>
              <w:jc w:val="left"/>
            </w:pPr>
            <w:r>
              <w:t xml:space="preserve">9.29%</w:t>
            </w:r>
          </w:p>
        </w:tc>
      </w:tr>
      <w:tr>
        <w:tc>
          <w:tcPr/>
          <w:p>
            <w:pPr>
              <w:pStyle w:val="Compact"/>
              <w:jc w:val="left"/>
            </w:pPr>
            <w:r>
              <w:rPr>
                <w:bCs/>
                <w:b/>
              </w:rPr>
              <w:t xml:space="preserve">Scope 3 (Cat 1: Materials)</w:t>
            </w:r>
          </w:p>
        </w:tc>
        <w:tc>
          <w:tcPr/>
          <w:p>
            <w:pPr>
              <w:pStyle w:val="Compact"/>
              <w:jc w:val="left"/>
            </w:pPr>
            <w:r>
              <w:t xml:space="preserve">Aluminum Microchannel Exchanger Fins</w:t>
            </w:r>
          </w:p>
        </w:tc>
        <w:tc>
          <w:tcPr/>
          <w:p>
            <w:pPr>
              <w:pStyle w:val="Compact"/>
              <w:jc w:val="left"/>
            </w:pPr>
            <w:r>
              <w:t xml:space="preserve">31.50 kg</w:t>
            </w:r>
          </w:p>
        </w:tc>
        <w:tc>
          <w:tcPr/>
          <w:p>
            <w:pPr>
              <w:pStyle w:val="Compact"/>
              <w:jc w:val="left"/>
            </w:pPr>
            <w:r>
              <w:t xml:space="preserve">8.25 kg CO</w:t>
            </w:r>
            <w:r>
              <w:rPr>
                <w:vertAlign w:val="subscript"/>
              </w:rPr>
              <w:t xml:space="preserve">2</w:t>
            </w:r>
            <w:r>
              <w:t xml:space="preserve">e/kg</w:t>
            </w:r>
          </w:p>
        </w:tc>
        <w:tc>
          <w:tcPr/>
          <w:p>
            <w:pPr>
              <w:pStyle w:val="Compact"/>
              <w:jc w:val="left"/>
            </w:pPr>
            <w:r>
              <w:t xml:space="preserve">European Aluminium</w:t>
            </w:r>
          </w:p>
        </w:tc>
        <w:tc>
          <w:tcPr/>
          <w:p>
            <w:pPr>
              <w:pStyle w:val="Compact"/>
              <w:jc w:val="left"/>
            </w:pPr>
            <w:r>
              <w:t xml:space="preserve">259.88</w:t>
            </w:r>
          </w:p>
        </w:tc>
        <w:tc>
          <w:tcPr/>
          <w:p>
            <w:pPr>
              <w:pStyle w:val="Compact"/>
              <w:jc w:val="left"/>
            </w:pPr>
            <w:r>
              <w:t xml:space="preserve">17.53%</w:t>
            </w:r>
          </w:p>
        </w:tc>
      </w:tr>
      <w:tr>
        <w:tc>
          <w:tcPr/>
          <w:p>
            <w:pPr>
              <w:pStyle w:val="Compact"/>
              <w:jc w:val="left"/>
            </w:pPr>
            <w:r>
              <w:rPr>
                <w:bCs/>
                <w:b/>
              </w:rPr>
              <w:t xml:space="preserve">Scope 3 (Cat 1: Materials)</w:t>
            </w:r>
          </w:p>
        </w:tc>
        <w:tc>
          <w:tcPr/>
          <w:p>
            <w:pPr>
              <w:pStyle w:val="Compact"/>
              <w:jc w:val="left"/>
            </w:pPr>
            <w:r>
              <w:t xml:space="preserve">Hermetic Scroll Compressor Assembly</w:t>
            </w:r>
          </w:p>
        </w:tc>
        <w:tc>
          <w:tcPr/>
          <w:p>
            <w:pPr>
              <w:pStyle w:val="Compact"/>
              <w:jc w:val="left"/>
            </w:pPr>
            <w:r>
              <w:t xml:space="preserve">42.00 kg</w:t>
            </w:r>
          </w:p>
        </w:tc>
        <w:tc>
          <w:tcPr/>
          <w:p>
            <w:pPr>
              <w:pStyle w:val="Compact"/>
              <w:jc w:val="left"/>
            </w:pPr>
            <w:r>
              <w:t xml:space="preserve">6.85 kg CO</w:t>
            </w:r>
            <w:r>
              <w:rPr>
                <w:vertAlign w:val="subscript"/>
              </w:rPr>
              <w:t xml:space="preserve">2</w:t>
            </w:r>
            <w:r>
              <w:t xml:space="preserve">e/kg</w:t>
            </w:r>
          </w:p>
        </w:tc>
        <w:tc>
          <w:tcPr/>
          <w:p>
            <w:pPr>
              <w:pStyle w:val="Compact"/>
              <w:jc w:val="left"/>
            </w:pPr>
            <w:r>
              <w:t xml:space="preserve">Supplier EPD / Ecoinvent</w:t>
            </w:r>
          </w:p>
        </w:tc>
        <w:tc>
          <w:tcPr/>
          <w:p>
            <w:pPr>
              <w:pStyle w:val="Compact"/>
              <w:jc w:val="left"/>
            </w:pPr>
            <w:r>
              <w:t xml:space="preserve">287.70</w:t>
            </w:r>
          </w:p>
        </w:tc>
        <w:tc>
          <w:tcPr/>
          <w:p>
            <w:pPr>
              <w:pStyle w:val="Compact"/>
              <w:jc w:val="left"/>
            </w:pPr>
            <w:r>
              <w:t xml:space="preserve">19.41%</w:t>
            </w:r>
          </w:p>
        </w:tc>
      </w:tr>
      <w:tr>
        <w:tc>
          <w:tcPr/>
          <w:p>
            <w:pPr>
              <w:pStyle w:val="Compact"/>
              <w:jc w:val="left"/>
            </w:pPr>
            <w:r>
              <w:rPr>
                <w:bCs/>
                <w:b/>
              </w:rPr>
              <w:t xml:space="preserve">Scope 3 (Cat 1: Materials)</w:t>
            </w:r>
          </w:p>
        </w:tc>
        <w:tc>
          <w:tcPr/>
          <w:p>
            <w:pPr>
              <w:pStyle w:val="Compact"/>
              <w:jc w:val="left"/>
            </w:pPr>
            <w:r>
              <w:t xml:space="preserve">Power Inverter, Silicon &amp; Control PCB Module</w:t>
            </w:r>
          </w:p>
        </w:tc>
        <w:tc>
          <w:tcPr/>
          <w:p>
            <w:pPr>
              <w:pStyle w:val="Compact"/>
              <w:jc w:val="left"/>
            </w:pPr>
            <w:r>
              <w:t xml:space="preserve">6.80 kg</w:t>
            </w:r>
          </w:p>
        </w:tc>
        <w:tc>
          <w:tcPr/>
          <w:p>
            <w:pPr>
              <w:pStyle w:val="Compact"/>
              <w:jc w:val="left"/>
            </w:pPr>
            <w:r>
              <w:t xml:space="preserve">64.20 kg CO</w:t>
            </w:r>
            <w:r>
              <w:rPr>
                <w:vertAlign w:val="subscript"/>
              </w:rPr>
              <w:t xml:space="preserve">2</w:t>
            </w:r>
            <w:r>
              <w:t xml:space="preserve">e/kg</w:t>
            </w:r>
          </w:p>
        </w:tc>
        <w:tc>
          <w:tcPr/>
          <w:p>
            <w:pPr>
              <w:pStyle w:val="Compact"/>
              <w:jc w:val="left"/>
            </w:pPr>
            <w:r>
              <w:t xml:space="preserve">Ecoinvent 3.10 (Electronics)</w:t>
            </w:r>
          </w:p>
        </w:tc>
        <w:tc>
          <w:tcPr/>
          <w:p>
            <w:pPr>
              <w:pStyle w:val="Compact"/>
              <w:jc w:val="left"/>
            </w:pPr>
            <w:r>
              <w:t xml:space="preserve">436.56</w:t>
            </w:r>
          </w:p>
        </w:tc>
        <w:tc>
          <w:tcPr/>
          <w:p>
            <w:pPr>
              <w:pStyle w:val="Compact"/>
              <w:jc w:val="left"/>
            </w:pPr>
            <w:r>
              <w:t xml:space="preserve">29.45%</w:t>
            </w:r>
          </w:p>
        </w:tc>
      </w:tr>
      <w:tr>
        <w:tc>
          <w:tcPr/>
          <w:p>
            <w:pPr>
              <w:pStyle w:val="Compact"/>
              <w:jc w:val="left"/>
            </w:pPr>
            <w:r>
              <w:rPr>
                <w:bCs/>
                <w:b/>
              </w:rPr>
              <w:t xml:space="preserve">Scope 3 (Cat 1: Materials)</w:t>
            </w:r>
          </w:p>
        </w:tc>
        <w:tc>
          <w:tcPr/>
          <w:p>
            <w:pPr>
              <w:pStyle w:val="Compact"/>
              <w:jc w:val="left"/>
            </w:pPr>
            <w:r>
              <w:t xml:space="preserve">Rigid Polyurethane Insulation (PUR) &amp; EPDM</w:t>
            </w:r>
          </w:p>
        </w:tc>
        <w:tc>
          <w:tcPr/>
          <w:p>
            <w:pPr>
              <w:pStyle w:val="Compact"/>
              <w:jc w:val="left"/>
            </w:pPr>
            <w:r>
              <w:t xml:space="preserve">11.20 kg</w:t>
            </w:r>
          </w:p>
        </w:tc>
        <w:tc>
          <w:tcPr/>
          <w:p>
            <w:pPr>
              <w:pStyle w:val="Compact"/>
              <w:jc w:val="left"/>
            </w:pPr>
            <w:r>
              <w:t xml:space="preserve">3.72 kg CO</w:t>
            </w:r>
            <w:r>
              <w:rPr>
                <w:vertAlign w:val="subscript"/>
              </w:rPr>
              <w:t xml:space="preserve">2</w:t>
            </w:r>
            <w:r>
              <w:t xml:space="preserve">e/kg</w:t>
            </w:r>
          </w:p>
        </w:tc>
        <w:tc>
          <w:tcPr/>
          <w:p>
            <w:pPr>
              <w:pStyle w:val="Compact"/>
              <w:jc w:val="left"/>
            </w:pPr>
            <w:r>
              <w:t xml:space="preserve">PlasticsEurope</w:t>
            </w:r>
          </w:p>
        </w:tc>
        <w:tc>
          <w:tcPr/>
          <w:p>
            <w:pPr>
              <w:pStyle w:val="Compact"/>
              <w:jc w:val="left"/>
            </w:pPr>
            <w:r>
              <w:t xml:space="preserve">41.66</w:t>
            </w:r>
          </w:p>
        </w:tc>
        <w:tc>
          <w:tcPr/>
          <w:p>
            <w:pPr>
              <w:pStyle w:val="Compact"/>
              <w:jc w:val="left"/>
            </w:pPr>
            <w:r>
              <w:t xml:space="preserve">2.81%</w:t>
            </w:r>
          </w:p>
        </w:tc>
      </w:tr>
      <w:tr>
        <w:tc>
          <w:tcPr/>
          <w:p>
            <w:pPr>
              <w:pStyle w:val="Compact"/>
              <w:jc w:val="left"/>
            </w:pPr>
            <w:r>
              <w:rPr>
                <w:bCs/>
                <w:b/>
              </w:rPr>
              <w:t xml:space="preserve">Scope 3 (Cat 1: Materials)</w:t>
            </w:r>
          </w:p>
        </w:tc>
        <w:tc>
          <w:tcPr/>
          <w:p>
            <w:pPr>
              <w:pStyle w:val="Compact"/>
              <w:jc w:val="left"/>
            </w:pPr>
            <w:r>
              <w:t xml:space="preserve">Refrigerant R290 Chemical Synthesis</w:t>
            </w:r>
          </w:p>
        </w:tc>
        <w:tc>
          <w:tcPr/>
          <w:p>
            <w:pPr>
              <w:pStyle w:val="Compact"/>
              <w:jc w:val="left"/>
            </w:pPr>
            <w:r>
              <w:t xml:space="preserve">1.65 kg</w:t>
            </w:r>
          </w:p>
        </w:tc>
        <w:tc>
          <w:tcPr/>
          <w:p>
            <w:pPr>
              <w:pStyle w:val="Compact"/>
              <w:jc w:val="left"/>
            </w:pPr>
            <w:r>
              <w:t xml:space="preserve">3.45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5.69</w:t>
            </w:r>
          </w:p>
        </w:tc>
        <w:tc>
          <w:tcPr/>
          <w:p>
            <w:pPr>
              <w:pStyle w:val="Compact"/>
              <w:jc w:val="left"/>
            </w:pPr>
            <w:r>
              <w:t xml:space="preserve">0.38%</w:t>
            </w:r>
          </w:p>
        </w:tc>
      </w:tr>
      <w:tr>
        <w:tc>
          <w:tcPr/>
          <w:p>
            <w:pPr>
              <w:pStyle w:val="Compact"/>
              <w:jc w:val="left"/>
            </w:pPr>
            <w:r>
              <w:rPr>
                <w:bCs/>
                <w:b/>
              </w:rPr>
              <w:t xml:space="preserve">Scope 3 (Cat 1: Packaging)</w:t>
            </w:r>
          </w:p>
        </w:tc>
        <w:tc>
          <w:tcPr/>
          <w:p>
            <w:pPr>
              <w:pStyle w:val="Compact"/>
              <w:jc w:val="left"/>
            </w:pPr>
            <w:r>
              <w:t xml:space="preserve">Corrugated Cardboard Enclosure (70% recycled)</w:t>
            </w:r>
          </w:p>
        </w:tc>
        <w:tc>
          <w:tcPr/>
          <w:p>
            <w:pPr>
              <w:pStyle w:val="Compact"/>
              <w:jc w:val="left"/>
            </w:pPr>
            <w:r>
              <w:t xml:space="preserve">6.20 kg</w:t>
            </w:r>
          </w:p>
        </w:tc>
        <w:tc>
          <w:tcPr/>
          <w:p>
            <w:pPr>
              <w:pStyle w:val="Compact"/>
              <w:jc w:val="left"/>
            </w:pPr>
            <w:r>
              <w:t xml:space="preserve">0.88 kg CO</w:t>
            </w:r>
            <w:r>
              <w:rPr>
                <w:vertAlign w:val="subscript"/>
              </w:rPr>
              <w:t xml:space="preserve">2</w:t>
            </w:r>
            <w:r>
              <w:t xml:space="preserve">e/kg</w:t>
            </w:r>
          </w:p>
        </w:tc>
        <w:tc>
          <w:tcPr/>
          <w:p>
            <w:pPr>
              <w:pStyle w:val="Compact"/>
              <w:jc w:val="left"/>
            </w:pPr>
            <w:r>
              <w:t xml:space="preserve">FEFCO / DEFRA</w:t>
            </w:r>
          </w:p>
        </w:tc>
        <w:tc>
          <w:tcPr/>
          <w:p>
            <w:pPr>
              <w:pStyle w:val="Compact"/>
              <w:jc w:val="left"/>
            </w:pPr>
            <w:r>
              <w:t xml:space="preserve">5.46</w:t>
            </w:r>
          </w:p>
        </w:tc>
        <w:tc>
          <w:tcPr/>
          <w:p>
            <w:pPr>
              <w:pStyle w:val="Compact"/>
              <w:jc w:val="left"/>
            </w:pPr>
            <w:r>
              <w:t xml:space="preserve">0.37%</w:t>
            </w:r>
          </w:p>
        </w:tc>
      </w:tr>
      <w:tr>
        <w:tc>
          <w:tcPr/>
          <w:p>
            <w:pPr>
              <w:pStyle w:val="Compact"/>
              <w:jc w:val="left"/>
            </w:pPr>
            <w:r>
              <w:rPr>
                <w:bCs/>
                <w:b/>
              </w:rPr>
              <w:t xml:space="preserve">Scope 3 (Cat 1: Packaging)</w:t>
            </w:r>
          </w:p>
        </w:tc>
        <w:tc>
          <w:tcPr/>
          <w:p>
            <w:pPr>
              <w:pStyle w:val="Compact"/>
              <w:jc w:val="left"/>
            </w:pPr>
            <w:r>
              <w:t xml:space="preserve">Kiln-Dried Pine Pallet (Fossil GHG fraction)</w:t>
            </w:r>
          </w:p>
        </w:tc>
        <w:tc>
          <w:tcPr/>
          <w:p>
            <w:pPr>
              <w:pStyle w:val="Compact"/>
              <w:jc w:val="left"/>
            </w:pPr>
            <w:r>
              <w:t xml:space="preserve">16.50 kg</w:t>
            </w:r>
          </w:p>
        </w:tc>
        <w:tc>
          <w:tcPr/>
          <w:p>
            <w:pPr>
              <w:pStyle w:val="Compact"/>
              <w:jc w:val="left"/>
            </w:pPr>
            <w:r>
              <w:t xml:space="preserve">0.28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4.62</w:t>
            </w:r>
          </w:p>
        </w:tc>
        <w:tc>
          <w:tcPr/>
          <w:p>
            <w:pPr>
              <w:pStyle w:val="Compact"/>
              <w:jc w:val="left"/>
            </w:pPr>
            <w:r>
              <w:t xml:space="preserve">0.31%</w:t>
            </w:r>
          </w:p>
        </w:tc>
      </w:tr>
      <w:tr>
        <w:tc>
          <w:tcPr/>
          <w:p>
            <w:pPr>
              <w:pStyle w:val="Compact"/>
              <w:jc w:val="left"/>
            </w:pPr>
            <w:r>
              <w:rPr>
                <w:bCs/>
                <w:b/>
              </w:rPr>
              <w:t xml:space="preserve">Scope 3 (Cat 3: WTT &amp; T&amp;D)</w:t>
            </w:r>
          </w:p>
        </w:tc>
        <w:tc>
          <w:tcPr/>
          <w:p>
            <w:pPr>
              <w:pStyle w:val="Compact"/>
              <w:jc w:val="left"/>
            </w:pPr>
            <w:r>
              <w:t xml:space="preserve">Well-to-Tank Fuels &amp; Electricity T&amp;D Losses</w:t>
            </w:r>
          </w:p>
        </w:tc>
        <w:tc>
          <w:tcPr/>
          <w:p>
            <w:pPr>
              <w:pStyle w:val="Compact"/>
              <w:jc w:val="left"/>
            </w:pPr>
            <w:r>
              <w:t xml:space="preserve">154.7 kWh eq</w:t>
            </w:r>
          </w:p>
        </w:tc>
        <w:tc>
          <w:tcPr/>
          <w:p>
            <w:pPr>
              <w:pStyle w:val="Compact"/>
              <w:jc w:val="left"/>
            </w:pPr>
            <w:r>
              <w:t xml:space="preserve">0.046 kg CO</w:t>
            </w:r>
            <w:r>
              <w:rPr>
                <w:vertAlign w:val="subscript"/>
              </w:rPr>
              <w:t xml:space="preserve">2</w:t>
            </w:r>
            <w:r>
              <w:t xml:space="preserve">e/kWh</w:t>
            </w:r>
          </w:p>
        </w:tc>
        <w:tc>
          <w:tcPr/>
          <w:p>
            <w:pPr>
              <w:pStyle w:val="Compact"/>
              <w:jc w:val="left"/>
            </w:pPr>
            <w:r>
              <w:t xml:space="preserve">DEFRA 2025 WTT</w:t>
            </w:r>
          </w:p>
        </w:tc>
        <w:tc>
          <w:tcPr/>
          <w:p>
            <w:pPr>
              <w:pStyle w:val="Compact"/>
              <w:jc w:val="left"/>
            </w:pPr>
            <w:r>
              <w:t xml:space="preserve">7.12</w:t>
            </w:r>
          </w:p>
        </w:tc>
        <w:tc>
          <w:tcPr/>
          <w:p>
            <w:pPr>
              <w:pStyle w:val="Compact"/>
              <w:jc w:val="left"/>
            </w:pPr>
            <w:r>
              <w:t xml:space="preserve">0.48%</w:t>
            </w:r>
          </w:p>
        </w:tc>
      </w:tr>
      <w:tr>
        <w:tc>
          <w:tcPr/>
          <w:p>
            <w:pPr>
              <w:pStyle w:val="Compact"/>
              <w:jc w:val="left"/>
            </w:pPr>
            <w:r>
              <w:rPr>
                <w:bCs/>
                <w:b/>
              </w:rPr>
              <w:t xml:space="preserve">Scope 3 (Cat 4: Transport)</w:t>
            </w:r>
          </w:p>
        </w:tc>
        <w:tc>
          <w:tcPr/>
          <w:p>
            <w:pPr>
              <w:pStyle w:val="Compact"/>
              <w:jc w:val="left"/>
            </w:pPr>
            <w:r>
              <w:t xml:space="preserve">Inbound Road Freight (Euro 6 Diesel Truck &gt;32t)</w:t>
            </w:r>
          </w:p>
        </w:tc>
        <w:tc>
          <w:tcPr/>
          <w:p>
            <w:pPr>
              <w:pStyle w:val="Compact"/>
              <w:jc w:val="left"/>
            </w:pPr>
            <w:r>
              <w:t xml:space="preserve">412.0 tkm</w:t>
            </w:r>
          </w:p>
        </w:tc>
        <w:tc>
          <w:tcPr/>
          <w:p>
            <w:pPr>
              <w:pStyle w:val="Compact"/>
              <w:jc w:val="left"/>
            </w:pPr>
            <w:r>
              <w:t xml:space="preserve">0.218 kg CO</w:t>
            </w:r>
            <w:r>
              <w:rPr>
                <w:vertAlign w:val="subscript"/>
              </w:rPr>
              <w:t xml:space="preserve">2</w:t>
            </w:r>
            <w:r>
              <w:t xml:space="preserve">e/tkm</w:t>
            </w:r>
          </w:p>
        </w:tc>
        <w:tc>
          <w:tcPr/>
          <w:p>
            <w:pPr>
              <w:pStyle w:val="Compact"/>
              <w:jc w:val="left"/>
            </w:pPr>
            <w:r>
              <w:t xml:space="preserve">EcoTransIT / DEFRA</w:t>
            </w:r>
          </w:p>
        </w:tc>
        <w:tc>
          <w:tcPr/>
          <w:p>
            <w:pPr>
              <w:pStyle w:val="Compact"/>
              <w:jc w:val="left"/>
            </w:pPr>
            <w:r>
              <w:t xml:space="preserve">89.82</w:t>
            </w:r>
          </w:p>
        </w:tc>
        <w:tc>
          <w:tcPr/>
          <w:p>
            <w:pPr>
              <w:pStyle w:val="Compact"/>
              <w:jc w:val="left"/>
            </w:pPr>
            <w:r>
              <w:t xml:space="preserve">6.06%</w:t>
            </w:r>
          </w:p>
        </w:tc>
      </w:tr>
      <w:tr>
        <w:tc>
          <w:tcPr/>
          <w:p>
            <w:pPr>
              <w:pStyle w:val="Compact"/>
              <w:jc w:val="left"/>
            </w:pPr>
            <w:r>
              <w:rPr>
                <w:bCs/>
                <w:b/>
              </w:rPr>
              <w:t xml:space="preserve">Scope 3 (Cat 4: Transport)</w:t>
            </w:r>
          </w:p>
        </w:tc>
        <w:tc>
          <w:tcPr/>
          <w:p>
            <w:pPr>
              <w:pStyle w:val="Compact"/>
              <w:jc w:val="left"/>
            </w:pPr>
            <w:r>
              <w:t xml:space="preserve">Inbound Electric Freight Rail (Components)</w:t>
            </w:r>
          </w:p>
        </w:tc>
        <w:tc>
          <w:tcPr/>
          <w:p>
            <w:pPr>
              <w:pStyle w:val="Compact"/>
              <w:jc w:val="left"/>
            </w:pPr>
            <w:r>
              <w:t xml:space="preserve">185.0 tkm</w:t>
            </w:r>
          </w:p>
        </w:tc>
        <w:tc>
          <w:tcPr/>
          <w:p>
            <w:pPr>
              <w:pStyle w:val="Compact"/>
              <w:jc w:val="left"/>
            </w:pPr>
            <w:r>
              <w:t xml:space="preserve">0.028 kg CO</w:t>
            </w:r>
            <w:r>
              <w:rPr>
                <w:vertAlign w:val="subscript"/>
              </w:rPr>
              <w:t xml:space="preserve">2</w:t>
            </w:r>
            <w:r>
              <w:t xml:space="preserve">e/tkm</w:t>
            </w:r>
          </w:p>
        </w:tc>
        <w:tc>
          <w:tcPr/>
          <w:p>
            <w:pPr>
              <w:pStyle w:val="Compact"/>
              <w:jc w:val="left"/>
            </w:pPr>
            <w:r>
              <w:t xml:space="preserve">EcoTransIT World</w:t>
            </w:r>
          </w:p>
        </w:tc>
        <w:tc>
          <w:tcPr/>
          <w:p>
            <w:pPr>
              <w:pStyle w:val="Compact"/>
              <w:jc w:val="left"/>
            </w:pPr>
            <w:r>
              <w:t xml:space="preserve">5.18</w:t>
            </w:r>
          </w:p>
        </w:tc>
        <w:tc>
          <w:tcPr/>
          <w:p>
            <w:pPr>
              <w:pStyle w:val="Compact"/>
              <w:jc w:val="left"/>
            </w:pPr>
            <w:r>
              <w:t xml:space="preserve">0.35%</w:t>
            </w:r>
          </w:p>
        </w:tc>
      </w:tr>
      <w:tr>
        <w:tc>
          <w:tcPr/>
          <w:p>
            <w:pPr>
              <w:pStyle w:val="Compact"/>
              <w:jc w:val="left"/>
            </w:pPr>
            <w:r>
              <w:rPr>
                <w:bCs/>
                <w:b/>
              </w:rPr>
              <w:t xml:space="preserve">Scope 3 (Cat 5: Waste)</w:t>
            </w:r>
          </w:p>
        </w:tc>
        <w:tc>
          <w:tcPr/>
          <w:p>
            <w:pPr>
              <w:pStyle w:val="Compact"/>
              <w:jc w:val="left"/>
            </w:pPr>
            <w:r>
              <w:t xml:space="preserve">Factory Scrap Metal &amp; Polymer Recycling routes</w:t>
            </w:r>
          </w:p>
        </w:tc>
        <w:tc>
          <w:tcPr/>
          <w:p>
            <w:pPr>
              <w:pStyle w:val="Compact"/>
              <w:jc w:val="left"/>
            </w:pPr>
            <w:r>
              <w:t xml:space="preserve">4.80 kg</w:t>
            </w:r>
          </w:p>
        </w:tc>
        <w:tc>
          <w:tcPr/>
          <w:p>
            <w:pPr>
              <w:pStyle w:val="Compact"/>
              <w:jc w:val="left"/>
            </w:pPr>
            <w:r>
              <w:t xml:space="preserve">0.31 kg CO</w:t>
            </w:r>
            <w:r>
              <w:rPr>
                <w:vertAlign w:val="subscript"/>
              </w:rPr>
              <w:t xml:space="preserve">2</w:t>
            </w:r>
            <w:r>
              <w:t xml:space="preserve">e/kg</w:t>
            </w:r>
          </w:p>
        </w:tc>
        <w:tc>
          <w:tcPr/>
          <w:p>
            <w:pPr>
              <w:pStyle w:val="Compact"/>
              <w:jc w:val="left"/>
            </w:pPr>
            <w:r>
              <w:t xml:space="preserve">DEFRA Waste 2025</w:t>
            </w:r>
          </w:p>
        </w:tc>
        <w:tc>
          <w:tcPr/>
          <w:p>
            <w:pPr>
              <w:pStyle w:val="Compact"/>
              <w:jc w:val="left"/>
            </w:pPr>
            <w:r>
              <w:t xml:space="preserve">1.49</w:t>
            </w:r>
          </w:p>
        </w:tc>
        <w:tc>
          <w:tcPr/>
          <w:p>
            <w:pPr>
              <w:pStyle w:val="Compact"/>
              <w:jc w:val="left"/>
            </w:pPr>
            <w:r>
              <w:t xml:space="preserve">0.10%</w:t>
            </w:r>
          </w:p>
        </w:tc>
      </w:tr>
      <w:tr>
        <w:tc>
          <w:tcPr>
            <w:gridSpan w:val="5"/>
          </w:tcPr>
          <w:p>
            <w:pPr>
              <w:pStyle w:val="Compact"/>
              <w:jc w:val="left"/>
            </w:pPr>
            <w:r>
              <w:t xml:space="preserve">Total Cradle-to-Gate Footprint (Market-Based Scope 2)</w:t>
            </w:r>
          </w:p>
        </w:tc>
        <w:tc>
          <w:tcPr/>
          <w:p>
            <w:pPr>
              <w:pStyle w:val="Compact"/>
              <w:jc w:val="left"/>
            </w:pPr>
            <w:r>
              <w:t xml:space="preserve">1,482.42</w:t>
            </w:r>
          </w:p>
        </w:tc>
        <w:tc>
          <w:tcPr/>
          <w:p>
            <w:pPr>
              <w:pStyle w:val="Compact"/>
              <w:jc w:val="left"/>
            </w:pPr>
            <w:r>
              <w:t xml:space="preserve">100.00%</w:t>
            </w:r>
          </w:p>
        </w:tc>
      </w:tr>
      <w:tr>
        <w:tc>
          <w:tcPr>
            <w:gridSpan w:val="5"/>
          </w:tcPr>
          <w:p>
            <w:pPr>
              <w:pStyle w:val="Compact"/>
              <w:jc w:val="left"/>
            </w:pPr>
            <w:r>
              <w:t xml:space="preserve">Alternative: Location-Based Scope 2 (Dutch Grid @ 0.320 kg CO</w:t>
            </w:r>
            <w:r>
              <w:rPr>
                <w:vertAlign w:val="subscript"/>
              </w:rPr>
              <w:t xml:space="preserve">2</w:t>
            </w:r>
            <w:r>
              <w:t xml:space="preserve">e/kWh = 34.72 kg)</w:t>
            </w:r>
          </w:p>
        </w:tc>
        <w:tc>
          <w:tcPr/>
          <w:p>
            <w:pPr>
              <w:pStyle w:val="Compact"/>
              <w:jc w:val="left"/>
            </w:pPr>
            <w:r>
              <w:t xml:space="preserve">1,514.86</w:t>
            </w:r>
          </w:p>
        </w:tc>
        <w:tc>
          <w:tcPr/>
          <w:p>
            <w:pPr>
              <w:pStyle w:val="Compact"/>
              <w:jc w:val="left"/>
            </w:pPr>
            <w:r>
              <w:t xml:space="preserve">-</w:t>
            </w:r>
          </w:p>
        </w:tc>
      </w:tr>
    </w:tbl>
    <w:bookmarkEnd w:id="28"/>
    <w:bookmarkStart w:id="29" w:name="Xdce5aa5ff1491425224d7b0ffbc9e02037dd089"/>
    <w:p>
      <w:pPr>
        <w:pStyle w:val="Heading2"/>
      </w:pPr>
      <w:r>
        <w:t xml:space="preserve">4.2 Application of 2026 GHG Protocol Land Sector and Removals (LSR) Standard</w:t>
      </w:r>
    </w:p>
    <w:p>
      <w:pPr>
        <w:pStyle w:val="FirstParagraph"/>
      </w:pPr>
      <w:r>
        <w:t xml:space="preserve">In accordance with the</w:t>
      </w:r>
      <w:r>
        <w:t xml:space="preserve"> </w:t>
      </w:r>
      <w:r>
        <w:rPr>
          <w:bCs/>
          <w:b/>
        </w:rPr>
        <w:t xml:space="preserve">2026 Land Sector and Removals (LSR) Guidance</w:t>
      </w:r>
      <w:r>
        <w:t xml:space="preserve">, land-use change (dLUC/sLUC), biogenic emissions, and carbon removals cannot be bundled into an unweighted fossil net figure without transparent itemization. The wood packaging utilized for the transport framework was audited as follows: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LSR Accounting Category</w:t>
            </w:r>
          </w:p>
        </w:tc>
        <w:tc>
          <w:tcPr/>
          <w:p>
            <w:pPr>
              <w:pStyle w:val="Compact"/>
              <w:jc w:val="left"/>
            </w:pPr>
            <w:r>
              <w:t xml:space="preserve">Physical Stream</w:t>
            </w:r>
          </w:p>
        </w:tc>
        <w:tc>
          <w:tcPr/>
          <w:p>
            <w:pPr>
              <w:pStyle w:val="Compact"/>
              <w:jc w:val="left"/>
            </w:pPr>
            <w:r>
              <w:t xml:space="preserve">Primary Parameter</w:t>
            </w:r>
          </w:p>
        </w:tc>
        <w:tc>
          <w:tcPr/>
          <w:p>
            <w:pPr>
              <w:pStyle w:val="Compact"/>
              <w:jc w:val="left"/>
            </w:pPr>
            <w:r>
              <w:t xml:space="preserve">LSR Carbon Value</w:t>
            </w:r>
          </w:p>
        </w:tc>
        <w:tc>
          <w:tcPr/>
          <w:p>
            <w:pPr>
              <w:pStyle w:val="Compact"/>
              <w:jc w:val="left"/>
            </w:pPr>
            <w:r>
              <w:t xml:space="preserve">Standard Compliance Status</w:t>
            </w:r>
          </w:p>
        </w:tc>
      </w:tr>
      <w:tr>
        <w:tc>
          <w:tcPr/>
          <w:p>
            <w:pPr>
              <w:pStyle w:val="Compact"/>
              <w:jc w:val="left"/>
            </w:pPr>
            <w:r>
              <w:t xml:space="preserve">Direct Land Use Change (dLUC)</w:t>
            </w:r>
          </w:p>
        </w:tc>
        <w:tc>
          <w:tcPr/>
          <w:p>
            <w:pPr>
              <w:pStyle w:val="Compact"/>
              <w:jc w:val="left"/>
            </w:pPr>
            <w:r>
              <w:t xml:space="preserve">Sustainably Managed Pine (FSC Certified)</w:t>
            </w:r>
          </w:p>
        </w:tc>
        <w:tc>
          <w:tcPr/>
          <w:p>
            <w:pPr>
              <w:pStyle w:val="Compact"/>
              <w:jc w:val="left"/>
            </w:pPr>
            <w:r>
              <w:t xml:space="preserve">Zero Deforestation post-Dec 2020</w:t>
            </w:r>
          </w:p>
        </w:tc>
        <w:tc>
          <w:tcPr/>
          <w:p>
            <w:pPr>
              <w:pStyle w:val="Compact"/>
              <w:jc w:val="left"/>
            </w:pPr>
            <w:r>
              <w:t xml:space="preserve">0.00 kg CO</w:t>
            </w:r>
            <w:r>
              <w:rPr>
                <w:vertAlign w:val="subscript"/>
              </w:rPr>
              <w:t xml:space="preserve">2</w:t>
            </w:r>
            <w:r>
              <w:t xml:space="preserve">e</w:t>
            </w:r>
          </w:p>
        </w:tc>
        <w:tc>
          <w:tcPr/>
          <w:p>
            <w:pPr>
              <w:pStyle w:val="Compact"/>
              <w:jc w:val="left"/>
            </w:pPr>
            <w:r>
              <w:t xml:space="preserve">Fully Compliant with EUDR &amp; LSR</w:t>
            </w:r>
          </w:p>
        </w:tc>
      </w:tr>
      <w:tr>
        <w:tc>
          <w:tcPr/>
          <w:p>
            <w:pPr>
              <w:pStyle w:val="Compact"/>
              <w:jc w:val="left"/>
            </w:pPr>
            <w:r>
              <w:t xml:space="preserve">Biogenic Carbon Inflow (Removals)</w:t>
            </w:r>
          </w:p>
        </w:tc>
        <w:tc>
          <w:tcPr/>
          <w:p>
            <w:pPr>
              <w:pStyle w:val="Compact"/>
              <w:jc w:val="left"/>
            </w:pPr>
            <w:r>
              <w:t xml:space="preserve">16.50 kg Softwood Timber (50% Carbon)</w:t>
            </w:r>
          </w:p>
        </w:tc>
        <w:tc>
          <w:tcPr/>
          <w:p>
            <w:pPr>
              <w:pStyle w:val="Compact"/>
              <w:jc w:val="left"/>
            </w:pPr>
            <w:r>
              <w:t xml:space="preserve">Photosynthetic atmospheric uptake</w:t>
            </w:r>
          </w:p>
        </w:tc>
        <w:tc>
          <w:tcPr/>
          <w:p>
            <w:pPr>
              <w:pStyle w:val="Compact"/>
              <w:jc w:val="left"/>
            </w:pPr>
            <w:r>
              <w:t xml:space="preserve">-24.75 kg CO</w:t>
            </w:r>
            <w:r>
              <w:rPr>
                <w:vertAlign w:val="subscript"/>
              </w:rPr>
              <w:t xml:space="preserve">2</w:t>
            </w:r>
            <w:r>
              <w:t xml:space="preserve">e</w:t>
            </w:r>
          </w:p>
        </w:tc>
        <w:tc>
          <w:tcPr/>
          <w:p>
            <w:pPr>
              <w:pStyle w:val="Compact"/>
              <w:jc w:val="left"/>
            </w:pPr>
            <w:r>
              <w:t xml:space="preserve">Reported separately (Non-fossil credit)</w:t>
            </w:r>
          </w:p>
        </w:tc>
      </w:tr>
      <w:tr>
        <w:tc>
          <w:tcPr/>
          <w:p>
            <w:pPr>
              <w:pStyle w:val="Compact"/>
              <w:jc w:val="left"/>
            </w:pPr>
            <w:r>
              <w:t xml:space="preserve">Biogenic Carbon Processing Emissions</w:t>
            </w:r>
          </w:p>
        </w:tc>
        <w:tc>
          <w:tcPr/>
          <w:p>
            <w:pPr>
              <w:pStyle w:val="Compact"/>
              <w:jc w:val="left"/>
            </w:pPr>
            <w:r>
              <w:t xml:space="preserve">Kiln drying and timber offcut handling</w:t>
            </w:r>
          </w:p>
        </w:tc>
        <w:tc>
          <w:tcPr/>
          <w:p>
            <w:pPr>
              <w:pStyle w:val="Compact"/>
              <w:jc w:val="left"/>
            </w:pPr>
            <w:r>
              <w:t xml:space="preserve">Kiln boiler bio-combustion</w:t>
            </w:r>
          </w:p>
        </w:tc>
        <w:tc>
          <w:tcPr/>
          <w:p>
            <w:pPr>
              <w:pStyle w:val="Compact"/>
              <w:jc w:val="left"/>
            </w:pPr>
            <w:r>
              <w:t xml:space="preserve">+12.35 kg CO</w:t>
            </w:r>
            <w:r>
              <w:rPr>
                <w:vertAlign w:val="subscript"/>
              </w:rPr>
              <w:t xml:space="preserve">2</w:t>
            </w:r>
            <w:r>
              <w:t xml:space="preserve">e</w:t>
            </w:r>
          </w:p>
        </w:tc>
        <w:tc>
          <w:tcPr/>
          <w:p>
            <w:pPr>
              <w:pStyle w:val="Compact"/>
              <w:jc w:val="left"/>
            </w:pPr>
            <w:r>
              <w:t xml:space="preserve">Reported under LSR Biogenic Flux</w:t>
            </w:r>
          </w:p>
        </w:tc>
      </w:tr>
      <w:tr>
        <w:tc>
          <w:tcPr>
            <w:gridSpan w:val="3"/>
          </w:tcPr>
          <w:p>
            <w:pPr>
              <w:pStyle w:val="Compact"/>
              <w:jc w:val="left"/>
            </w:pPr>
            <w:r>
              <w:t xml:space="preserve">Net Land Sector Biogenic Storage at Factory Gate</w:t>
            </w:r>
          </w:p>
        </w:tc>
        <w:tc>
          <w:tcPr/>
          <w:p>
            <w:pPr>
              <w:pStyle w:val="Compact"/>
              <w:jc w:val="left"/>
            </w:pPr>
            <w:r>
              <w:t xml:space="preserve">-12.40 kg CO</w:t>
            </w:r>
            <w:r>
              <w:rPr>
                <w:vertAlign w:val="subscript"/>
              </w:rPr>
              <w:t xml:space="preserve">2</w:t>
            </w:r>
          </w:p>
        </w:tc>
        <w:tc>
          <w:tcPr/>
          <w:p>
            <w:pPr>
              <w:pStyle w:val="Compact"/>
              <w:jc w:val="left"/>
            </w:pPr>
            <w:r>
              <w:t xml:space="preserve">Stored in unit until end-of-life disposal</w:t>
            </w:r>
          </w:p>
        </w:tc>
      </w:tr>
    </w:tbl>
    <w:p>
      <w:r>
        <w:pict>
          <v:rect style="width:0;height:1.5pt" o:hralign="center" o:hrstd="t" o:hr="t"/>
        </w:pict>
      </w:r>
    </w:p>
    <w:bookmarkEnd w:id="29"/>
    <w:bookmarkEnd w:id="30"/>
    <w:bookmarkStart w:id="34" w:name="X4546839da1d6327ba88c5479a218e16fb0b1945"/>
    <w:p>
      <w:pPr>
        <w:pStyle w:val="Heading1"/>
      </w:pPr>
      <w:r>
        <w:t xml:space="preserve">5. Hotspot Analysis, Data Quality &amp; Reduction Recommendations</w:t>
      </w:r>
    </w:p>
    <w:bookmarkStart w:id="31" w:name="hotspot-identification"/>
    <w:p>
      <w:pPr>
        <w:pStyle w:val="Heading2"/>
      </w:pPr>
      <w:r>
        <w:t xml:space="preserve">5.1 Hotspot Identification</w:t>
      </w:r>
    </w:p>
    <w:p>
      <w:pPr>
        <w:pStyle w:val="FirstParagraph"/>
      </w:pPr>
      <w:r>
        <w:t xml:space="preserve">The cradle-to-gate inventory indicates three critical emissions hotspots:</w:t>
      </w:r>
    </w:p>
    <w:p>
      <w:pPr>
        <w:numPr>
          <w:ilvl w:val="0"/>
          <w:numId w:val="1004"/>
        </w:numPr>
        <w:pStyle w:val="Compact"/>
      </w:pPr>
      <w:r>
        <w:rPr>
          <w:bCs/>
          <w:b/>
        </w:rPr>
        <w:t xml:space="preserve">Inverter Power Electronics &amp; PCBs (29.45% of total):</w:t>
      </w:r>
      <w:r>
        <w:t xml:space="preserve"> </w:t>
      </w:r>
      <w:r>
        <w:t xml:space="preserve">Despite comprising only 3.2% of the unit mass (6.80 kg), high-temperature silicon fabrication, gold/copper substrate plating, and cleanroom vacuum etching make the electronic control module the single highest emissions contributor (436.56 kg CO</w:t>
      </w:r>
      <w:r>
        <w:rPr>
          <w:vertAlign w:val="subscript"/>
        </w:rPr>
        <w:t xml:space="preserve">2</w:t>
      </w:r>
      <w:r>
        <w:t xml:space="preserve">e).</w:t>
      </w:r>
    </w:p>
    <w:p>
      <w:pPr>
        <w:numPr>
          <w:ilvl w:val="0"/>
          <w:numId w:val="1004"/>
        </w:numPr>
        <w:pStyle w:val="Compact"/>
      </w:pPr>
      <w:r>
        <w:rPr>
          <w:bCs/>
          <w:b/>
        </w:rPr>
        <w:t xml:space="preserve">Hermetic Compressor Sub-Assembly (19.41% of total):</w:t>
      </w:r>
      <w:r>
        <w:t xml:space="preserve"> </w:t>
      </w:r>
      <w:r>
        <w:t xml:space="preserve">Driven by energy-intensive nodular cast-iron machining, stator winding copper, and neodymium permanent magnet refinement (287.70 kg CO</w:t>
      </w:r>
      <w:r>
        <w:rPr>
          <w:vertAlign w:val="subscript"/>
        </w:rPr>
        <w:t xml:space="preserve">2</w:t>
      </w:r>
      <w:r>
        <w:t xml:space="preserve">e).</w:t>
      </w:r>
    </w:p>
    <w:p>
      <w:pPr>
        <w:numPr>
          <w:ilvl w:val="0"/>
          <w:numId w:val="1004"/>
        </w:numPr>
        <w:pStyle w:val="Compact"/>
      </w:pPr>
      <w:r>
        <w:rPr>
          <w:bCs/>
          <w:b/>
        </w:rPr>
        <w:t xml:space="preserve">Aluminum Microchannel Heat Exchanger (17.53% of total):</w:t>
      </w:r>
      <w:r>
        <w:t xml:space="preserve"> </w:t>
      </w:r>
      <w:r>
        <w:t xml:space="preserve">Smelting primary aluminum requires substantial thermal and electrochemical energy (259.88 kg CO</w:t>
      </w:r>
      <w:r>
        <w:rPr>
          <w:vertAlign w:val="subscript"/>
        </w:rPr>
        <w:t xml:space="preserve">2</w:t>
      </w:r>
      <w:r>
        <w:t xml:space="preserve">e).</w:t>
      </w:r>
    </w:p>
    <w:p>
      <w:pPr>
        <w:numPr>
          <w:ilvl w:val="0"/>
          <w:numId w:val="1004"/>
        </w:numPr>
        <w:pStyle w:val="Compact"/>
      </w:pPr>
      <w:r>
        <w:rPr>
          <w:bCs/>
          <w:b/>
        </w:rPr>
        <w:t xml:space="preserve">Transport &amp; Inbound Logistics (6.41% of total):</w:t>
      </w:r>
      <w:r>
        <w:t xml:space="preserve"> </w:t>
      </w:r>
      <w:r>
        <w:t xml:space="preserve">Road transport from central and southern Europe contributes 95.00 kg CO</w:t>
      </w:r>
      <w:r>
        <w:rPr>
          <w:vertAlign w:val="subscript"/>
        </w:rPr>
        <w:t xml:space="preserve">2</w:t>
      </w:r>
      <w:r>
        <w:t xml:space="preserve">e.</w:t>
      </w:r>
    </w:p>
    <w:bookmarkEnd w:id="31"/>
    <w:bookmarkStart w:id="32" w:name="Xee3aa7871cf34b46c4c57402a27a7760df2cb5c"/>
    <w:p>
      <w:pPr>
        <w:pStyle w:val="Heading2"/>
      </w:pPr>
      <w:r>
        <w:t xml:space="preserve">5.2 Compliance Verification: 2026 Scope 3 Coverage (≥95%)</w:t>
      </w:r>
    </w:p>
    <w:p>
      <w:pPr>
        <w:pStyle w:val="FirstParagraph"/>
      </w:pPr>
      <w:r>
        <w:t xml:space="preserve">Under the 2026 GHG Protocol guidance, cradle-to-gate product footprint declarations must guarantee at least 95% coverage of all relevant upstream Scope 3 emissions. As calculated:</w:t>
      </w:r>
    </w:p>
    <w:p>
      <w:pPr>
        <w:numPr>
          <w:ilvl w:val="0"/>
          <w:numId w:val="1005"/>
        </w:numPr>
        <w:pStyle w:val="Compact"/>
      </w:pPr>
      <w:r>
        <w:t xml:space="preserve">Total Scope 3 Cradle-to-Gate emissions quantified:</w:t>
      </w:r>
      <w:r>
        <w:t xml:space="preserve"> </w:t>
      </w:r>
      <w:r>
        <w:rPr>
          <w:bCs/>
          <w:b/>
        </w:rPr>
        <w:t xml:space="preserve">1,470.79 kg CO</w:t>
      </w:r>
      <w:r>
        <w:rPr>
          <w:vertAlign w:val="subscript"/>
          <w:bCs/>
          <w:b/>
        </w:rPr>
        <w:t xml:space="preserve">2</w:t>
      </w:r>
      <w:r>
        <w:rPr>
          <w:bCs/>
          <w:b/>
        </w:rPr>
        <w:t xml:space="preserve">e</w:t>
      </w:r>
      <w:r>
        <w:t xml:space="preserve">.</w:t>
      </w:r>
    </w:p>
    <w:p>
      <w:pPr>
        <w:numPr>
          <w:ilvl w:val="0"/>
          <w:numId w:val="1005"/>
        </w:numPr>
        <w:pStyle w:val="Compact"/>
      </w:pPr>
      <w:r>
        <w:t xml:space="preserve">Identified negligible cut-offs (adhesives, small rubber grommets, zinc coatings &lt;0.5 kg): Estimated at</w:t>
      </w:r>
      <w:r>
        <w:t xml:space="preserve"> </w:t>
      </w:r>
      <w:r>
        <w:rPr>
          <w:bCs/>
          <w:b/>
        </w:rPr>
        <w:t xml:space="preserve">32.8 kg CO</w:t>
      </w:r>
      <w:r>
        <w:rPr>
          <w:vertAlign w:val="subscript"/>
          <w:bCs/>
          <w:b/>
        </w:rPr>
        <w:t xml:space="preserve">2</w:t>
      </w:r>
      <w:r>
        <w:rPr>
          <w:bCs/>
          <w:b/>
        </w:rPr>
        <w:t xml:space="preserve">e</w:t>
      </w:r>
      <w:r>
        <w:t xml:space="preserve">.</w:t>
      </w:r>
    </w:p>
    <w:p>
      <w:pPr>
        <w:numPr>
          <w:ilvl w:val="0"/>
          <w:numId w:val="1005"/>
        </w:numPr>
        <w:pStyle w:val="Compact"/>
      </w:pPr>
      <w:r>
        <w:rPr>
          <w:bCs/>
          <w:b/>
        </w:rPr>
        <w:t xml:space="preserve">Coverage Ratio:</w:t>
      </w:r>
      <w:r>
        <w:t xml:space="preserve"> </w:t>
      </w:r>
      <w:r>
        <w:rPr>
          <w:rStyle w:val="VerbatimChar"/>
        </w:rPr>
        <w:t xml:space="preserve">1,470.79 / (1,470.79 + 32.80) = 97.82%</w:t>
      </w:r>
      <w:r>
        <w:t xml:space="preserve">, which strictly satisfies the ≥95.0% compliance threshold.</w:t>
      </w:r>
    </w:p>
    <w:bookmarkEnd w:id="32"/>
    <w:bookmarkStart w:id="33" w:name="decarbonization-roadmap"/>
    <w:p>
      <w:pPr>
        <w:pStyle w:val="Heading2"/>
      </w:pPr>
      <w:r>
        <w:t xml:space="preserve">5.3 Decarbonization Roadmap</w:t>
      </w:r>
    </w:p>
    <w:p>
      <w:pPr>
        <w:numPr>
          <w:ilvl w:val="0"/>
          <w:numId w:val="1006"/>
        </w:numPr>
        <w:pStyle w:val="Compact"/>
      </w:pPr>
      <w:r>
        <w:rPr>
          <w:bCs/>
          <w:b/>
        </w:rPr>
        <w:t xml:space="preserve">Low-Carbon Aluminum Procurement:</w:t>
      </w:r>
      <w:r>
        <w:t xml:space="preserve"> </w:t>
      </w:r>
      <w:r>
        <w:t xml:space="preserve">Transitioning the heat exchanger coil suppliers to certified post-consumer recycled aluminum or European smelters powered by low-carbon hydroelectric power (&lt;4.0 kg CO</w:t>
      </w:r>
      <w:r>
        <w:rPr>
          <w:vertAlign w:val="subscript"/>
        </w:rPr>
        <w:t xml:space="preserve">2</w:t>
      </w:r>
      <w:r>
        <w:t xml:space="preserve">e/kg Al) will eliminate up to 133.8 kg CO</w:t>
      </w:r>
      <w:r>
        <w:rPr>
          <w:vertAlign w:val="subscript"/>
        </w:rPr>
        <w:t xml:space="preserve">2</w:t>
      </w:r>
      <w:r>
        <w:t xml:space="preserve">e per unit (-9.0% total PCF).</w:t>
      </w:r>
    </w:p>
    <w:p>
      <w:pPr>
        <w:numPr>
          <w:ilvl w:val="0"/>
          <w:numId w:val="1006"/>
        </w:numPr>
        <w:pStyle w:val="Compact"/>
      </w:pPr>
      <w:r>
        <w:rPr>
          <w:bCs/>
          <w:b/>
        </w:rPr>
        <w:t xml:space="preserve">Direct Supplier Inverter Electronics Engagement:</w:t>
      </w:r>
      <w:r>
        <w:t xml:space="preserve"> </w:t>
      </w:r>
      <w:r>
        <w:t xml:space="preserve">Mandate tier-1 power electronics suppliers to purchase renewable electricity for cleanroom fabrication, targeting a 25% reduction in inverter carbon intensity by 2028 (-109.1 kg CO</w:t>
      </w:r>
      <w:r>
        <w:rPr>
          <w:vertAlign w:val="subscript"/>
        </w:rPr>
        <w:t xml:space="preserve">2</w:t>
      </w:r>
      <w:r>
        <w:t xml:space="preserve">e).</w:t>
      </w:r>
    </w:p>
    <w:p>
      <w:pPr>
        <w:numPr>
          <w:ilvl w:val="0"/>
          <w:numId w:val="1006"/>
        </w:numPr>
        <w:pStyle w:val="Compact"/>
      </w:pPr>
      <w:r>
        <w:rPr>
          <w:bCs/>
          <w:b/>
        </w:rPr>
        <w:t xml:space="preserve">Shift Inbound Transport to Intermodal Rail:</w:t>
      </w:r>
      <w:r>
        <w:t xml:space="preserve"> </w:t>
      </w:r>
      <w:r>
        <w:t xml:space="preserve">Transitioning cross-border freight from Germany and France from Euro-6 road trucks to the electrified Trans-European Rail freight corridor will reduce Category 4 logistics emissions by over 62% (-58.9 kg CO</w:t>
      </w:r>
      <w:r>
        <w:rPr>
          <w:vertAlign w:val="subscript"/>
        </w:rPr>
        <w:t xml:space="preserve">2</w:t>
      </w:r>
      <w:r>
        <w:t xml:space="preserve">e).</w:t>
      </w:r>
    </w:p>
    <w:p>
      <w:pPr>
        <w:numPr>
          <w:ilvl w:val="0"/>
          <w:numId w:val="1006"/>
        </w:numPr>
        <w:pStyle w:val="Compact"/>
      </w:pPr>
      <w:r>
        <w:rPr>
          <w:bCs/>
          <w:b/>
        </w:rPr>
        <w:t xml:space="preserve">Factory Electrification (Scope 1 Elimination):</w:t>
      </w:r>
      <w:r>
        <w:t xml:space="preserve"> </w:t>
      </w:r>
      <w:r>
        <w:t xml:space="preserve">Replace the natural gas boiler used for factory space heating and chamber testing with a unit from the Tilburg site\'s own heat pump line, reducing direct Scope 1 operational emissions to near-zero (&lt;0.1 kg CO</w:t>
      </w:r>
      <w:r>
        <w:rPr>
          <w:vertAlign w:val="subscript"/>
        </w:rPr>
        <w:t xml:space="preserve">2</w:t>
      </w:r>
      <w:r>
        <w:t xml:space="preserve">e).</w:t>
      </w:r>
    </w:p>
    <w:p>
      <w:pPr>
        <w:pStyle w:val="FirstParagraph"/>
      </w:pPr>
      <w:r>
        <w:t xml:space="preserve">Accounting Standard: GHG Protocol Product Standard (w/ 2026 LSR)</w:t>
      </w:r>
      <w:r>
        <w:t xml:space="preserve"> </w:t>
      </w:r>
      <w:r>
        <w:t xml:space="preserve">Confidential - For Internal &amp; Supply Chain Certification 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 Industrial Commercial Heat Pump Unit (1.0 Unit) | GHG Protocol</dc:title>
  <dc:creator/>
  <dc:description>Comprehensive Cradle-to-Gate Product Carbon Footprint (PCF) report for an Industrial Commercial Heat Pump Unit manufactured in the Netherlands, compliant with the GHG Protocol and 2026 Land Sector and Removals (LSR) updates.</dc:description>
  <dc:language>en</dc:language>
  <cp:keywords/>
  <dcterms:created xsi:type="dcterms:W3CDTF">2026-10-21T14:13:37Z</dcterms:created>
  <dcterms:modified xsi:type="dcterms:W3CDTF">2026-10-21T14:13:37Z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