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zzokxvsfgd</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zzokxvsfgd</w:t>
      </w:r>
    </w:p>
    <w:p>
      <w:pPr>
        <w:pStyle w:val="BodyText"/>
      </w:pPr>
      <w:r>
        <w:rPr>
          <w:bCs/>
          <w:b/>
        </w:rPr>
        <w:t xml:space="preserve">Company Name:</w:t>
      </w:r>
      <w:r>
        <w:t xml:space="preserve"> </w:t>
      </w:r>
      <w:r>
        <w:t xml:space="preserve">exyvqhuuyh</w:t>
      </w:r>
    </w:p>
    <w:p>
      <w:pPr>
        <w:pStyle w:val="BodyText"/>
      </w:pPr>
      <w:r>
        <w:rPr>
          <w:bCs/>
          <w:b/>
        </w:rPr>
        <w:t xml:space="preserve">Senior Sustainability Consultant:</w:t>
      </w:r>
      <w:r>
        <w:t xml:space="preserve"> </w:t>
      </w:r>
      <w:r>
        <w:t xml:space="preserve">frlrotqsqy</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actual carbon footprint may vary based on real-world conditions and specific supplier data.</w:t>
      </w:r>
    </w:p>
    <w:bookmarkEnd w:id="20"/>
    <w:bookmarkStart w:id="21"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26,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"zzokxvsfgd" manufactured for "exyvqhuuyh", performed by frlrotqsqy, Senior Sustainability Consultant. The analysis adheres to the Greenhouse Gas (GHG) Protocol, including the 2026 Land Sector and Removals (LSR) Standard update, and aims for at least 95% Scope 3 coverage. The total cradle-to-grave carbon footprint for one functional unit of zzokxvsfgd is calculated to be 35.16 kg CO2e, with the use phase being the most significant contributor.</w:t>
      </w:r>
    </w:p>
    <w:p>
      <w:r>
        <w:pict>
          <v:rect style="width:0;height:1.5pt" o:hralign="center" o:hrstd="t" o:hr="t"/>
        </w:pict>
      </w:r>
    </w:p>
    <w:bookmarkEnd w:id="22"/>
    <w:bookmarkStart w:id="24" w:name="introduction"/>
    <w:p>
      <w:pPr>
        <w:pStyle w:val="Heading2"/>
      </w:pPr>
      <w:r>
        <w:t xml:space="preserve">2. Introduction</w:t>
      </w:r>
    </w:p>
    <w:p>
      <w:pPr>
        <w:pStyle w:val="FirstParagraph"/>
      </w:pPr>
      <w:r>
        <w:t xml:space="preserve">The increasing urgency of climate change necessitates a comprehensive understanding of products\' environmental impacts. This Product Carbon Footprint (PCF) report for \'zzokxvsfgd\' provides a detailed assessment of its greenhouse gas (GHG) emissions throughout its lifecycle. The analysis is conducted for \'exyvqhuuyh\' by \'frlrotqsqy\', Senior Sustainability Consultant, using the robust framework of the GHG Protocol.</w:t>
      </w:r>
    </w:p>
    <w:bookmarkStart w:id="23" w:name="key-parameters"/>
    <w:p>
      <w:pPr>
        <w:pStyle w:val="Heading3"/>
      </w:pPr>
      <w:r>
        <w:t xml:space="preserve">Key Parameters:</w:t>
      </w:r>
    </w:p>
    <w:p>
      <w:pPr>
        <w:numPr>
          <w:ilvl w:val="0"/>
          <w:numId w:val="1001"/>
        </w:numPr>
        <w:pStyle w:val="Compact"/>
      </w:pPr>
      <w:r>
        <w:rPr>
          <w:bCs/>
          <w:b/>
        </w:rPr>
        <w:t xml:space="preserve">Company Name:</w:t>
      </w:r>
      <w:r>
        <w:t xml:space="preserve"> </w:t>
      </w:r>
      <w:r>
        <w:t xml:space="preserve">exyvqhuuyh</w:t>
      </w:r>
    </w:p>
    <w:p>
      <w:pPr>
        <w:numPr>
          <w:ilvl w:val="0"/>
          <w:numId w:val="1001"/>
        </w:numPr>
        <w:pStyle w:val="Compact"/>
      </w:pPr>
      <w:r>
        <w:rPr>
          <w:bCs/>
          <w:b/>
        </w:rPr>
        <w:t xml:space="preserve">Product Name:</w:t>
      </w:r>
      <w:r>
        <w:t xml:space="preserve"> </w:t>
      </w:r>
      <w:r>
        <w:t xml:space="preserve">zzokxvsfgd</w:t>
      </w:r>
    </w:p>
    <w:p>
      <w:pPr>
        <w:numPr>
          <w:ilvl w:val="0"/>
          <w:numId w:val="1001"/>
        </w:numPr>
        <w:pStyle w:val="Compact"/>
      </w:pPr>
      <w:r>
        <w:rPr>
          <w:bCs/>
          <w:b/>
        </w:rPr>
        <w:t xml:space="preserve">Senior Sustainability Consultant:</w:t>
      </w:r>
      <w:r>
        <w:t xml:space="preserve"> </w:t>
      </w:r>
      <w:r>
        <w:t xml:space="preserve">frlrotqsqy</w:t>
      </w:r>
    </w:p>
    <w:p>
      <w:pPr>
        <w:numPr>
          <w:ilvl w:val="0"/>
          <w:numId w:val="1001"/>
        </w:numPr>
        <w:pStyle w:val="Compact"/>
      </w:pPr>
      <w:r>
        <w:rPr>
          <w:bCs/>
          <w:b/>
        </w:rPr>
        <w:t xml:space="preserve">Accounting Standard:</w:t>
      </w:r>
      <w:r>
        <w:t xml:space="preserve"> </w:t>
      </w:r>
      <w:r>
        <w:t xml:space="preserve">GHG Protocol</w:t>
      </w:r>
    </w:p>
    <w:p>
      <w:pPr>
        <w:numPr>
          <w:ilvl w:val="0"/>
          <w:numId w:val="1001"/>
        </w:numPr>
        <w:pStyle w:val="Compact"/>
      </w:pPr>
      <w:r>
        <w:rPr>
          <w:bCs/>
          <w:b/>
        </w:rPr>
        <w:t xml:space="preserve">Functional Unit:</w:t>
      </w:r>
      <w:r>
        <w:t xml:space="preserve"> </w:t>
      </w:r>
      <w:r>
        <w:t xml:space="preserve">1.0 unit</w:t>
      </w:r>
    </w:p>
    <w:p>
      <w:pPr>
        <w:numPr>
          <w:ilvl w:val="0"/>
          <w:numId w:val="1001"/>
        </w:numPr>
        <w:pStyle w:val="Compact"/>
      </w:pPr>
      <w:r>
        <w:rPr>
          <w:bCs/>
          <w:b/>
        </w:rPr>
        <w:t xml:space="preserve">System Boundary:</w:t>
      </w:r>
      <w:r>
        <w:t xml:space="preserve"> </w:t>
      </w:r>
      <w:r>
        <w:t xml:space="preserve">factory_gate (cradle-to-gate for product manufacturing, then extending to downstream use and end-of-life for a full cradle-to-grave assessment)</w:t>
      </w:r>
    </w:p>
    <w:p>
      <w:pPr>
        <w:numPr>
          <w:ilvl w:val="0"/>
          <w:numId w:val="1001"/>
        </w:numPr>
        <w:pStyle w:val="Compact"/>
      </w:pPr>
      <w:r>
        <w:rPr>
          <w:bCs/>
          <w:b/>
        </w:rPr>
        <w:t xml:space="preserve">Geographic Scope:</w:t>
      </w:r>
      <w:r>
        <w:t xml:space="preserve"> </w:t>
      </w:r>
      <w:r>
        <w:t xml:space="preserve">Final Production Country: China, Supply Chain Focus: Europe Focused</w:t>
      </w:r>
    </w:p>
    <w:p>
      <w:r>
        <w:pict>
          <v:rect style="width:0;height:1.5pt" o:hralign="center" o:hrstd="t" o:hr="t"/>
        </w:pict>
      </w:r>
    </w:p>
    <w:bookmarkEnd w:id="23"/>
    <w:bookmarkEnd w:id="24"/>
    <w:bookmarkStart w:id="26" w:name="methodology-scope-definition-step-1"/>
    <w:p>
      <w:pPr>
        <w:pStyle w:val="Heading2"/>
      </w:pPr>
      <w:r>
        <w:t xml:space="preserve">3. Methodology &amp; Scope Definition (Step 1)</w:t>
      </w:r>
    </w:p>
    <w:p>
      <w:pPr>
        <w:pStyle w:val="FirstParagraph"/>
      </w:pPr>
      <w:r>
        <w:t xml:space="preserve">The PCF analysis follows the five-step methodology recommended by the GHG Protocol:</w:t>
      </w:r>
    </w:p>
    <w:p>
      <w:pPr>
        <w:numPr>
          <w:ilvl w:val="0"/>
          <w:numId w:val="1002"/>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2"/>
        </w:numPr>
        <w:pStyle w:val="Compact"/>
      </w:pPr>
      <w:r>
        <w:rPr>
          <w:bCs/>
          <w:b/>
        </w:rPr>
        <w:t xml:space="preserve">Map Lifecycle:</w:t>
      </w:r>
      <w:r>
        <w:t xml:space="preserve"> </w:t>
      </w:r>
      <w:r>
        <w:t xml:space="preserve">Identification of all relevant lifecycle stages and associated processes (Life Cycle Inventory - LCI).</w:t>
      </w:r>
    </w:p>
    <w:p>
      <w:pPr>
        <w:numPr>
          <w:ilvl w:val="0"/>
          <w:numId w:val="1002"/>
        </w:numPr>
        <w:pStyle w:val="Compact"/>
      </w:pPr>
      <w:r>
        <w:rPr>
          <w:bCs/>
          <w:b/>
        </w:rPr>
        <w:t xml:space="preserve">Collect Data:</w:t>
      </w:r>
      <w:r>
        <w:t xml:space="preserve"> </w:t>
      </w:r>
      <w:r>
        <w:t xml:space="preserve">Gathering of primary and secondary data points for material and energy flows.</w:t>
      </w:r>
    </w:p>
    <w:p>
      <w:pPr>
        <w:numPr>
          <w:ilvl w:val="0"/>
          <w:numId w:val="1002"/>
        </w:numPr>
        <w:pStyle w:val="Compact"/>
      </w:pPr>
      <w:r>
        <w:rPr>
          <w:bCs/>
          <w:b/>
        </w:rPr>
        <w:t xml:space="preserve">Calculate Emissions:</w:t>
      </w:r>
      <w:r>
        <w:t xml:space="preserve"> </w:t>
      </w:r>
      <w:r>
        <w:t xml:space="preserve">Quantification of GHG emissions by multiplying activity data with appropriate emission factors.</w:t>
      </w:r>
    </w:p>
    <w:p>
      <w:pPr>
        <w:numPr>
          <w:ilvl w:val="0"/>
          <w:numId w:val="1002"/>
        </w:numPr>
        <w:pStyle w:val="Compact"/>
      </w:pPr>
      <w:r>
        <w:rPr>
          <w:bCs/>
          <w:b/>
        </w:rPr>
        <w:t xml:space="preserve">Review &amp; Report:</w:t>
      </w:r>
      <w:r>
        <w:t xml:space="preserve"> </w:t>
      </w:r>
      <w:r>
        <w:t xml:space="preserve">Identification of emission hotspots, assessment of data reliability, and presentation of findings.</w:t>
      </w:r>
    </w:p>
    <w:bookmarkStart w:id="25" w:name="defined-scope"/>
    <w:p>
      <w:pPr>
        <w:pStyle w:val="Heading3"/>
      </w:pPr>
      <w:r>
        <w:t xml:space="preserve">Defined Scope:</w:t>
      </w:r>
    </w:p>
    <w:p>
      <w:pPr>
        <w:numPr>
          <w:ilvl w:val="0"/>
          <w:numId w:val="1003"/>
        </w:numPr>
        <w:pStyle w:val="Compact"/>
      </w:pPr>
      <w:r>
        <w:rPr>
          <w:bCs/>
          <w:b/>
        </w:rPr>
        <w:t xml:space="preserve">Functional Unit:</w:t>
      </w:r>
      <w:r>
        <w:t xml:space="preserve"> </w:t>
      </w:r>
      <w:r>
        <w:t xml:space="preserve">1.0 unit of zzokxvsfgd.</w:t>
      </w:r>
    </w:p>
    <w:p>
      <w:pPr>
        <w:numPr>
          <w:ilvl w:val="0"/>
          <w:numId w:val="1003"/>
        </w:numPr>
        <w:pStyle w:val="Compact"/>
      </w:pPr>
      <w:r>
        <w:rPr>
          <w:bCs/>
          <w:b/>
        </w:rPr>
        <w:t xml:space="preserve">System Boundary:</w:t>
      </w:r>
      <w:r>
        <w:t xml:space="preserve"> </w:t>
      </w:r>
      <w:r>
        <w:t xml:space="preserve">A \'cradle-to-grave\' approach is adopted, starting from raw material extraction, through manufacturing ("factory_gate"), transportation, product use, and ending with its End-of-Life (EoL) treatment.</w:t>
      </w:r>
    </w:p>
    <w:p>
      <w:pPr>
        <w:numPr>
          <w:ilvl w:val="0"/>
          <w:numId w:val="1003"/>
        </w:numPr>
        <w:pStyle w:val="Compact"/>
      </w:pPr>
      <w:r>
        <w:rPr>
          <w:bCs/>
          <w:b/>
        </w:rPr>
        <w:t xml:space="preserve">Geographic Scope:</w:t>
      </w:r>
      <w:r>
        <w:t xml:space="preserve"> </w:t>
      </w:r>
      <w:r>
        <w:t xml:space="preserve">The product\'s final production occurs in China, while the supply chain and assumed use phase are focused on Europe.</w:t>
      </w:r>
    </w:p>
    <w:p>
      <w:pPr>
        <w:numPr>
          <w:ilvl w:val="0"/>
          <w:numId w:val="1003"/>
        </w:numPr>
        <w:pStyle w:val="Compact"/>
      </w:pPr>
      <w:r>
        <w:rPr>
          <w:bCs/>
          <w:b/>
        </w:rPr>
        <w:t xml:space="preserve">Allocation:</w:t>
      </w:r>
      <w:r>
        <w:t xml:space="preserve"> </w:t>
      </w:r>
      <w:r>
        <w:t xml:space="preserve">Emissions are allocated directly to the functional unit based on mass and energy consumption.</w:t>
      </w:r>
    </w:p>
    <w:p>
      <w:r>
        <w:pict>
          <v:rect style="width:0;height:1.5pt" o:hralign="center" o:hrstd="t" o:hr="t"/>
        </w:pict>
      </w:r>
    </w:p>
    <w:bookmarkEnd w:id="25"/>
    <w:bookmarkEnd w:id="26"/>
    <w:bookmarkStart w:id="32" w:name="Xaa2becd07f027c15c501aa28cfd249050f773e9"/>
    <w:p>
      <w:pPr>
        <w:pStyle w:val="Heading2"/>
      </w:pPr>
      <w:r>
        <w:t xml:space="preserve">4. Lifecycle Inventory Stages &amp; Data Collection (Step 2 &amp; 3)</w:t>
      </w:r>
    </w:p>
    <w:p>
      <w:pPr>
        <w:pStyle w:val="FirstParagraph"/>
      </w:pPr>
      <w:r>
        <w:t xml:space="preserve">This section details the inputs and processes across the lifecycle of zzokxvsfgd. Where specific numerical parameters were provided as placeholders (e.g., "Select Mode," "mxjzxdunel"), illustrative but representative numerical values and assumptions have been applied for calculation purposes, as explicitly noted.</w:t>
      </w:r>
    </w:p>
    <w:bookmarkStart w:id="27" w:name="X144d16f8b73444a4b96db6507b1941424486a43"/>
    <w:p>
      <w:pPr>
        <w:pStyle w:val="Heading3"/>
      </w:pPr>
      <w:r>
        <w:t xml:space="preserve">4.1. Detailed Bill of Materials (BOM) - wzvismup</w:t>
      </w:r>
    </w:p>
    <w:p>
      <w:pPr>
        <w:pStyle w:val="FirstParagraph"/>
      </w:pPr>
      <w:r>
        <w:t xml:space="preserve">The following Bill of Materials (BOM) data, provided as \'wzvismup\', is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P002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E003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B004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gridSpan w:val="7"/>
          </w:tcPr>
          <w:p>
            <w:pPr>
              <w:pStyle w:val="Compact"/>
              <w:jc w:val="right"/>
            </w:pPr>
            <w:r>
              <w:t xml:space="preserve">Total Material Carbon Impact:</w:t>
            </w:r>
          </w:p>
        </w:tc>
        <w:tc>
          <w:tcPr/>
          <w:p>
            <w:pPr>
              <w:pStyle w:val="Compact"/>
              <w:jc w:val="left"/>
            </w:pPr>
            <w:r>
              <w:t xml:space="preserve">7.80 kg CO2e</w:t>
            </w:r>
          </w:p>
        </w:tc>
      </w:tr>
    </w:tbl>
    <w:bookmarkEnd w:id="27"/>
    <w:bookmarkStart w:id="28" w:name="production-phase-data"/>
    <w:p>
      <w:pPr>
        <w:pStyle w:val="Heading3"/>
      </w:pPr>
      <w:r>
        <w:t xml:space="preserve">4.2. Production Phase Data</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Provided Value</w:t>
            </w:r>
          </w:p>
        </w:tc>
        <w:tc>
          <w:tcPr/>
          <w:p>
            <w:pPr>
              <w:pStyle w:val="Compact"/>
              <w:jc w:val="left"/>
            </w:pPr>
            <w:r>
              <w:t xml:space="preserve">Assumed Value for Calculation</w:t>
            </w:r>
          </w:p>
        </w:tc>
        <w:tc>
          <w:tcPr/>
          <w:p>
            <w:pPr>
              <w:pStyle w:val="Compact"/>
              <w:jc w:val="left"/>
            </w:pPr>
            <w:r>
              <w:t xml:space="preserve">Unit</w:t>
            </w:r>
          </w:p>
        </w:tc>
      </w:tr>
      <w:tr>
        <w:tc>
          <w:tcPr/>
          <w:p>
            <w:pPr>
              <w:pStyle w:val="Compact"/>
              <w:jc w:val="left"/>
            </w:pPr>
            <w:r>
              <w:t xml:space="preserve">Energy Intensity (yykpedfptx)</w:t>
            </w:r>
          </w:p>
        </w:tc>
        <w:tc>
          <w:tcPr/>
          <w:p>
            <w:pPr>
              <w:pStyle w:val="Compact"/>
              <w:jc w:val="left"/>
            </w:pPr>
            <w:r>
              <w:t xml:space="preserve">yykpedfptx</w:t>
            </w:r>
          </w:p>
        </w:tc>
        <w:tc>
          <w:tcPr/>
          <w:p>
            <w:pPr>
              <w:pStyle w:val="Compact"/>
              <w:jc w:val="left"/>
            </w:pPr>
            <w:r>
              <w:t xml:space="preserve">10</w:t>
            </w:r>
          </w:p>
        </w:tc>
        <w:tc>
          <w:tcPr/>
          <w:p>
            <w:pPr>
              <w:pStyle w:val="Compact"/>
              <w:jc w:val="left"/>
            </w:pPr>
            <w:r>
              <w:t xml:space="preserve">kWh/unit</w:t>
            </w:r>
          </w:p>
        </w:tc>
      </w:tr>
      <w:tr>
        <w:tc>
          <w:tcPr/>
          <w:p>
            <w:pPr>
              <w:pStyle w:val="Compact"/>
              <w:jc w:val="left"/>
            </w:pPr>
            <w:r>
              <w:t xml:space="preserve">Renewable Energy Usage (lfeyniqyte)</w:t>
            </w:r>
          </w:p>
        </w:tc>
        <w:tc>
          <w:tcPr/>
          <w:p>
            <w:pPr>
              <w:pStyle w:val="Compact"/>
              <w:jc w:val="left"/>
            </w:pPr>
            <w:r>
              <w:t xml:space="preserve">lfeyniqyte</w:t>
            </w:r>
          </w:p>
        </w:tc>
        <w:tc>
          <w:tcPr/>
          <w:p>
            <w:pPr>
              <w:pStyle w:val="Compact"/>
              <w:jc w:val="left"/>
            </w:pPr>
            <w:r>
              <w:t xml:space="preserve">60</w:t>
            </w:r>
          </w:p>
        </w:tc>
        <w:tc>
          <w:tcPr/>
          <w:p>
            <w:pPr>
              <w:pStyle w:val="Compact"/>
              <w:jc w:val="left"/>
            </w:pPr>
            <w:r>
              <w:t xml:space="preserve">%</w:t>
            </w:r>
          </w:p>
        </w:tc>
      </w:tr>
      <w:tr>
        <w:tc>
          <w:tcPr/>
          <w:p>
            <w:pPr>
              <w:pStyle w:val="Compact"/>
              <w:jc w:val="left"/>
            </w:pPr>
            <w:r>
              <w:t xml:space="preserve">Non-renewable energy consumption</w:t>
            </w:r>
          </w:p>
        </w:tc>
        <w:tc>
          <w:tcPr/>
          <w:p>
            <w:pPr>
              <w:pStyle w:val="Compact"/>
              <w:jc w:val="left"/>
            </w:pPr>
            <w:r>
              <w:t xml:space="preserve">Calculated</w:t>
            </w:r>
          </w:p>
        </w:tc>
        <w:tc>
          <w:tcPr/>
          <w:p>
            <w:pPr>
              <w:pStyle w:val="Compact"/>
              <w:jc w:val="left"/>
            </w:pPr>
            <w:r>
              <w:t xml:space="preserve">4</w:t>
            </w:r>
          </w:p>
        </w:tc>
        <w:tc>
          <w:tcPr/>
          <w:p>
            <w:pPr>
              <w:pStyle w:val="Compact"/>
              <w:jc w:val="left"/>
            </w:pPr>
            <w:r>
              <w:t xml:space="preserve">kWh/unit</w:t>
            </w:r>
          </w:p>
        </w:tc>
      </w:tr>
      <w:tr>
        <w:tc>
          <w:tcPr/>
          <w:p>
            <w:pPr>
              <w:pStyle w:val="Compact"/>
              <w:jc w:val="left"/>
            </w:pPr>
            <w:r>
              <w:t xml:space="preserve">Electricity Grid Emission Factor (China)</w:t>
            </w:r>
          </w:p>
        </w:tc>
        <w:tc>
          <w:tcPr/>
          <w:p>
            <w:pPr>
              <w:pStyle w:val="Compact"/>
              <w:jc w:val="left"/>
            </w:pPr>
            <w:r>
              <w:t xml:space="preserve">N/A</w:t>
            </w:r>
          </w:p>
        </w:tc>
        <w:tc>
          <w:tcPr/>
          <w:p>
            <w:pPr>
              <w:pStyle w:val="Compact"/>
              <w:jc w:val="left"/>
            </w:pPr>
            <w:r>
              <w:t xml:space="preserve">0.6</w:t>
            </w:r>
          </w:p>
        </w:tc>
        <w:tc>
          <w:tcPr/>
          <w:p>
            <w:pPr>
              <w:pStyle w:val="Compact"/>
              <w:jc w:val="left"/>
            </w:pPr>
            <w:r>
              <w:t xml:space="preserve">kg CO2e/kWh</w:t>
            </w:r>
          </w:p>
        </w:tc>
      </w:tr>
    </w:tbl>
    <w:bookmarkEnd w:id="28"/>
    <w:bookmarkStart w:id="29" w:name="logistics-data"/>
    <w:p>
      <w:pPr>
        <w:pStyle w:val="Heading3"/>
      </w:pPr>
      <w:r>
        <w:t xml:space="preserve">4.3. Logistics Data</w:t>
      </w:r>
    </w:p>
    <w:p>
      <w:pPr>
        <w:pStyle w:val="FirstParagraph"/>
      </w:pPr>
      <w:r>
        <w:t xml:space="preserve">The product weight for transport calculations is derived from the BOM: 0.95 kg (0.00095 tonnes).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Provided Value</w:t>
            </w:r>
          </w:p>
        </w:tc>
        <w:tc>
          <w:tcPr/>
          <w:p>
            <w:pPr>
              <w:pStyle w:val="Compact"/>
              <w:jc w:val="left"/>
            </w:pPr>
            <w:r>
              <w:t xml:space="preserve">Assumed Value for Calculation</w:t>
            </w:r>
          </w:p>
        </w:tc>
        <w:tc>
          <w:tcPr/>
          <w:p>
            <w:pPr>
              <w:pStyle w:val="Compact"/>
              <w:jc w:val="left"/>
            </w:pPr>
            <w:r>
              <w:t xml:space="preserve">Unit</w:t>
            </w:r>
          </w:p>
        </w:tc>
      </w:tr>
      <w:tr>
        <w:tc>
          <w:tcPr/>
          <w:p>
            <w:pPr>
              <w:pStyle w:val="Compact"/>
              <w:jc w:val="left"/>
            </w:pPr>
            <w:r>
              <w:t xml:space="preserve">Primary Transport Mode (Long Haul)</w:t>
            </w:r>
          </w:p>
        </w:tc>
        <w:tc>
          <w:tcPr/>
          <w:p>
            <w:pPr>
              <w:pStyle w:val="Compact"/>
              <w:jc w:val="left"/>
            </w:pPr>
            <w:r>
              <w:t xml:space="preserve">Select Mode</w:t>
            </w:r>
          </w:p>
        </w:tc>
        <w:tc>
          <w:tcPr/>
          <w:p>
            <w:pPr>
              <w:pStyle w:val="Compact"/>
              <w:jc w:val="left"/>
            </w:pPr>
            <w:r>
              <w:t xml:space="preserve">Ocean Freight (Container Ship)</w:t>
            </w:r>
          </w:p>
        </w:tc>
        <w:tc>
          <w:tcPr/>
          <w:p>
            <w:pPr>
              <w:pStyle w:val="Compact"/>
              <w:jc w:val="left"/>
            </w:pPr>
            <w:r>
              <w:t xml:space="preserve">N/A</w:t>
            </w:r>
          </w:p>
        </w:tc>
      </w:tr>
      <w:tr>
        <w:tc>
          <w:tcPr/>
          <w:p>
            <w:pPr>
              <w:pStyle w:val="Compact"/>
              <w:jc w:val="left"/>
            </w:pPr>
            <w:r>
              <w:t xml:space="preserve">Primary Transport Distance (Long Haul)</w:t>
            </w:r>
          </w:p>
        </w:tc>
        <w:tc>
          <w:tcPr/>
          <w:p>
            <w:pPr>
              <w:pStyle w:val="Compact"/>
              <w:jc w:val="left"/>
            </w:pPr>
            <w:r>
              <w:t xml:space="preserve">N/A</w:t>
            </w:r>
          </w:p>
        </w:tc>
        <w:tc>
          <w:tcPr/>
          <w:p>
            <w:pPr>
              <w:pStyle w:val="Compact"/>
              <w:jc w:val="left"/>
            </w:pPr>
            <w:r>
              <w:t xml:space="preserve">20,000</w:t>
            </w:r>
          </w:p>
        </w:tc>
        <w:tc>
          <w:tcPr/>
          <w:p>
            <w:pPr>
              <w:pStyle w:val="Compact"/>
              <w:jc w:val="left"/>
            </w:pPr>
            <w:r>
              <w:t xml:space="preserve">km</w:t>
            </w:r>
          </w:p>
        </w:tc>
      </w:tr>
      <w:tr>
        <w:tc>
          <w:tcPr/>
          <w:p>
            <w:pPr>
              <w:pStyle w:val="Compact"/>
              <w:jc w:val="left"/>
            </w:pPr>
            <w:r>
              <w:t xml:space="preserve">Primary Transport Emission Factor</w:t>
            </w:r>
          </w:p>
        </w:tc>
        <w:tc>
          <w:tcPr/>
          <w:p>
            <w:pPr>
              <w:pStyle w:val="Compact"/>
              <w:jc w:val="left"/>
            </w:pPr>
            <w:r>
              <w:t xml:space="preserve">N/A</w:t>
            </w:r>
          </w:p>
        </w:tc>
        <w:tc>
          <w:tcPr/>
          <w:p>
            <w:pPr>
              <w:pStyle w:val="Compact"/>
              <w:jc w:val="left"/>
            </w:pPr>
            <w:r>
              <w:t xml:space="preserve">0.01</w:t>
            </w:r>
          </w:p>
        </w:tc>
        <w:tc>
          <w:tcPr/>
          <w:p>
            <w:pPr>
              <w:pStyle w:val="Compact"/>
              <w:jc w:val="left"/>
            </w:pPr>
            <w:r>
              <w:t xml:space="preserve">kg CO2e/tkm</w:t>
            </w:r>
          </w:p>
        </w:tc>
      </w:tr>
      <w:tr>
        <w:tc>
          <w:tcPr/>
          <w:p>
            <w:pPr>
              <w:pStyle w:val="Compact"/>
              <w:jc w:val="left"/>
            </w:pPr>
            <w:r>
              <w:t xml:space="preserve">Secondary Transport Mode (EU land)</w:t>
            </w:r>
          </w:p>
        </w:tc>
        <w:tc>
          <w:tcPr/>
          <w:p>
            <w:pPr>
              <w:pStyle w:val="Compact"/>
              <w:jc w:val="left"/>
            </w:pPr>
            <w:r>
              <w:t xml:space="preserve">Select Mode</w:t>
            </w:r>
          </w:p>
        </w:tc>
        <w:tc>
          <w:tcPr/>
          <w:p>
            <w:pPr>
              <w:pStyle w:val="Compact"/>
              <w:jc w:val="left"/>
            </w:pPr>
            <w:r>
              <w:t xml:space="preserve">Heavy-duty Truck</w:t>
            </w:r>
          </w:p>
        </w:tc>
        <w:tc>
          <w:tcPr/>
          <w:p>
            <w:pPr>
              <w:pStyle w:val="Compact"/>
              <w:jc w:val="left"/>
            </w:pPr>
            <w:r>
              <w:t xml:space="preserve">N/A</w:t>
            </w:r>
          </w:p>
        </w:tc>
      </w:tr>
      <w:tr>
        <w:tc>
          <w:tcPr/>
          <w:p>
            <w:pPr>
              <w:pStyle w:val="Compact"/>
              <w:jc w:val="left"/>
            </w:pPr>
            <w:r>
              <w:t xml:space="preserve">Secondary Transport Distance (mxjzxdunel)</w:t>
            </w:r>
          </w:p>
        </w:tc>
        <w:tc>
          <w:tcPr/>
          <w:p>
            <w:pPr>
              <w:pStyle w:val="Compact"/>
              <w:jc w:val="left"/>
            </w:pPr>
            <w:r>
              <w:t xml:space="preserve">mxjzxdunel</w:t>
            </w:r>
          </w:p>
        </w:tc>
        <w:tc>
          <w:tcPr/>
          <w:p>
            <w:pPr>
              <w:pStyle w:val="Compact"/>
              <w:jc w:val="left"/>
            </w:pPr>
            <w:r>
              <w:t xml:space="preserve">1000</w:t>
            </w:r>
          </w:p>
        </w:tc>
        <w:tc>
          <w:tcPr/>
          <w:p>
            <w:pPr>
              <w:pStyle w:val="Compact"/>
              <w:jc w:val="left"/>
            </w:pPr>
            <w:r>
              <w:t xml:space="preserve">km</w:t>
            </w:r>
          </w:p>
        </w:tc>
      </w:tr>
      <w:tr>
        <w:tc>
          <w:tcPr/>
          <w:p>
            <w:pPr>
              <w:pStyle w:val="Compact"/>
              <w:jc w:val="left"/>
            </w:pPr>
            <w:r>
              <w:t xml:space="preserve">Secondary Transport Emission Factor</w:t>
            </w:r>
          </w:p>
        </w:tc>
        <w:tc>
          <w:tcPr/>
          <w:p>
            <w:pPr>
              <w:pStyle w:val="Compact"/>
              <w:jc w:val="left"/>
            </w:pPr>
            <w:r>
              <w:t xml:space="preserve">N/A</w:t>
            </w:r>
          </w:p>
        </w:tc>
        <w:tc>
          <w:tcPr/>
          <w:p>
            <w:pPr>
              <w:pStyle w:val="Compact"/>
              <w:jc w:val="left"/>
            </w:pPr>
            <w:r>
              <w:t xml:space="preserve">0.1</w:t>
            </w:r>
          </w:p>
        </w:tc>
        <w:tc>
          <w:tcPr/>
          <w:p>
            <w:pPr>
              <w:pStyle w:val="Compact"/>
              <w:jc w:val="left"/>
            </w:pPr>
            <w:r>
              <w:t xml:space="preserve">kg CO2e/tkm</w:t>
            </w:r>
          </w:p>
        </w:tc>
      </w:tr>
      <w:tr>
        <w:tc>
          <w:tcPr/>
          <w:p>
            <w:pPr>
              <w:pStyle w:val="Compact"/>
              <w:jc w:val="left"/>
            </w:pPr>
            <w:r>
              <w:t xml:space="preserve">Last-Mile Delivery Channel (Delivery Type)</w:t>
            </w:r>
          </w:p>
        </w:tc>
        <w:tc>
          <w:tcPr/>
          <w:p>
            <w:pPr>
              <w:pStyle w:val="Compact"/>
              <w:jc w:val="left"/>
            </w:pPr>
            <w:r>
              <w:t xml:space="preserve">Delivery Type</w:t>
            </w:r>
          </w:p>
        </w:tc>
        <w:tc>
          <w:tcPr/>
          <w:p>
            <w:pPr>
              <w:pStyle w:val="Compact"/>
              <w:jc w:val="left"/>
            </w:pPr>
            <w:r>
              <w:t xml:space="preserve">Small Van (allocated per unit)</w:t>
            </w:r>
          </w:p>
        </w:tc>
        <w:tc>
          <w:tcPr/>
          <w:p>
            <w:pPr>
              <w:pStyle w:val="Compact"/>
              <w:jc w:val="left"/>
            </w:pPr>
            <w:r>
              <w:t xml:space="preserve">N/A</w:t>
            </w:r>
          </w:p>
        </w:tc>
      </w:tr>
      <w:tr>
        <w:tc>
          <w:tcPr/>
          <w:p>
            <w:pPr>
              <w:pStyle w:val="Compact"/>
              <w:jc w:val="left"/>
            </w:pPr>
            <w:r>
              <w:t xml:space="preserve">Last-Mile Delivery Distance</w:t>
            </w:r>
          </w:p>
        </w:tc>
        <w:tc>
          <w:tcPr/>
          <w:p>
            <w:pPr>
              <w:pStyle w:val="Compact"/>
              <w:jc w:val="left"/>
            </w:pPr>
            <w:r>
              <w:t xml:space="preserve">N/A</w:t>
            </w:r>
          </w:p>
        </w:tc>
        <w:tc>
          <w:tcPr/>
          <w:p>
            <w:pPr>
              <w:pStyle w:val="Compact"/>
              <w:jc w:val="left"/>
            </w:pPr>
            <w:r>
              <w:t xml:space="preserve">50</w:t>
            </w:r>
          </w:p>
        </w:tc>
        <w:tc>
          <w:tcPr/>
          <w:p>
            <w:pPr>
              <w:pStyle w:val="Compact"/>
              <w:jc w:val="left"/>
            </w:pPr>
            <w:r>
              <w:t xml:space="preserve">km</w:t>
            </w:r>
          </w:p>
        </w:tc>
      </w:tr>
      <w:tr>
        <w:tc>
          <w:tcPr/>
          <w:p>
            <w:pPr>
              <w:pStyle w:val="Compact"/>
              <w:jc w:val="left"/>
            </w:pPr>
            <w:r>
              <w:t xml:space="preserve">Last-Mile Delivery Emission Factor (Van)</w:t>
            </w:r>
          </w:p>
        </w:tc>
        <w:tc>
          <w:tcPr/>
          <w:p>
            <w:pPr>
              <w:pStyle w:val="Compact"/>
              <w:jc w:val="left"/>
            </w:pPr>
            <w:r>
              <w:t xml:space="preserve">N/A</w:t>
            </w:r>
          </w:p>
        </w:tc>
        <w:tc>
          <w:tcPr/>
          <w:p>
            <w:pPr>
              <w:pStyle w:val="Compact"/>
              <w:jc w:val="left"/>
            </w:pPr>
            <w:r>
              <w:t xml:space="preserve">0.2</w:t>
            </w:r>
          </w:p>
        </w:tc>
        <w:tc>
          <w:tcPr/>
          <w:p>
            <w:pPr>
              <w:pStyle w:val="Compact"/>
              <w:jc w:val="left"/>
            </w:pPr>
            <w:r>
              <w:t xml:space="preserve">kg CO2e/km (allocated per unit, assuming 50 packages per 50km route)</w:t>
            </w:r>
          </w:p>
        </w:tc>
      </w:tr>
    </w:tbl>
    <w:bookmarkEnd w:id="29"/>
    <w:bookmarkStart w:id="30" w:name="use-phase-data"/>
    <w:p>
      <w:pPr>
        <w:pStyle w:val="Heading3"/>
      </w:pPr>
      <w:r>
        <w:t xml:space="preserve">4.4. Use Phase Data</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Provided Value</w:t>
            </w:r>
          </w:p>
        </w:tc>
        <w:tc>
          <w:tcPr/>
          <w:p>
            <w:pPr>
              <w:pStyle w:val="Compact"/>
              <w:jc w:val="left"/>
            </w:pPr>
            <w:r>
              <w:t xml:space="preserve">Assumed Value for Calculation</w:t>
            </w:r>
          </w:p>
        </w:tc>
        <w:tc>
          <w:tcPr/>
          <w:p>
            <w:pPr>
              <w:pStyle w:val="Compact"/>
              <w:jc w:val="left"/>
            </w:pPr>
            <w:r>
              <w:t xml:space="preserve">Unit</w:t>
            </w:r>
          </w:p>
        </w:tc>
      </w:tr>
      <w:tr>
        <w:tc>
          <w:tcPr/>
          <w:p>
            <w:pPr>
              <w:pStyle w:val="Compact"/>
              <w:jc w:val="left"/>
            </w:pPr>
            <w:r>
              <w:t xml:space="preserve">Product Lifespan (ysxxoxknfm)</w:t>
            </w:r>
          </w:p>
        </w:tc>
        <w:tc>
          <w:tcPr/>
          <w:p>
            <w:pPr>
              <w:pStyle w:val="Compact"/>
              <w:jc w:val="left"/>
            </w:pPr>
            <w:r>
              <w:t xml:space="preserve">ysxxoxknfm</w:t>
            </w:r>
          </w:p>
        </w:tc>
        <w:tc>
          <w:tcPr/>
          <w:p>
            <w:pPr>
              <w:pStyle w:val="Compact"/>
              <w:jc w:val="left"/>
            </w:pPr>
            <w:r>
              <w:t xml:space="preserve">5</w:t>
            </w:r>
          </w:p>
        </w:tc>
        <w:tc>
          <w:tcPr/>
          <w:p>
            <w:pPr>
              <w:pStyle w:val="Compact"/>
              <w:jc w:val="left"/>
            </w:pPr>
            <w:r>
              <w:t xml:space="preserve">years</w:t>
            </w:r>
          </w:p>
        </w:tc>
      </w:tr>
      <w:tr>
        <w:tc>
          <w:tcPr/>
          <w:p>
            <w:pPr>
              <w:pStyle w:val="Compact"/>
              <w:jc w:val="left"/>
            </w:pPr>
            <w:r>
              <w:t xml:space="preserve">Energy Consumption in Use (wkmtjujyim)</w:t>
            </w:r>
          </w:p>
        </w:tc>
        <w:tc>
          <w:tcPr/>
          <w:p>
            <w:pPr>
              <w:pStyle w:val="Compact"/>
              <w:jc w:val="left"/>
            </w:pPr>
            <w:r>
              <w:t xml:space="preserve">wkmtjujyim</w:t>
            </w:r>
          </w:p>
        </w:tc>
        <w:tc>
          <w:tcPr/>
          <w:p>
            <w:pPr>
              <w:pStyle w:val="Compact"/>
              <w:jc w:val="left"/>
            </w:pPr>
            <w:r>
              <w:t xml:space="preserve">20</w:t>
            </w:r>
          </w:p>
        </w:tc>
        <w:tc>
          <w:tcPr/>
          <w:p>
            <w:pPr>
              <w:pStyle w:val="Compact"/>
              <w:jc w:val="left"/>
            </w:pPr>
            <w:r>
              <w:t xml:space="preserve">kWh/year</w:t>
            </w:r>
          </w:p>
        </w:tc>
      </w:tr>
      <w:tr>
        <w:tc>
          <w:tcPr/>
          <w:p>
            <w:pPr>
              <w:pStyle w:val="Compact"/>
              <w:jc w:val="left"/>
            </w:pPr>
            <w:r>
              <w:t xml:space="preserve">Total Energy in Use</w:t>
            </w:r>
          </w:p>
        </w:tc>
        <w:tc>
          <w:tcPr/>
          <w:p>
            <w:pPr>
              <w:pStyle w:val="Compact"/>
              <w:jc w:val="left"/>
            </w:pPr>
            <w:r>
              <w:t xml:space="preserve">Calculated</w:t>
            </w:r>
          </w:p>
        </w:tc>
        <w:tc>
          <w:tcPr/>
          <w:p>
            <w:pPr>
              <w:pStyle w:val="Compact"/>
              <w:jc w:val="left"/>
            </w:pPr>
            <w:r>
              <w:t xml:space="preserve">100</w:t>
            </w:r>
          </w:p>
        </w:tc>
        <w:tc>
          <w:tcPr/>
          <w:p>
            <w:pPr>
              <w:pStyle w:val="Compact"/>
              <w:jc w:val="left"/>
            </w:pPr>
            <w:r>
              <w:t xml:space="preserve">kWh (over lifespan)</w:t>
            </w:r>
          </w:p>
        </w:tc>
      </w:tr>
      <w:tr>
        <w:tc>
          <w:tcPr/>
          <w:p>
            <w:pPr>
              <w:pStyle w:val="Compact"/>
              <w:jc w:val="left"/>
            </w:pPr>
            <w:r>
              <w:t xml:space="preserve">Electricity Grid Emission Factor (Europe)</w:t>
            </w:r>
          </w:p>
        </w:tc>
        <w:tc>
          <w:tcPr/>
          <w:p>
            <w:pPr>
              <w:pStyle w:val="Compact"/>
              <w:jc w:val="left"/>
            </w:pPr>
            <w:r>
              <w:t xml:space="preserve">N/A</w:t>
            </w:r>
          </w:p>
        </w:tc>
        <w:tc>
          <w:tcPr/>
          <w:p>
            <w:pPr>
              <w:pStyle w:val="Compact"/>
              <w:jc w:val="left"/>
            </w:pPr>
            <w:r>
              <w:t xml:space="preserve">0.25</w:t>
            </w:r>
          </w:p>
        </w:tc>
        <w:tc>
          <w:tcPr/>
          <w:p>
            <w:pPr>
              <w:pStyle w:val="Compact"/>
              <w:jc w:val="left"/>
            </w:pPr>
            <w:r>
              <w:t xml:space="preserve">kg CO2e/kWh (EU average for use phase)</w:t>
            </w:r>
          </w:p>
        </w:tc>
      </w:tr>
    </w:tbl>
    <w:bookmarkEnd w:id="30"/>
    <w:bookmarkStart w:id="31" w:name="end-of-life-eol-scenarios"/>
    <w:p>
      <w:pPr>
        <w:pStyle w:val="Heading3"/>
      </w:pPr>
      <w:r>
        <w:t xml:space="preserve">4.5. End-of-Life (EoL) Scenarios</w:t>
      </w:r>
    </w:p>
    <w:p>
      <w:pPr>
        <w:pStyle w:val="FirstParagraph"/>
      </w:pPr>
      <w:r>
        <w:t xml:space="preserve">The total product mass at EoL is 0.95 kg.</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Provided Value</w:t>
            </w:r>
          </w:p>
        </w:tc>
        <w:tc>
          <w:tcPr/>
          <w:p>
            <w:pPr>
              <w:pStyle w:val="Compact"/>
              <w:jc w:val="left"/>
            </w:pPr>
            <w:r>
              <w:t xml:space="preserve">Assumed Value for Calculation</w:t>
            </w:r>
          </w:p>
        </w:tc>
        <w:tc>
          <w:tcPr/>
          <w:p>
            <w:pPr>
              <w:pStyle w:val="Compact"/>
              <w:jc w:val="left"/>
            </w:pPr>
            <w:r>
              <w:t xml:space="preserve">Details / Unit</w:t>
            </w:r>
          </w:p>
        </w:tc>
      </w:tr>
      <w:tr>
        <w:tc>
          <w:tcPr/>
          <w:p>
            <w:pPr>
              <w:pStyle w:val="Compact"/>
              <w:jc w:val="left"/>
            </w:pPr>
            <w:r>
              <w:t xml:space="preserve">Recyclability Percentage (vrkkgjxqdx)</w:t>
            </w:r>
          </w:p>
        </w:tc>
        <w:tc>
          <w:tcPr/>
          <w:p>
            <w:pPr>
              <w:pStyle w:val="Compact"/>
              <w:jc w:val="left"/>
            </w:pPr>
            <w:r>
              <w:t xml:space="preserve">vrkkgjxqdx</w:t>
            </w:r>
          </w:p>
        </w:tc>
        <w:tc>
          <w:tcPr/>
          <w:p>
            <w:pPr>
              <w:pStyle w:val="Compact"/>
              <w:jc w:val="left"/>
            </w:pPr>
            <w:r>
              <w:t xml:space="preserve">70</w:t>
            </w:r>
          </w:p>
        </w:tc>
        <w:tc>
          <w:tcPr/>
          <w:p>
            <w:pPr>
              <w:pStyle w:val="Compact"/>
              <w:jc w:val="left"/>
            </w:pPr>
            <w:r>
              <w:t xml:space="preserve">% of total product mass</w:t>
            </w:r>
          </w:p>
        </w:tc>
      </w:tr>
      <w:tr>
        <w:tc>
          <w:tcPr/>
          <w:p>
            <w:pPr>
              <w:pStyle w:val="Compact"/>
              <w:jc w:val="left"/>
            </w:pPr>
            <w:r>
              <w:t xml:space="preserve">Circular/Take-back Programs (xoslwsixfh)</w:t>
            </w:r>
          </w:p>
        </w:tc>
        <w:tc>
          <w:tcPr/>
          <w:p>
            <w:pPr>
              <w:pStyle w:val="Compact"/>
              <w:jc w:val="left"/>
            </w:pPr>
            <w:r>
              <w:t xml:space="preserve">xoslwsixfh</w:t>
            </w:r>
          </w:p>
        </w:tc>
        <w:tc>
          <w:tcPr/>
          <w:p>
            <w:pPr>
              <w:pStyle w:val="Compact"/>
              <w:jc w:val="left"/>
            </w:pPr>
            <w:r>
              <w:t xml:space="preserve">Yes</w:t>
            </w:r>
          </w:p>
        </w:tc>
        <w:tc>
          <w:tcPr/>
          <w:p>
            <w:pPr>
              <w:pStyle w:val="Compact"/>
              <w:jc w:val="left"/>
            </w:pPr>
            <w:r>
              <w:t xml:space="preserve">Regional take-back programs available in Europe.</w:t>
            </w:r>
          </w:p>
        </w:tc>
      </w:tr>
      <w:tr>
        <w:tc>
          <w:tcPr/>
          <w:p>
            <w:pPr>
              <w:pStyle w:val="Compact"/>
              <w:jc w:val="left"/>
            </w:pPr>
            <w:r>
              <w:t xml:space="preserve">Recycled Portion</w:t>
            </w:r>
          </w:p>
        </w:tc>
        <w:tc>
          <w:tcPr/>
          <w:p>
            <w:pPr>
              <w:pStyle w:val="Compact"/>
              <w:jc w:val="left"/>
            </w:pPr>
            <w:r>
              <w:t xml:space="preserve">Calculated</w:t>
            </w:r>
          </w:p>
        </w:tc>
        <w:tc>
          <w:tcPr/>
          <w:p>
            <w:pPr>
              <w:pStyle w:val="Compact"/>
              <w:jc w:val="left"/>
            </w:pPr>
            <w:r>
              <w:t xml:space="preserve">0.665</w:t>
            </w:r>
          </w:p>
        </w:tc>
        <w:tc>
          <w:tcPr/>
          <w:p>
            <w:pPr>
              <w:pStyle w:val="Compact"/>
              <w:jc w:val="left"/>
            </w:pPr>
            <w:r>
              <w:t xml:space="preserve">kg</w:t>
            </w:r>
          </w:p>
        </w:tc>
      </w:tr>
      <w:tr>
        <w:tc>
          <w:tcPr/>
          <w:p>
            <w:pPr>
              <w:pStyle w:val="Compact"/>
              <w:jc w:val="left"/>
            </w:pPr>
            <w:r>
              <w:t xml:space="preserve">Disposed Portion</w:t>
            </w:r>
          </w:p>
        </w:tc>
        <w:tc>
          <w:tcPr/>
          <w:p>
            <w:pPr>
              <w:pStyle w:val="Compact"/>
              <w:jc w:val="left"/>
            </w:pPr>
            <w:r>
              <w:t xml:space="preserve">Calculated</w:t>
            </w:r>
          </w:p>
        </w:tc>
        <w:tc>
          <w:tcPr/>
          <w:p>
            <w:pPr>
              <w:pStyle w:val="Compact"/>
              <w:jc w:val="left"/>
            </w:pPr>
            <w:r>
              <w:t xml:space="preserve">0.285</w:t>
            </w:r>
          </w:p>
        </w:tc>
        <w:tc>
          <w:tcPr/>
          <w:p>
            <w:pPr>
              <w:pStyle w:val="Compact"/>
              <w:jc w:val="left"/>
            </w:pPr>
            <w:r>
              <w:t xml:space="preserve">kg</w:t>
            </w:r>
          </w:p>
        </w:tc>
      </w:tr>
      <w:tr>
        <w:tc>
          <w:tcPr/>
          <w:p>
            <w:pPr>
              <w:pStyle w:val="Compact"/>
              <w:jc w:val="left"/>
            </w:pPr>
            <w:r>
              <w:t xml:space="preserve">Illustrative Recycling Credit Factor</w:t>
            </w:r>
          </w:p>
        </w:tc>
        <w:tc>
          <w:tcPr/>
          <w:p>
            <w:pPr>
              <w:pStyle w:val="Compact"/>
              <w:jc w:val="left"/>
            </w:pPr>
            <w:r>
              <w:t xml:space="preserve">N/A</w:t>
            </w:r>
          </w:p>
        </w:tc>
        <w:tc>
          <w:tcPr/>
          <w:p>
            <w:pPr>
              <w:pStyle w:val="Compact"/>
              <w:jc w:val="left"/>
            </w:pPr>
            <w:r>
              <w:t xml:space="preserve">-1.0</w:t>
            </w:r>
          </w:p>
        </w:tc>
        <w:tc>
          <w:tcPr/>
          <w:p>
            <w:pPr>
              <w:pStyle w:val="Compact"/>
              <w:jc w:val="left"/>
            </w:pPr>
            <w:r>
              <w:t xml:space="preserve">kg CO2e/kg (for recycled materials)</w:t>
            </w:r>
          </w:p>
        </w:tc>
      </w:tr>
      <w:tr>
        <w:tc>
          <w:tcPr/>
          <w:p>
            <w:pPr>
              <w:pStyle w:val="Compact"/>
              <w:jc w:val="left"/>
            </w:pPr>
            <w:r>
              <w:t xml:space="preserve">Illustrative Disposal Emission Factor</w:t>
            </w:r>
          </w:p>
        </w:tc>
        <w:tc>
          <w:tcPr/>
          <w:p>
            <w:pPr>
              <w:pStyle w:val="Compact"/>
              <w:jc w:val="left"/>
            </w:pPr>
            <w:r>
              <w:t xml:space="preserve">N/A</w:t>
            </w:r>
          </w:p>
        </w:tc>
        <w:tc>
          <w:tcPr/>
          <w:p>
            <w:pPr>
              <w:pStyle w:val="Compact"/>
              <w:jc w:val="left"/>
            </w:pPr>
            <w:r>
              <w:t xml:space="preserve">0.5</w:t>
            </w:r>
          </w:p>
        </w:tc>
        <w:tc>
          <w:tcPr/>
          <w:p>
            <w:pPr>
              <w:pStyle w:val="Compact"/>
              <w:jc w:val="left"/>
            </w:pPr>
            <w:r>
              <w:t xml:space="preserve">kg CO2e/kg (for landfilled/incinerated materials)</w:t>
            </w:r>
          </w:p>
        </w:tc>
      </w:tr>
    </w:tbl>
    <w:p>
      <w:r>
        <w:pict>
          <v:rect style="width:0;height:1.5pt" o:hralign="center" o:hrstd="t" o:hr="t"/>
        </w:pict>
      </w:r>
    </w:p>
    <w:bookmarkEnd w:id="31"/>
    <w:bookmarkEnd w:id="32"/>
    <w:bookmarkStart w:id="36" w:name="emissions-calculation-step-4"/>
    <w:p>
      <w:pPr>
        <w:pStyle w:val="Heading2"/>
      </w:pPr>
      <w:r>
        <w:t xml:space="preserve">5. Emissions Calculation (Step 4)</w:t>
      </w:r>
    </w:p>
    <w:p>
      <w:pPr>
        <w:pStyle w:val="FirstParagraph"/>
      </w:pPr>
      <w:r>
        <w:t xml:space="preserve">GHG emissions are calculated by multiplying activity data with relevant emission factors. All emissions are categorized according to the GHG Protocol. For `exyvqhuuyh` as a product owner sourcing from a manufacturer, all product-related lifecycle emissions fall under Scope 3.</w:t>
      </w:r>
    </w:p>
    <w:bookmarkStart w:id="33" w:name="X80dbe742780fca4bc68a824d685d618d473e2d7"/>
    <w:p>
      <w:pPr>
        <w:pStyle w:val="Heading3"/>
      </w:pPr>
      <w:r>
        <w:t xml:space="preserve">5.1. Scope 3 Emissions Categorization (for exyvqhuuyh)</w:t>
      </w:r>
    </w:p>
    <w:p>
      <w:pPr>
        <w:pStyle w:val="FirstParagraph"/>
      </w:pPr>
      <w:r>
        <w:t xml:space="preserve">All emissions associated with the product\'s lifecycle are considered Scope 3 for \'exyvqhuuyh\', assuming they purchase the final product from a manufacturer.</w:t>
      </w:r>
    </w:p>
    <w:p>
      <w:pPr>
        <w:numPr>
          <w:ilvl w:val="0"/>
          <w:numId w:val="1004"/>
        </w:numPr>
        <w:pStyle w:val="Compact"/>
      </w:pPr>
      <w:r>
        <w:rPr>
          <w:bCs/>
          <w:b/>
        </w:rPr>
        <w:t xml:space="preserve">Category 1: Purchased Goods and Services</w:t>
      </w:r>
      <w:r>
        <w:t xml:space="preserve"> </w:t>
      </w:r>
      <w:r>
        <w:t xml:space="preserve">(Materials acquisition and production energy)</w:t>
      </w:r>
    </w:p>
    <w:p>
      <w:pPr>
        <w:numPr>
          <w:ilvl w:val="0"/>
          <w:numId w:val="1004"/>
        </w:numPr>
        <w:pStyle w:val="Compact"/>
      </w:pPr>
      <w:r>
        <w:rPr>
          <w:bCs/>
          <w:b/>
        </w:rPr>
        <w:t xml:space="preserve">Category 4: Upstream Transportation and Distribution</w:t>
      </w:r>
      <w:r>
        <w:t xml:space="preserve"> </w:t>
      </w:r>
      <w:r>
        <w:t xml:space="preserve">(Inbound transport to distribution centers)</w:t>
      </w:r>
    </w:p>
    <w:p>
      <w:pPr>
        <w:numPr>
          <w:ilvl w:val="0"/>
          <w:numId w:val="1004"/>
        </w:numPr>
        <w:pStyle w:val="Compact"/>
      </w:pPr>
      <w:r>
        <w:rPr>
          <w:bCs/>
          <w:b/>
        </w:rPr>
        <w:t xml:space="preserve">Category 9: Downstream Transportation and Distribution</w:t>
      </w:r>
      <w:r>
        <w:t xml:space="preserve"> </w:t>
      </w:r>
      <w:r>
        <w:t xml:space="preserve">(Outbound last-mile delivery to end-user)</w:t>
      </w:r>
    </w:p>
    <w:p>
      <w:pPr>
        <w:numPr>
          <w:ilvl w:val="0"/>
          <w:numId w:val="1004"/>
        </w:numPr>
        <w:pStyle w:val="Compact"/>
      </w:pPr>
      <w:r>
        <w:rPr>
          <w:bCs/>
          <w:b/>
        </w:rPr>
        <w:t xml:space="preserve">Category 11: Use of Sold Products</w:t>
      </w:r>
      <w:r>
        <w:t xml:space="preserve"> </w:t>
      </w:r>
      <w:r>
        <w:t xml:space="preserve">(Energy consumption during the product\'s lifespan)</w:t>
      </w:r>
    </w:p>
    <w:p>
      <w:pPr>
        <w:numPr>
          <w:ilvl w:val="0"/>
          <w:numId w:val="1004"/>
        </w:numPr>
        <w:pStyle w:val="Compact"/>
      </w:pPr>
      <w:r>
        <w:rPr>
          <w:bCs/>
          <w:b/>
        </w:rPr>
        <w:t xml:space="preserve">Category 12: End-of-Life Treatment of Sold Products</w:t>
      </w:r>
      <w:r>
        <w:t xml:space="preserve"> </w:t>
      </w:r>
      <w:r>
        <w:t xml:space="preserve">(Disposal and recycling of the product)</w:t>
      </w:r>
    </w:p>
    <w:p>
      <w:pPr>
        <w:pStyle w:val="FirstParagraph"/>
      </w:pPr>
      <w:r>
        <w:t xml:space="preserve">The 2026 LSR Update for land use and carbon removals is considered. As the product components (metals, plastics, electronics, battery) do not involve direct land-use change or bio-based materials as primary inputs, significant LSR impacts or removals are not quantified for this specific product based on the provided BOM. However, for products incorporating bio-based materials, a full LSR assessment would be critical.</w:t>
      </w:r>
    </w:p>
    <w:p>
      <w:pPr>
        <w:pStyle w:val="BodyText"/>
      </w:pPr>
      <w:r>
        <w:t xml:space="preserve">The calculations ensure at least 95% coverage for Scope 3 reporting, as all major lifecycle stages contributing to the PCF are included.</w:t>
      </w:r>
    </w:p>
    <w:bookmarkEnd w:id="33"/>
    <w:bookmarkStart w:id="34" w:name="detailed-emissions-by-lifecycle-stage"/>
    <w:p>
      <w:pPr>
        <w:pStyle w:val="Heading3"/>
      </w:pPr>
      <w:r>
        <w:t xml:space="preserve">5.2. Detailed Emissions by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Calculation Details</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rPr>
                <w:bCs/>
                <w:b/>
              </w:rPr>
              <w:t xml:space="preserve">Materials Acquisition &amp; Pre-processing</w:t>
            </w:r>
          </w:p>
        </w:tc>
        <w:tc>
          <w:tcPr/>
          <w:p>
            <w:pPr>
              <w:pStyle w:val="Compact"/>
              <w:jc w:val="left"/>
            </w:pPr>
            <w:r>
              <w:t xml:space="preserve">Total Carbon from BOM (wzvismup)</w:t>
            </w:r>
          </w:p>
        </w:tc>
        <w:tc>
          <w:tcPr/>
          <w:p>
            <w:pPr>
              <w:pStyle w:val="Compact"/>
              <w:jc w:val="left"/>
            </w:pPr>
            <w:r>
              <w:t xml:space="preserve">Scope 3, Category 1</w:t>
            </w:r>
          </w:p>
        </w:tc>
        <w:tc>
          <w:tcPr/>
          <w:p>
            <w:pPr>
              <w:pStyle w:val="Compact"/>
              <w:jc w:val="left"/>
            </w:pPr>
            <w:r>
              <w:t xml:space="preserve">7.80</w:t>
            </w:r>
          </w:p>
        </w:tc>
      </w:tr>
      <w:tr>
        <w:tc>
          <w:tcPr/>
          <w:p>
            <w:pPr>
              <w:pStyle w:val="Compact"/>
              <w:jc w:val="left"/>
            </w:pPr>
            <w:r>
              <w:rPr>
                <w:bCs/>
                <w:b/>
              </w:rPr>
              <w:t xml:space="preserve">Production/Manufacturing</w:t>
            </w:r>
          </w:p>
        </w:tc>
        <w:tc>
          <w:tcPr/>
          <w:p>
            <w:pPr>
              <w:pStyle w:val="Compact"/>
              <w:jc w:val="left"/>
            </w:pPr>
            <w:r>
              <w:t xml:space="preserve">10 kWh/unit * (1 - 60% renewable) * 0.6 kg CO2e/kWh (China grid)</w:t>
            </w:r>
          </w:p>
        </w:tc>
        <w:tc>
          <w:tcPr/>
          <w:p>
            <w:pPr>
              <w:pStyle w:val="Compact"/>
              <w:jc w:val="left"/>
            </w:pPr>
            <w:r>
              <w:t xml:space="preserve">Scope 3, Category 1</w:t>
            </w:r>
          </w:p>
        </w:tc>
        <w:tc>
          <w:tcPr/>
          <w:p>
            <w:pPr>
              <w:pStyle w:val="Compact"/>
              <w:jc w:val="left"/>
            </w:pPr>
            <w:r>
              <w:t xml:space="preserve">2.40</w:t>
            </w:r>
          </w:p>
        </w:tc>
      </w:tr>
      <w:tr>
        <w:tc>
          <w:tcPr>
            <w:vMerge w:val="restart"/>
          </w:tcPr>
          <w:p>
            <w:pPr>
              <w:pStyle w:val="Compact"/>
              <w:jc w:val="left"/>
            </w:pPr>
            <w:r>
              <w:rPr>
                <w:bCs/>
                <w:b/>
              </w:rPr>
              <w:t xml:space="preserve">Transportation</w:t>
            </w:r>
          </w:p>
        </w:tc>
        <w:tc>
          <w:tcPr/>
          <w:p>
            <w:pPr>
              <w:pStyle w:val="Compact"/>
              <w:jc w:val="left"/>
            </w:pPr>
            <w:r>
              <w:t xml:space="preserve">Ocean Freight: 20,000 km * 0.00095 t * 0.01 kg CO2e/tkm</w:t>
            </w:r>
          </w:p>
        </w:tc>
        <w:tc>
          <w:tcPr/>
          <w:p>
            <w:pPr>
              <w:pStyle w:val="Compact"/>
              <w:jc w:val="left"/>
            </w:pPr>
            <w:r>
              <w:t xml:space="preserve">Scope 3, Category 4</w:t>
            </w:r>
          </w:p>
        </w:tc>
        <w:tc>
          <w:tcPr/>
          <w:p>
            <w:pPr>
              <w:pStyle w:val="Compact"/>
              <w:jc w:val="left"/>
            </w:pPr>
            <w:r>
              <w:t xml:space="preserve">0.19</w:t>
            </w:r>
          </w:p>
        </w:tc>
      </w:tr>
      <w:tr>
        <w:tc>
          <w:tcPr>
            <w:gridSpan w:val="1"/>
            <w:vMerge w:val="continue"/>
          </w:tcPr>
          <w:p>
            <w:pPr/>
          </w:p>
        </w:tc>
        <w:tc>
          <w:tcPr/>
          <w:p>
            <w:pPr>
              <w:pStyle w:val="Compact"/>
              <w:jc w:val="left"/>
            </w:pPr>
            <w:r>
              <w:t xml:space="preserve">Truck Transport: 1000 km * 0.00095 t * 0.1 kg CO2e/tkm</w:t>
            </w:r>
          </w:p>
        </w:tc>
        <w:tc>
          <w:tcPr/>
          <w:p>
            <w:pPr>
              <w:pStyle w:val="Compact"/>
              <w:jc w:val="left"/>
            </w:pPr>
            <w:r>
              <w:t xml:space="preserve">Scope 3, Category 4</w:t>
            </w:r>
          </w:p>
        </w:tc>
        <w:tc>
          <w:tcPr/>
          <w:p>
            <w:pPr>
              <w:pStyle w:val="Compact"/>
              <w:jc w:val="left"/>
            </w:pPr>
            <w:r>
              <w:t xml:space="preserve">0.095</w:t>
            </w:r>
          </w:p>
        </w:tc>
      </w:tr>
      <w:tr>
        <w:tc>
          <w:tcPr>
            <w:gridSpan w:val="1"/>
            <w:vMerge w:val="continue"/>
          </w:tcPr>
          <w:p>
            <w:pPr/>
          </w:p>
        </w:tc>
        <w:tc>
          <w:tcPr/>
          <w:p>
            <w:pPr>
              <w:pStyle w:val="Compact"/>
              <w:jc w:val="left"/>
            </w:pPr>
            <w:r>
              <w:t xml:space="preserve">Last-Mile Delivery (Van): (50 km * 0.2 kg CO2e/km) / 50 packages</w:t>
            </w:r>
          </w:p>
        </w:tc>
        <w:tc>
          <w:tcPr/>
          <w:p>
            <w:pPr>
              <w:pStyle w:val="Compact"/>
              <w:jc w:val="left"/>
            </w:pPr>
            <w:r>
              <w:t xml:space="preserve">Scope 3, Category 9</w:t>
            </w:r>
          </w:p>
        </w:tc>
        <w:tc>
          <w:tcPr/>
          <w:p>
            <w:pPr>
              <w:pStyle w:val="Compact"/>
              <w:jc w:val="left"/>
            </w:pPr>
            <w:r>
              <w:t xml:space="preserve">0.20</w:t>
            </w:r>
          </w:p>
        </w:tc>
      </w:tr>
      <w:tr>
        <w:tc>
          <w:tcPr/>
          <w:p>
            <w:pPr>
              <w:pStyle w:val="Compact"/>
              <w:jc w:val="left"/>
            </w:pPr>
            <w:r>
              <w:rPr>
                <w:bCs/>
                <w:b/>
              </w:rPr>
              <w:t xml:space="preserve">Use Phase</w:t>
            </w:r>
          </w:p>
        </w:tc>
        <w:tc>
          <w:tcPr/>
          <w:p>
            <w:pPr>
              <w:pStyle w:val="Compact"/>
              <w:jc w:val="left"/>
            </w:pPr>
            <w:r>
              <w:t xml:space="preserve">5 years * 20 kWh/year * 0.25 kg CO2e/kWh (EU grid)</w:t>
            </w:r>
          </w:p>
        </w:tc>
        <w:tc>
          <w:tcPr/>
          <w:p>
            <w:pPr>
              <w:pStyle w:val="Compact"/>
              <w:jc w:val="left"/>
            </w:pPr>
            <w:r>
              <w:t xml:space="preserve">Scope 3, Category 11</w:t>
            </w:r>
          </w:p>
        </w:tc>
        <w:tc>
          <w:tcPr/>
          <w:p>
            <w:pPr>
              <w:pStyle w:val="Compact"/>
              <w:jc w:val="left"/>
            </w:pPr>
            <w:r>
              <w:t xml:space="preserve">25.00</w:t>
            </w:r>
          </w:p>
        </w:tc>
      </w:tr>
      <w:tr>
        <w:tc>
          <w:tcPr/>
          <w:p>
            <w:pPr>
              <w:pStyle w:val="Compact"/>
              <w:jc w:val="left"/>
            </w:pPr>
            <w:r>
              <w:rPr>
                <w:bCs/>
                <w:b/>
              </w:rPr>
              <w:t xml:space="preserve">End-of-Life (EoL)</w:t>
            </w:r>
          </w:p>
        </w:tc>
        <w:tc>
          <w:tcPr/>
          <w:p>
            <w:pPr>
              <w:pStyle w:val="Compact"/>
              <w:jc w:val="left"/>
            </w:pPr>
            <w:r>
              <w:t xml:space="preserve">(0.665 kg recycled * -1.0 kg CO2e/kg) + (0.285 kg disposed * 0.5 kg CO2e/kg)</w:t>
            </w:r>
          </w:p>
        </w:tc>
        <w:tc>
          <w:tcPr/>
          <w:p>
            <w:pPr>
              <w:pStyle w:val="Compact"/>
              <w:jc w:val="left"/>
            </w:pPr>
            <w:r>
              <w:t xml:space="preserve">Scope 3, Category 12</w:t>
            </w:r>
          </w:p>
        </w:tc>
        <w:tc>
          <w:tcPr/>
          <w:p>
            <w:pPr>
              <w:pStyle w:val="Compact"/>
              <w:jc w:val="left"/>
            </w:pPr>
            <w:r>
              <w:t xml:space="preserve">-0.52</w:t>
            </w:r>
          </w:p>
        </w:tc>
      </w:tr>
      <w:tr>
        <w:tc>
          <w:tcPr>
            <w:gridSpan w:val="3"/>
          </w:tcPr>
          <w:p>
            <w:pPr>
              <w:pStyle w:val="Compact"/>
              <w:jc w:val="right"/>
            </w:pPr>
            <w:r>
              <w:t xml:space="preserve">Total Product Carbon Footprint (PCF):</w:t>
            </w:r>
          </w:p>
        </w:tc>
        <w:tc>
          <w:tcPr/>
          <w:p>
            <w:pPr>
              <w:pStyle w:val="Compact"/>
              <w:jc w:val="left"/>
            </w:pPr>
            <w:r>
              <w:t xml:space="preserve">35.16 kg CO2e</w:t>
            </w:r>
          </w:p>
        </w:tc>
      </w:tr>
    </w:tbl>
    <w:bookmarkEnd w:id="34"/>
    <w:bookmarkStart w:id="35" w:name="X5b5b5ff06a0efcd95a6fc451349266070cf3047"/>
    <w:p>
      <w:pPr>
        <w:pStyle w:val="Heading3"/>
      </w:pPr>
      <w:r>
        <w:t xml:space="preserve">5.3. Summary of Emissions by GHG Scope (for exyvqhuuyh)</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Energy - for exyvqhuuyh\'s direct operations)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3 (Value Chain Emissions)</w:t>
            </w:r>
          </w:p>
        </w:tc>
        <w:tc>
          <w:tcPr/>
          <w:p>
            <w:pPr>
              <w:pStyle w:val="Compact"/>
              <w:jc w:val="left"/>
            </w:pPr>
            <w:r>
              <w:t xml:space="preserve">35.16</w:t>
            </w:r>
          </w:p>
        </w:tc>
        <w:tc>
          <w:tcPr/>
          <w:p>
            <w:pPr>
              <w:pStyle w:val="Compact"/>
              <w:jc w:val="left"/>
            </w:pPr>
            <w:r>
              <w:t xml:space="preserve">100.00%</w:t>
            </w:r>
          </w:p>
        </w:tc>
      </w:tr>
      <w:tr>
        <w:tc>
          <w:tcPr/>
          <w:p>
            <w:pPr>
              <w:pStyle w:val="Compact"/>
              <w:jc w:val="right"/>
            </w:pPr>
            <w:r>
              <w:t xml:space="preserve">Total PCF:</w:t>
            </w:r>
          </w:p>
        </w:tc>
        <w:tc>
          <w:tcPr/>
          <w:p>
            <w:pPr>
              <w:pStyle w:val="Compact"/>
              <w:jc w:val="left"/>
            </w:pPr>
            <w:r>
              <w:t xml:space="preserve">35.16</w:t>
            </w:r>
          </w:p>
        </w:tc>
        <w:tc>
          <w:tcPr/>
          <w:p>
            <w:pPr>
              <w:pStyle w:val="Compact"/>
              <w:jc w:val="left"/>
            </w:pPr>
            <w:r>
              <w:t xml:space="preserve">100.00%</w:t>
            </w:r>
          </w:p>
        </w:tc>
      </w:tr>
    </w:tbl>
    <w:p>
      <w:pPr>
        <w:pStyle w:val="BodyText"/>
      </w:pPr>
      <w:r>
        <w:t xml:space="preserve">*Note: All emissions are categorized under Scope 3 for exyvqhuuyh, assuming they are the brand owner purchasing the finished product from a manufacturer. Scope 1 and 2 would be relevant for the actual manufacturing facility if owned and operated by exyvqhuuyh, but for this product PCF from the brand\'s perspective, they fall under Scope 3.</w:t>
      </w:r>
    </w:p>
    <w:p>
      <w:r>
        <w:pict>
          <v:rect style="width:0;height:1.5pt" o:hralign="center" o:hrstd="t" o:hr="t"/>
        </w:pict>
      </w:r>
    </w:p>
    <w:bookmarkEnd w:id="35"/>
    <w:bookmarkEnd w:id="36"/>
    <w:bookmarkStart w:id="40" w:name="review-reporting-step-5"/>
    <w:p>
      <w:pPr>
        <w:pStyle w:val="Heading2"/>
      </w:pPr>
      <w:r>
        <w:t xml:space="preserve">6. Review &amp; Reporting (Step 5)</w:t>
      </w:r>
    </w:p>
    <w:bookmarkStart w:id="37" w:name="hotspots-identification"/>
    <w:p>
      <w:pPr>
        <w:pStyle w:val="Heading3"/>
      </w:pPr>
      <w:r>
        <w:t xml:space="preserve">6.1. Hotspots Identification</w:t>
      </w:r>
    </w:p>
    <w:p>
      <w:pPr>
        <w:pStyle w:val="FirstParagraph"/>
      </w:pPr>
      <w:r>
        <w:t xml:space="preserve">The analysis identifies the following key emission hotspots for zzokxvsfgd:</w:t>
      </w:r>
    </w:p>
    <w:p>
      <w:pPr>
        <w:numPr>
          <w:ilvl w:val="0"/>
          <w:numId w:val="1005"/>
        </w:numPr>
        <w:pStyle w:val="Compact"/>
      </w:pPr>
      <w:r>
        <w:rPr>
          <w:bCs/>
          <w:b/>
        </w:rPr>
        <w:t xml:space="preserve">Use Phase (25.00 kg CO2e / 71.1%):</w:t>
      </w:r>
      <w:r>
        <w:t xml:space="preserve"> </w:t>
      </w:r>
      <w:r>
        <w:t xml:space="preserve">This is the dominant hotspot, primarily due to the product\'s energy consumption over its 5-year lifespan. This highlights the critical importance of energy efficiency during product design and user behavior during operation.</w:t>
      </w:r>
    </w:p>
    <w:p>
      <w:pPr>
        <w:numPr>
          <w:ilvl w:val="0"/>
          <w:numId w:val="1005"/>
        </w:numPr>
        <w:pStyle w:val="Compact"/>
      </w:pPr>
      <w:r>
        <w:rPr>
          <w:bCs/>
          <w:b/>
        </w:rPr>
        <w:t xml:space="preserve">Materials Acquisition &amp; Pre-processing (7.80 kg CO2e / 22.2%):</w:t>
      </w:r>
      <w:r>
        <w:t xml:space="preserve"> </w:t>
      </w:r>
      <w:r>
        <w:t xml:space="preserve">The embodied emissions in raw materials, particularly the Aluminium Casing and Lithium-ion Battery, represent the second largest contributor. Sourcing lower-impact materials or increasing recycled content can significantly reduce this impact.</w:t>
      </w:r>
    </w:p>
    <w:p>
      <w:pPr>
        <w:numPr>
          <w:ilvl w:val="0"/>
          <w:numId w:val="1005"/>
        </w:numPr>
        <w:pStyle w:val="Compact"/>
      </w:pPr>
      <w:r>
        <w:rPr>
          <w:bCs/>
          <w:b/>
        </w:rPr>
        <w:t xml:space="preserve">Production/Manufacturing (2.40 kg CO2e / 6.8%):</w:t>
      </w:r>
      <w:r>
        <w:t xml:space="preserve"> </w:t>
      </w:r>
      <w:r>
        <w:t xml:space="preserve">While smaller than the use phase, reducing the carbon intensity of manufacturing energy, especially in China, through higher renewable energy adoption, remains an area for improvement.</w:t>
      </w:r>
    </w:p>
    <w:p>
      <w:pPr>
        <w:numPr>
          <w:ilvl w:val="0"/>
          <w:numId w:val="1005"/>
        </w:numPr>
        <w:pStyle w:val="Compact"/>
      </w:pPr>
      <w:r>
        <w:rPr>
          <w:bCs/>
          <w:b/>
        </w:rPr>
        <w:t xml:space="preserve">Transportation (0.485 kg CO2e / 1.4%):</w:t>
      </w:r>
      <w:r>
        <w:t xml:space="preserve"> </w:t>
      </w:r>
      <w:r>
        <w:t xml:space="preserve">Although less significant than use and materials, optimizing logistics (e.g., higher load factors, more efficient modes) can still contribute to reductions. The last-mile delivery, despite its short distance, shows a higher per-unit impact due to vehicle efficiency and allocation assumptions.</w:t>
      </w:r>
    </w:p>
    <w:p>
      <w:pPr>
        <w:numPr>
          <w:ilvl w:val="0"/>
          <w:numId w:val="1005"/>
        </w:numPr>
        <w:pStyle w:val="Compact"/>
      </w:pPr>
      <w:r>
        <w:rPr>
          <w:bCs/>
          <w:b/>
        </w:rPr>
        <w:t xml:space="preserve">End-of-Life (-0.52 kg CO2e / -1.5%):</w:t>
      </w:r>
      <w:r>
        <w:t xml:space="preserve"> </w:t>
      </w:r>
      <w:r>
        <w:t xml:space="preserve">The net credit indicates the positive impact of robust recyclability and take-back programs. Enhancing these programs can further increase carbon removals.</w:t>
      </w:r>
    </w:p>
    <w:bookmarkEnd w:id="37"/>
    <w:bookmarkStart w:id="38" w:name="reliability-statement"/>
    <w:p>
      <w:pPr>
        <w:pStyle w:val="Heading3"/>
      </w:pPr>
      <w:r>
        <w:t xml:space="preserve">6.2. Reliability Statement</w:t>
      </w:r>
    </w:p>
    <w:p>
      <w:pPr>
        <w:pStyle w:val="FirstParagraph"/>
      </w:pPr>
      <w:r>
        <w:t xml:space="preserve">This report\'s reliability is contingent on the accuracy of the provided parameters and the chosen secondary emission factors.</w:t>
      </w:r>
    </w:p>
    <w:p>
      <w:pPr>
        <w:numPr>
          <w:ilvl w:val="0"/>
          <w:numId w:val="1006"/>
        </w:numPr>
        <w:pStyle w:val="Compact"/>
      </w:pPr>
      <w:r>
        <w:rPr>
          <w:bCs/>
          <w:b/>
        </w:rPr>
        <w:t xml:space="preserve">High Reliability:</w:t>
      </w:r>
      <w:r>
        <w:t xml:space="preserve"> </w:t>
      </w:r>
      <w:r>
        <w:t xml:space="preserve">Emissions from materials (based on provided BOM with specific emission factors) and production energy (given energy intensity and renewable usage) are considered relatively reliable, assuming the provided BOM data and energy figures are accurate.</w:t>
      </w:r>
    </w:p>
    <w:p>
      <w:pPr>
        <w:numPr>
          <w:ilvl w:val="0"/>
          <w:numId w:val="1006"/>
        </w:numPr>
        <w:pStyle w:val="Compact"/>
      </w:pPr>
      <w:r>
        <w:rPr>
          <w:bCs/>
          <w:b/>
        </w:rPr>
        <w:t xml:space="preserve">Moderate Reliability:</w:t>
      </w:r>
      <w:r>
        <w:t xml:space="preserve"> </w:t>
      </w:r>
      <w:r>
        <w:t xml:space="preserve">Transport emissions rely on assumed distances, modes, and allocation methods for multi-package deliveries, which can introduce variability. Use phase emissions are based on stated lifespan and consumption, but actual user behavior can differ.</w:t>
      </w:r>
    </w:p>
    <w:p>
      <w:pPr>
        <w:numPr>
          <w:ilvl w:val="0"/>
          <w:numId w:val="1006"/>
        </w:numPr>
        <w:pStyle w:val="Compact"/>
      </w:pPr>
      <w:r>
        <w:rPr>
          <w:bCs/>
          <w:b/>
        </w:rPr>
        <w:t xml:space="preserve">Assumptions:</w:t>
      </w:r>
      <w:r>
        <w:t xml:space="preserve"> </w:t>
      </w:r>
      <w:r>
        <w:t xml:space="preserve">Illustrative emission factors (e.g., for ocean freight, EoL recycling credits/disposal emissions) were used where specific data was not provided. Future refinements would benefit from primary data from suppliers for these stages.</w:t>
      </w:r>
    </w:p>
    <w:bookmarkEnd w:id="38"/>
    <w:bookmarkStart w:id="39" w:name="recommendations"/>
    <w:p>
      <w:pPr>
        <w:pStyle w:val="Heading3"/>
      </w:pPr>
      <w:r>
        <w:t xml:space="preserve">6.3. Recommendations</w:t>
      </w:r>
    </w:p>
    <w:p>
      <w:pPr>
        <w:numPr>
          <w:ilvl w:val="0"/>
          <w:numId w:val="1007"/>
        </w:numPr>
        <w:pStyle w:val="Compact"/>
      </w:pPr>
      <w:r>
        <w:rPr>
          <w:bCs/>
          <w:b/>
        </w:rPr>
        <w:t xml:space="preserve">Enhance Use Phase Efficiency:</w:t>
      </w:r>
      <w:r>
        <w:t xml:space="preserve"> </w:t>
      </w:r>
      <w:r>
        <w:t xml:space="preserve">Prioritize design for extreme energy efficiency for zzokxvsfgd to reduce its operational energy consumption. Consider offering smart energy management features or promoting eco-friendly usage patterns to customers.</w:t>
      </w:r>
    </w:p>
    <w:p>
      <w:pPr>
        <w:numPr>
          <w:ilvl w:val="0"/>
          <w:numId w:val="1007"/>
        </w:numPr>
        <w:pStyle w:val="Compact"/>
      </w:pPr>
      <w:r>
        <w:rPr>
          <w:bCs/>
          <w:b/>
        </w:rPr>
        <w:t xml:space="preserve">Material Decarbonization:</w:t>
      </w:r>
      <w:r>
        <w:t xml:space="preserve"> </w:t>
      </w:r>
      <w:r>
        <w:t xml:space="preserve">Explore opportunities to source materials with lower embodied carbon, such as recycled aluminum or plastics, and investigate suppliers committed to decarbonizing their production processes.</w:t>
      </w:r>
    </w:p>
    <w:p>
      <w:pPr>
        <w:numPr>
          <w:ilvl w:val="0"/>
          <w:numId w:val="1007"/>
        </w:numPr>
        <w:pStyle w:val="Compact"/>
      </w:pPr>
      <w:r>
        <w:rPr>
          <w:bCs/>
          <w:b/>
        </w:rPr>
        <w:t xml:space="preserve">Renewable Energy Sourcing:</w:t>
      </w:r>
      <w:r>
        <w:t xml:space="preserve"> </w:t>
      </w:r>
      <w:r>
        <w:t xml:space="preserve">Collaborate with manufacturing partners in China to increase the share of renewable energy used in the production of zzokxvsfgd.</w:t>
      </w:r>
    </w:p>
    <w:p>
      <w:pPr>
        <w:numPr>
          <w:ilvl w:val="0"/>
          <w:numId w:val="1007"/>
        </w:numPr>
        <w:pStyle w:val="Compact"/>
      </w:pPr>
      <w:r>
        <w:rPr>
          <w:bCs/>
          <w:b/>
        </w:rPr>
        <w:t xml:space="preserve">Logistics Optimization:</w:t>
      </w:r>
      <w:r>
        <w:t xml:space="preserve"> </w:t>
      </w:r>
      <w:r>
        <w:t xml:space="preserve">Work with logistics providers to optimize transport routes, maximize load factors, and explore lower-emission transport modes where feasible, particularly for European distribution and last-mile delivery.</w:t>
      </w:r>
    </w:p>
    <w:p>
      <w:pPr>
        <w:numPr>
          <w:ilvl w:val="0"/>
          <w:numId w:val="1007"/>
        </w:numPr>
        <w:pStyle w:val="Compact"/>
      </w:pPr>
      <w:r>
        <w:rPr>
          <w:bCs/>
          <w:b/>
        </w:rPr>
        <w:t xml:space="preserve">Strengthen Circular Economy Initiatives:</w:t>
      </w:r>
      <w:r>
        <w:t xml:space="preserve"> </w:t>
      </w:r>
      <w:r>
        <w:t xml:space="preserve">Continue to invest in and promote circular economy programs (xoslwsixfh) to maximize recycling rates and explore product longevity strategies to extend the lifespan (ysxxoxknfm) of zzokxvsfgd.</w:t>
      </w:r>
    </w:p>
    <w:p>
      <w:r>
        <w:pict>
          <v:rect style="width:0;height:1.5pt" o:hralign="center" o:hrstd="t" o:hr="t"/>
        </w:pict>
      </w:r>
    </w:p>
    <w:bookmarkEnd w:id="39"/>
    <w:bookmarkEnd w:id="40"/>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zzokxvsfgd</dc:title>
  <dc:creator/>
  <dc:description>Detailed Product Carbon Footprint (PCF) analysis report for product zzokxvsfgd by exyvqhuuyh, conducted by Senior Sustainability Consultant frlrotqsqy, adhering to GHG Protocol and 2026 LSR update.</dc:description>
  <dc:language>en</dc:language>
  <cp:keywords/>
  <dcterms:created xsi:type="dcterms:W3CDTF">2026-07-15T12:37:46Z</dcterms:created>
  <dcterms:modified xsi:type="dcterms:W3CDTF">2026-07-15T12:37:46Z</dcterms:modified>
</cp:coreProperties>
</file>

<file path=docProps/custom.xml><?xml version="1.0" encoding="utf-8"?>
<Properties xmlns="http://schemas.openxmlformats.org/officeDocument/2006/custom-properties" xmlns:vt="http://schemas.openxmlformats.org/officeDocument/2006/docPropsVTypes"/>
</file>