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zyogzwsdzn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zyogzwsdzn</w:t>
      </w:r>
    </w:p>
    <w:p>
      <w:pPr>
        <w:pStyle w:val="BodyText"/>
      </w:pPr>
      <w:r>
        <w:rPr>
          <w:bCs/>
          <w:b/>
        </w:rPr>
        <w:t xml:space="preserve">Company Name:</w:t>
      </w:r>
      <w:r>
        <w:t xml:space="preserve"> </w:t>
      </w:r>
      <w:r>
        <w:t xml:space="preserve">jgpvsqjvkw</w:t>
      </w:r>
    </w:p>
    <w:p>
      <w:pPr>
        <w:pStyle w:val="BodyText"/>
      </w:pPr>
      <w:r>
        <w:rPr>
          <w:bCs/>
          <w:b/>
        </w:rPr>
        <w:t xml:space="preserve">Senior Sustainability Consultant:</w:t>
      </w:r>
      <w:r>
        <w:t xml:space="preserve"> </w:t>
      </w:r>
      <w:r>
        <w:t xml:space="preserve">uiymhpeqhr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results are indicative and subject to the quality and completeness of the input data and chosen emission factors.</w:t>
      </w:r>
    </w:p>
    <w:bookmarkEnd w:id="20"/>
    <w:bookmarkStart w:id="49" w:name="Xc5cc621b5a82c481c9fe3048989dd2c0184b642"/>
    <w:p>
      <w:pPr>
        <w:pStyle w:val="Heading1"/>
      </w:pPr>
      <w:r>
        <w:t xml:space="preserve">Product Carbon Footprint Analysis Report for zyogzwsdzn</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zyogzwsdzn, manufactured by jgpvsqjvkw. The assessment was performed by uiymhpeqhr, Senior Sustainability Consultant, adhering strictly to the Greenhouse Gas (GHG) Protocol. The analysis encompasses a cradle-to-grave approach, considering emissions across the entire lifecycle, from raw material acquisition to end-of-life treatment. Key insights highlight emission hotspots and provide a foundation for targeted reduction strategies, ensuring alignment with global sustainability goals and the latest GHG Protocol updates, including the 2026 Land Sector and Removals (LSR) Standard.</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zyogzwsdzn</w:t>
      </w:r>
      <w:r>
        <w:t xml:space="preserve">. This unit serves as the reference basis for quantifying all associated greenhouse gas (GHG) emissions throughout the product\'s lifecycle, allowing for consistent and comparable environmental performance assessment.</w:t>
      </w:r>
    </w:p>
    <w:bookmarkEnd w:id="22"/>
    <w:bookmarkStart w:id="23"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"cradle-to-gate" approach specifically includes emissions from raw material extraction, processing, manufacturing, and inbound transportation up to the point where the product exits the factory gate.</w:t>
      </w:r>
    </w:p>
    <w:p>
      <w:pPr>
        <w:pStyle w:val="BodyText"/>
      </w:pPr>
      <w:r>
        <w:t xml:space="preserve">However, in alignment with the comprehensive nature of a full Product Carbon Footprint and the user\'s request for "high-detail" analysis, additional lifecycle stages beyond the factory gate, namely Distribution, Use Phase, and End-of-Life, have also been included for a holistic "cradle-to-grave" perspective. These expanded stages fall under Scope 3 emissions.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geographic scope requires consideration of regional electricity mixes, transport distances, and specific emission factors relevant to both manufacturing in China and supply chain activities primarily within Europe.</w:t>
      </w:r>
    </w:p>
    <w:bookmarkEnd w:id="24"/>
    <w:bookmarkStart w:id="25" w:name="accounting-standard"/>
    <w:p>
      <w:pPr>
        <w:pStyle w:val="Heading3"/>
      </w:pPr>
      <w:r>
        <w:t xml:space="preserve">1.4 Accounting Standard</w:t>
      </w:r>
    </w:p>
    <w:p>
      <w:pPr>
        <w:pStyle w:val="FirstParagraph"/>
      </w:pPr>
      <w:r>
        <w:t xml:space="preserve">All calculations and reporting adhere to the</w:t>
      </w:r>
      <w:r>
        <w:t xml:space="preserve"> </w:t>
      </w:r>
      <w:r>
        <w:rPr>
          <w:bCs/>
          <w:b/>
        </w:rPr>
        <w:t xml:space="preserve">GHG Protocol</w:t>
      </w:r>
      <w:r>
        <w:t xml:space="preserve"> </w:t>
      </w:r>
      <w:r>
        <w:t xml:space="preserve">standards, specifically the Product Standard and the Corporate Value Chain (Scope 3) Accounting and Reporting Standard.</w:t>
      </w:r>
    </w:p>
    <w:p>
      <w:pPr>
        <w:pStyle w:val="BodyText"/>
      </w:pPr>
      <w:r>
        <w:t xml:space="preserve">Furthermore, this report incorporates the principles of the</w:t>
      </w:r>
      <w:r>
        <w:t xml:space="preserve"> </w:t>
      </w:r>
      <w:r>
        <w:rPr>
          <w:bCs/>
          <w:b/>
        </w:rPr>
        <w:t xml:space="preserve">2026 Land Sector and Removals (LSR) Standard update</w:t>
      </w:r>
      <w:r>
        <w:t xml:space="preserve">, which provides requirements for quantifying, reporting, and tracking land emissions and CO2 removals.</w:t>
      </w:r>
    </w:p>
    <w:bookmarkEnd w:id="25"/>
    <w:bookmarkStart w:id="26" w:name="allocation"/>
    <w:p>
      <w:pPr>
        <w:pStyle w:val="Heading3"/>
      </w:pPr>
      <w:r>
        <w:t xml:space="preserve">1.5 Allocation</w:t>
      </w:r>
    </w:p>
    <w:p>
      <w:pPr>
        <w:pStyle w:val="FirstParagraph"/>
      </w:pPr>
      <w:r>
        <w:t xml:space="preserve">Emissions are allocated to the functional unit (1.0 unit of zyogzwsdzn) on a direct attribution basis for all materials, energy, and processes directly associated with its production. For shared processes or infrastructure, emissions are allocated based on physical parameters such as mass or energy consumption, where applicable.</w:t>
      </w:r>
    </w:p>
    <w:p>
      <w:r>
        <w:pict>
          <v:rect style="width:0;height:1.5pt" o:hralign="center" o:hrstd="t" o:hr="t"/>
        </w:pict>
      </w:r>
    </w:p>
    <w:bookmarkEnd w:id="26"/>
    <w:bookmarkEnd w:id="27"/>
    <w:bookmarkStart w:id="33" w:name="X9b3f95e3515408304ff4a9cec9842f2424d7a20"/>
    <w:p>
      <w:pPr>
        <w:pStyle w:val="Heading2"/>
      </w:pPr>
      <w:r>
        <w:t xml:space="preserve">2. Map Lifecycle (LCI Inventory Stages) &amp; 3. Collect Data (Primary/Secondary Data Points)</w:t>
      </w:r>
    </w:p>
    <w:p>
      <w:pPr>
        <w:pStyle w:val="FirstParagraph"/>
      </w:pPr>
      <w:r>
        <w:t xml:space="preserve">The lifecycle of zyogzwsdzn is mapped across five key stages: Materials, Production, Transport, Use Phase, and End-of-Life. Data collection involved integrating primary data where provided and supplementing with secondary, industry-standard emission factors from reputable databases (e.g., Ecoinvent, DEFRA) where primary data was unavailable or for generic processes.</w:t>
      </w:r>
    </w:p>
    <w:bookmarkStart w:id="28" w:name="Xdc1032318026f91f0511f765a7a0565f517d7eb"/>
    <w:p>
      <w:pPr>
        <w:pStyle w:val="Heading3"/>
      </w:pPr>
      <w:r>
        <w:t xml:space="preserve">3.1 Detailed Bill of Materials (BOM) for vhvjdmie</w:t>
      </w:r>
    </w:p>
    <w:p>
      <w:pPr>
        <w:pStyle w:val="FirstParagraph"/>
      </w:pPr>
      <w:r>
        <w:t xml:space="preserve">The following table presents the detailed Bill of Materials for the product zyogzwsdzn, identified as vhvjdmie. For demonstration purposes, illustrative data is used for "ID," "Description," "Category," "Process," "Qty," "Unit," "Emission Factor," and "Total Carbon." The "Total Carbon"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MTR-001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9.0</w:t>
            </w:r>
          </w:p>
        </w:tc>
        <w:tc>
          <w:tcPr/>
          <w:p>
            <w:pPr>
              <w:pStyle w:val="Compact"/>
              <w:jc w:val="left"/>
            </w:pPr>
            <w:r>
              <w:t xml:space="preserve">4.50</w:t>
            </w:r>
          </w:p>
        </w:tc>
      </w:tr>
      <w:tr>
        <w:tc>
          <w:tcPr/>
          <w:p>
            <w:pPr>
              <w:pStyle w:val="Compact"/>
              <w:jc w:val="left"/>
            </w:pPr>
            <w:r>
              <w:t xml:space="preserve">MTR-002</w:t>
            </w:r>
          </w:p>
        </w:tc>
        <w:tc>
          <w:tcPr/>
          <w:p>
            <w:pPr>
              <w:pStyle w:val="Compact"/>
              <w:jc w:val="left"/>
            </w:pPr>
            <w:r>
              <w:t xml:space="preserve">Recycled ABS Plastic Enclosure</w:t>
            </w:r>
          </w:p>
        </w:tc>
        <w:tc>
          <w:tcPr/>
          <w:p>
            <w:pPr>
              <w:pStyle w:val="Compact"/>
              <w:jc w:val="left"/>
            </w:pPr>
            <w:r>
              <w:t xml:space="preserve">Plastics</w:t>
            </w:r>
          </w:p>
        </w:tc>
        <w:tc>
          <w:tcPr/>
          <w:p>
            <w:pPr>
              <w:pStyle w:val="Compact"/>
              <w:jc w:val="left"/>
            </w:pPr>
            <w:r>
              <w:t xml:space="preserve">Recycling,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MTR-003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MTR-004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MTR-005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 &amp; 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bl>
    <w:bookmarkEnd w:id="28"/>
    <w:bookmarkStart w:id="29" w:name="energy-inputs-production-phase---china"/>
    <w:p>
      <w:pPr>
        <w:pStyle w:val="Heading3"/>
      </w:pPr>
      <w:r>
        <w:t xml:space="preserve">3.2 Energy Inputs (Production Phase - China)</w:t>
      </w:r>
    </w:p>
    <w:p>
      <w:pPr>
        <w:numPr>
          <w:ilvl w:val="0"/>
          <w:numId w:val="1002"/>
        </w:numPr>
        <w:pStyle w:val="Compact"/>
      </w:pPr>
      <w:r>
        <w:rPr>
          <w:bCs/>
          <w:b/>
        </w:rPr>
        <w:t xml:space="preserve">Renewable Energy Usage:</w:t>
      </w:r>
      <w:r>
        <w:t xml:space="preserve"> </w:t>
      </w:r>
      <w:r>
        <w:t xml:space="preserve">nqyndtiqnz%</w:t>
      </w:r>
    </w:p>
    <w:p>
      <w:pPr>
        <w:numPr>
          <w:ilvl w:val="0"/>
          <w:numId w:val="1002"/>
        </w:numPr>
        <w:pStyle w:val="Compact"/>
      </w:pPr>
      <w:r>
        <w:rPr>
          <w:bCs/>
          <w:b/>
        </w:rPr>
        <w:t xml:space="preserve">Energy Intensity (kWh/unit):</w:t>
      </w:r>
      <w:r>
        <w:t xml:space="preserve"> </w:t>
      </w:r>
      <w:r>
        <w:t xml:space="preserve">gfsiizhqrt kWh/unit</w:t>
      </w:r>
    </w:p>
    <w:p>
      <w:pPr>
        <w:pStyle w:val="FirstParagraph"/>
      </w:pPr>
      <w:r>
        <w:t xml:space="preserve">The energy consumption during the production of zyogzwsdzn in China is a critical factor. The reported renewable energy usage of nqyndtiqnz% directly influences the Scope 2 emissions. The remaining (100 - nqyndtiqnz)% of electricity is assumed to come from the local grid mix. China\'s average grid emission factor for electricity is approximately 0.556 to 0.6093 kg CO2/kWh. For renewable energy sources like wind or hydropower, the life-cycle emissions are significantly lower, ranging from 4 to 11 g CO2e/kWh.</w:t>
      </w:r>
    </w:p>
    <w:bookmarkEnd w:id="29"/>
    <w:bookmarkStart w:id="30" w:name="logistics-data-supply-chain-focus-europe"/>
    <w:p>
      <w:pPr>
        <w:pStyle w:val="Heading3"/>
      </w:pPr>
      <w:r>
        <w:t xml:space="preserve">3.3 Logistics Data (Supply Chain Focus: Europe)</w:t>
      </w:r>
    </w:p>
    <w:p>
      <w:pPr>
        <w:numPr>
          <w:ilvl w:val="0"/>
          <w:numId w:val="1003"/>
        </w:numPr>
        <w:pStyle w:val="Compact"/>
      </w:pPr>
      <w:r>
        <w:rPr>
          <w:bCs/>
          <w:b/>
        </w:rPr>
        <w:t xml:space="preserve">Transport Mode:</w:t>
      </w:r>
      <w:r>
        <w:t xml:space="preserve"> </w:t>
      </w:r>
      <w:r>
        <w:t xml:space="preserve">Select Mode</w:t>
      </w:r>
    </w:p>
    <w:p>
      <w:pPr>
        <w:numPr>
          <w:ilvl w:val="0"/>
          <w:numId w:val="1003"/>
        </w:numPr>
        <w:pStyle w:val="Compact"/>
      </w:pPr>
      <w:r>
        <w:rPr>
          <w:bCs/>
          <w:b/>
        </w:rPr>
        <w:t xml:space="preserve">Transport Distance:</w:t>
      </w:r>
      <w:r>
        <w:t xml:space="preserve"> </w:t>
      </w:r>
      <w:r>
        <w:t xml:space="preserve">wzzzyhdinw km</w:t>
      </w:r>
    </w:p>
    <w:p>
      <w:pPr>
        <w:numPr>
          <w:ilvl w:val="0"/>
          <w:numId w:val="1003"/>
        </w:numPr>
        <w:pStyle w:val="Compact"/>
      </w:pPr>
      <w:r>
        <w:rPr>
          <w:bCs/>
          <w:b/>
        </w:rPr>
        <w:t xml:space="preserve">Last-Mile Delivery Channel:</w:t>
      </w:r>
      <w:r>
        <w:t xml:space="preserve"> </w:t>
      </w:r>
      <w:r>
        <w:t xml:space="preserve">Delivery Type</w:t>
      </w:r>
    </w:p>
    <w:p>
      <w:pPr>
        <w:pStyle w:val="FirstParagraph"/>
      </w:pPr>
      <w:r>
        <w:t xml:space="preserve">Transportation emissions depend on the mode, distance, and load factor. Illustrative emission factors will be used for "Select Mode" and "Delivery Type" based on general averages. For example, road freight can have an average CO2 emission factor of 62 g CO2/tonne-km.</w:t>
      </w:r>
    </w:p>
    <w:bookmarkEnd w:id="30"/>
    <w:bookmarkStart w:id="31"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urqjsgfeef years</w:t>
      </w:r>
    </w:p>
    <w:p>
      <w:pPr>
        <w:numPr>
          <w:ilvl w:val="0"/>
          <w:numId w:val="1004"/>
        </w:numPr>
        <w:pStyle w:val="Compact"/>
      </w:pPr>
      <w:r>
        <w:rPr>
          <w:bCs/>
          <w:b/>
        </w:rPr>
        <w:t xml:space="preserve">Energy Consumption in Use:</w:t>
      </w:r>
      <w:r>
        <w:t xml:space="preserve"> </w:t>
      </w:r>
      <w:r>
        <w:t xml:space="preserve">npifxqxqxj kWh/year</w:t>
      </w:r>
    </w:p>
    <w:p>
      <w:pPr>
        <w:pStyle w:val="FirstParagraph"/>
      </w:pPr>
      <w:r>
        <w:t xml:space="preserve">The energy consumed during the product\'s operational life is a significant contributor to its overall carbon footprint, especially for electronic devices. The total use-phase energy consumption will be calculated based on the lifespan and annual consumption.</w:t>
      </w:r>
    </w:p>
    <w:bookmarkEnd w:id="31"/>
    <w:bookmarkStart w:id="32" w:name="end-of-life-eol-scenarios"/>
    <w:p>
      <w:pPr>
        <w:pStyle w:val="Heading3"/>
      </w:pPr>
      <w:r>
        <w:t xml:space="preserve">3.5 End-of-Life (EoL) Scenarios</w:t>
      </w:r>
    </w:p>
    <w:p>
      <w:pPr>
        <w:numPr>
          <w:ilvl w:val="0"/>
          <w:numId w:val="1005"/>
        </w:numPr>
        <w:pStyle w:val="Compact"/>
      </w:pPr>
      <w:r>
        <w:rPr>
          <w:bCs/>
          <w:b/>
        </w:rPr>
        <w:t xml:space="preserve">Recyclability Percentage:</w:t>
      </w:r>
      <w:r>
        <w:t xml:space="preserve"> </w:t>
      </w:r>
      <w:r>
        <w:t xml:space="preserve">zpynyzvxvo%</w:t>
      </w:r>
    </w:p>
    <w:p>
      <w:pPr>
        <w:numPr>
          <w:ilvl w:val="0"/>
          <w:numId w:val="1005"/>
        </w:numPr>
        <w:pStyle w:val="Compact"/>
      </w:pPr>
      <w:r>
        <w:rPr>
          <w:bCs/>
          <w:b/>
        </w:rPr>
        <w:t xml:space="preserve">Circular/Take-back Programs:</w:t>
      </w:r>
      <w:r>
        <w:t xml:space="preserve"> </w:t>
      </w:r>
      <w:r>
        <w:t xml:space="preserve">vhpouxliep</w:t>
      </w:r>
    </w:p>
    <w:p>
      <w:pPr>
        <w:pStyle w:val="FirstParagraph"/>
      </w:pPr>
      <w:r>
        <w:t xml:space="preserve">The end-of-life treatment of the product has an impact on its carbon footprint. A higher recyclability percentage and the existence of circular/take-back programs can reduce the environmental burden by avoiding virgin material production.</w:t>
      </w:r>
    </w:p>
    <w:p>
      <w:r>
        <w:pict>
          <v:rect style="width:0;height:1.5pt" o:hralign="center" o:hrstd="t" o:hr="t"/>
        </w:pict>
      </w:r>
    </w:p>
    <w:bookmarkEnd w:id="32"/>
    <w:bookmarkEnd w:id="33"/>
    <w:bookmarkStart w:id="45" w:name="Xb404f6bea4a0013006ec7a9103609d9ea6643c1"/>
    <w:p>
      <w:pPr>
        <w:pStyle w:val="Heading2"/>
      </w:pPr>
      <w:r>
        <w:t xml:space="preserve">4. Calculate Emissions (Activity * Emission Factor = CO2e)</w:t>
      </w:r>
    </w:p>
    <w:p>
      <w:pPr>
        <w:pStyle w:val="FirstParagraph"/>
      </w:pPr>
      <w:r>
        <w:t xml:space="preserve">Emissions are calculated for each stage by multiplying activity data (e.g., kg of material, kWh of energy, tkm of transport) by their respective emission factors (kg CO2e/unit of activity). These are then categorized according to the GHG Protocol\'s Scope 1, 2, and 3.</w:t>
      </w:r>
    </w:p>
    <w:bookmarkStart w:id="34" w:name="illustrative-emission-factors-used"/>
    <w:p>
      <w:pPr>
        <w:pStyle w:val="Heading3"/>
      </w:pPr>
      <w:r>
        <w:t xml:space="preserve">4.1 Illustrative Emission Factors Used</w:t>
      </w:r>
    </w:p>
    <w:p>
      <w:pPr>
        <w:pStyle w:val="FirstParagraph"/>
      </w:pPr>
      <w:r>
        <w:t xml:space="preserve">For the purpose of this illustrative report, the following generic emission factors (EFs) are adopted, reflecting industry standards and publicly available data (e.g., from Ecoinvent/DEFRA):</w:t>
      </w:r>
    </w:p>
    <w:p>
      <w:pPr>
        <w:numPr>
          <w:ilvl w:val="0"/>
          <w:numId w:val="1006"/>
        </w:numPr>
        <w:pStyle w:val="Compact"/>
      </w:pPr>
      <w:r>
        <w:rPr>
          <w:bCs/>
          <w:b/>
        </w:rPr>
        <w:t xml:space="preserve">Electricity Grid Mix (China):</w:t>
      </w:r>
      <w:r>
        <w:t xml:space="preserve"> </w:t>
      </w:r>
      <w:r>
        <w:t xml:space="preserve">0.577 kg CO2e/kWh (average)</w:t>
      </w:r>
    </w:p>
    <w:p>
      <w:pPr>
        <w:numPr>
          <w:ilvl w:val="0"/>
          <w:numId w:val="1006"/>
        </w:numPr>
        <w:pStyle w:val="Compact"/>
      </w:pPr>
      <w:r>
        <w:rPr>
          <w:bCs/>
          <w:b/>
        </w:rPr>
        <w:t xml:space="preserve">Renewable Electricity:</w:t>
      </w:r>
      <w:r>
        <w:t xml:space="preserve"> </w:t>
      </w:r>
      <w:r>
        <w:t xml:space="preserve">0.011 kg CO2e/kWh (illustrative for wind/solar life cycle)</w:t>
      </w:r>
    </w:p>
    <w:p>
      <w:pPr>
        <w:numPr>
          <w:ilvl w:val="0"/>
          <w:numId w:val="1006"/>
        </w:numPr>
        <w:pStyle w:val="Compact"/>
      </w:pPr>
      <w:r>
        <w:rPr>
          <w:bCs/>
          <w:b/>
        </w:rPr>
        <w:t xml:space="preserve">Road Freight (Average, Europe):</w:t>
      </w:r>
      <w:r>
        <w:t xml:space="preserve"> </w:t>
      </w:r>
      <w:r>
        <w:t xml:space="preserve">0.062 kg CO2e/tonne-km (DEFRA equivalent)</w:t>
      </w:r>
    </w:p>
    <w:p>
      <w:pPr>
        <w:numPr>
          <w:ilvl w:val="0"/>
          <w:numId w:val="1006"/>
        </w:numPr>
        <w:pStyle w:val="Compact"/>
      </w:pPr>
      <w:r>
        <w:rPr>
          <w:bCs/>
          <w:b/>
        </w:rPr>
        <w:t xml:space="preserve">Last-Mile Delivery (Van, Europe):</w:t>
      </w:r>
      <w:r>
        <w:t xml:space="preserve"> </w:t>
      </w:r>
      <w:r>
        <w:t xml:space="preserve">0.25 kg CO2e/km (illustrative for average van with typical load)</w:t>
      </w:r>
    </w:p>
    <w:p>
      <w:pPr>
        <w:numPr>
          <w:ilvl w:val="0"/>
          <w:numId w:val="1006"/>
        </w:numPr>
        <w:pStyle w:val="Compact"/>
      </w:pPr>
      <w:r>
        <w:rPr>
          <w:bCs/>
          <w:b/>
        </w:rPr>
        <w:t xml:space="preserve">End-of-Life (Landfill):</w:t>
      </w:r>
      <w:r>
        <w:t xml:space="preserve"> </w:t>
      </w:r>
      <w:r>
        <w:t xml:space="preserve">1.5 kg CO2e/kg (illustrative for mixed waste)</w:t>
      </w:r>
    </w:p>
    <w:p>
      <w:pPr>
        <w:numPr>
          <w:ilvl w:val="0"/>
          <w:numId w:val="1006"/>
        </w:numPr>
        <w:pStyle w:val="Compact"/>
      </w:pPr>
      <w:r>
        <w:rPr>
          <w:bCs/>
          <w:b/>
        </w:rPr>
        <w:t xml:space="preserve">End-of-Life (Recycling):</w:t>
      </w:r>
      <w:r>
        <w:t xml:space="preserve"> </w:t>
      </w:r>
      <w:r>
        <w:t xml:space="preserve">-0.5 kg CO2e/kg (illustrative for avoided emissions, net positive impact)</w:t>
      </w:r>
    </w:p>
    <w:bookmarkEnd w:id="34"/>
    <w:bookmarkStart w:id="40" w:name="emissions-by-lifecycle-stage-and-scope"/>
    <w:p>
      <w:pPr>
        <w:pStyle w:val="Heading3"/>
      </w:pPr>
      <w:r>
        <w:t xml:space="preserve">4.2 Emissions by Lifecycle Stage and Scope</w:t>
      </w:r>
    </w:p>
    <w:bookmarkStart w:id="35" w:name="materials-scope-3---upstream"/>
    <w:p>
      <w:pPr>
        <w:pStyle w:val="Heading4"/>
      </w:pPr>
      <w:r>
        <w:t xml:space="preserve">4.2.1 Materials (Scope 3 - Upstream)</w:t>
      </w:r>
    </w:p>
    <w:p>
      <w:pPr>
        <w:pStyle w:val="FirstParagraph"/>
      </w:pPr>
      <w:r>
        <w:t xml:space="preserve">Emissions from the extraction, processing, and production of raw materials as per the BOM.</w:t>
      </w:r>
    </w:p>
    <w:p>
      <w:pPr>
        <w:pStyle w:val="BodyText"/>
      </w:pPr>
      <w:r>
        <w:rPr>
          <w:bCs/>
          <w:b/>
        </w:rPr>
        <w:t xml:space="preserve">Total Material Emissions:</w:t>
      </w:r>
      <w:r>
        <w:t xml:space="preserve"> </w:t>
      </w:r>
      <w:r>
        <w:t xml:space="preserve">4.50 kg (Alloy) + 0.75 kg (Plastic) + 1.00 kg (Silicon) + 0.40 kg (Copper) + 0.18 kg (Cardboard) =</w:t>
      </w:r>
      <w:r>
        <w:t xml:space="preserve"> </w:t>
      </w:r>
      <w:r>
        <w:rPr>
          <w:bCs/>
          <w:b/>
        </w:rPr>
        <w:t xml:space="preserve">6.83 kg CO2e</w:t>
      </w:r>
    </w:p>
    <w:bookmarkEnd w:id="35"/>
    <w:bookmarkStart w:id="36" w:name="production-china"/>
    <w:p>
      <w:pPr>
        <w:pStyle w:val="Heading4"/>
      </w:pPr>
      <w:r>
        <w:t xml:space="preserve">4.2.2 Production (China)</w:t>
      </w:r>
    </w:p>
    <w:p>
      <w:pPr>
        <w:pStyle w:val="FirstParagraph"/>
      </w:pPr>
      <w:r>
        <w:t xml:space="preserve">Emissions from purchased electricity during manufacturing.</w:t>
      </w:r>
    </w:p>
    <w:p>
      <w:pPr>
        <w:pStyle w:val="BodyText"/>
      </w:pPr>
      <w:r>
        <w:rPr>
          <w:bCs/>
          <w:b/>
        </w:rPr>
        <w:t xml:space="preserve">Total Energy Intensity:</w:t>
      </w:r>
      <w:r>
        <w:t xml:space="preserve"> </w:t>
      </w:r>
      <w:r>
        <w:t xml:space="preserve">gfsiizhqrt kWh/unit</w:t>
      </w:r>
    </w:p>
    <w:p>
      <w:pPr>
        <w:pStyle w:val="BodyText"/>
      </w:pPr>
      <w:r>
        <w:rPr>
          <w:bCs/>
          <w:b/>
        </w:rPr>
        <w:t xml:space="preserve">Renewable Energy Share:</w:t>
      </w:r>
      <w:r>
        <w:t xml:space="preserve"> </w:t>
      </w:r>
      <w:r>
        <w:t xml:space="preserve">nqyndtiqnz%</w:t>
      </w:r>
    </w:p>
    <w:p>
      <w:pPr>
        <w:pStyle w:val="BodyText"/>
      </w:pPr>
      <w:r>
        <w:rPr>
          <w:bCs/>
          <w:b/>
        </w:rPr>
        <w:t xml:space="preserve">Non-Renewable Share:</w:t>
      </w:r>
      <w:r>
        <w:t xml:space="preserve"> </w:t>
      </w:r>
      <w:r>
        <w:t xml:space="preserve">(100 - nqyndtiqnz)%</w:t>
      </w:r>
    </w:p>
    <w:p>
      <w:pPr>
        <w:pStyle w:val="BodyText"/>
      </w:pPr>
      <w:r>
        <w:t xml:space="preserve">Assuming nqyndtiqnz = 40% and gfsiizhqrt = 5 kWh/unit (illustrative values for calculation example):</w:t>
      </w:r>
    </w:p>
    <w:p>
      <w:pPr>
        <w:numPr>
          <w:ilvl w:val="0"/>
          <w:numId w:val="1007"/>
        </w:numPr>
        <w:pStyle w:val="Compact"/>
      </w:pPr>
      <w:r>
        <w:rPr>
          <w:bCs/>
          <w:b/>
        </w:rPr>
        <w:t xml:space="preserve">Renewable Electricity Consumption:</w:t>
      </w:r>
      <w:r>
        <w:t xml:space="preserve"> </w:t>
      </w:r>
      <w:r>
        <w:t xml:space="preserve">5 kWh * 0.40 = 2 kWh</w:t>
      </w:r>
    </w:p>
    <w:p>
      <w:pPr>
        <w:numPr>
          <w:ilvl w:val="0"/>
          <w:numId w:val="1007"/>
        </w:numPr>
        <w:pStyle w:val="Compact"/>
      </w:pPr>
      <w:r>
        <w:rPr>
          <w:bCs/>
          <w:b/>
        </w:rPr>
        <w:t xml:space="preserve">Grid Electricity Consumption:</w:t>
      </w:r>
      <w:r>
        <w:t xml:space="preserve"> </w:t>
      </w:r>
      <w:r>
        <w:t xml:space="preserve">5 kWh * 0.60 = 3 kWh</w:t>
      </w:r>
    </w:p>
    <w:p>
      <w:pPr>
        <w:numPr>
          <w:ilvl w:val="0"/>
          <w:numId w:val="1007"/>
        </w:numPr>
        <w:pStyle w:val="Compact"/>
      </w:pPr>
      <w:r>
        <w:rPr>
          <w:bCs/>
          <w:b/>
        </w:rPr>
        <w:t xml:space="preserve">Renewable Electricity Emissions:</w:t>
      </w:r>
      <w:r>
        <w:t xml:space="preserve"> </w:t>
      </w:r>
      <w:r>
        <w:t xml:space="preserve">2 kWh * 0.011 kg CO2e/kWh = 0.022 kg CO2e</w:t>
      </w:r>
    </w:p>
    <w:p>
      <w:pPr>
        <w:numPr>
          <w:ilvl w:val="0"/>
          <w:numId w:val="1007"/>
        </w:numPr>
        <w:pStyle w:val="Compact"/>
      </w:pPr>
      <w:r>
        <w:rPr>
          <w:bCs/>
          <w:b/>
        </w:rPr>
        <w:t xml:space="preserve">Grid Electricity Emissions (Scope 2):</w:t>
      </w:r>
      <w:r>
        <w:t xml:space="preserve"> </w:t>
      </w:r>
      <w:r>
        <w:t xml:space="preserve">3 kWh * 0.577 kg CO2e/kWh = 1.731 kg CO2e</w:t>
      </w:r>
    </w:p>
    <w:p>
      <w:pPr>
        <w:pStyle w:val="FirstParagraph"/>
      </w:pPr>
      <w:r>
        <w:rPr>
          <w:bCs/>
          <w:b/>
        </w:rPr>
        <w:t xml:space="preserve">Total Production Emissions (Scope 2): 1.753 kg CO2e</w:t>
      </w:r>
    </w:p>
    <w:p>
      <w:pPr>
        <w:pStyle w:val="BodyText"/>
      </w:pPr>
      <w:r>
        <w:t xml:space="preserve">Note: Upstream emissions related to fuel and energy (e.g., for grid electricity generation, transmission and distribution losses) are considered Scope 3, Category 3.</w:t>
      </w:r>
    </w:p>
    <w:bookmarkEnd w:id="36"/>
    <w:bookmarkStart w:id="37" w:name="transport-scope-3---upstream-downstream"/>
    <w:p>
      <w:pPr>
        <w:pStyle w:val="Heading4"/>
      </w:pPr>
      <w:r>
        <w:t xml:space="preserve">4.2.3 Transport (Scope 3 - Upstream &amp; Downstream)</w:t>
      </w:r>
    </w:p>
    <w:p>
      <w:pPr>
        <w:pStyle w:val="FirstParagraph"/>
      </w:pPr>
      <w:r>
        <w:t xml:space="preserve">Emissions from inbound transport of materials to the factory and outbound transport of finished products to the customer. For illustrative purposes, we will assume a total product weight of 1.2 kg (sum of BOM Qty) and an average "Select Mode" emission factor for freight to Europe and "Delivery Type" for last mile. Given Transport Distance: wzzzyhdinw km.</w:t>
      </w:r>
    </w:p>
    <w:p>
      <w:pPr>
        <w:pStyle w:val="BodyText"/>
      </w:pPr>
      <w:r>
        <w:t xml:space="preserve">Assuming wzzzyhdinw = 2000 km, "Select Mode" as cargo ship (0.00003852 MTCO2e/tkm = 0.03852 kg CO2e/tonne-km), and "Delivery Type" as light-duty vehicle for last-mile (e.g., 0.25 kg CO2e/km for 50km last mile).</w:t>
      </w:r>
    </w:p>
    <w:p>
      <w:pPr>
        <w:numPr>
          <w:ilvl w:val="0"/>
          <w:numId w:val="1008"/>
        </w:numPr>
        <w:pStyle w:val="Compact"/>
      </w:pPr>
      <w:r>
        <w:rPr>
          <w:bCs/>
          <w:b/>
        </w:rPr>
        <w:t xml:space="preserve">Inbound/Outbound Freight (2000 km, 1.2 kg product):</w:t>
      </w:r>
      <w:r>
        <w:t xml:space="preserve"> </w:t>
      </w:r>
      <w:r>
        <w:t xml:space="preserve">1.2 kg * 0.001 tonne/kg * 2000 km * 0.03852 kg CO2e/tonne-km = 0.092 kg CO2e (Scope 3, Category 4 &amp; 9)</w:t>
      </w:r>
    </w:p>
    <w:p>
      <w:pPr>
        <w:numPr>
          <w:ilvl w:val="0"/>
          <w:numId w:val="1008"/>
        </w:numPr>
        <w:pStyle w:val="Compact"/>
      </w:pPr>
      <w:r>
        <w:rPr>
          <w:bCs/>
          <w:b/>
        </w:rPr>
        <w:t xml:space="preserve">Last-Mile Delivery (50 km, illustrative):</w:t>
      </w:r>
      <w:r>
        <w:t xml:space="preserve"> </w:t>
      </w:r>
      <w:r>
        <w:t xml:space="preserve">50 km * 0.25 kg CO2e/km = 12.5 kg CO2e (Scope 3, Category 9)</w:t>
      </w:r>
    </w:p>
    <w:p>
      <w:pPr>
        <w:pStyle w:val="FirstParagraph"/>
      </w:pPr>
      <w:r>
        <w:rPr>
          <w:bCs/>
          <w:b/>
        </w:rPr>
        <w:t xml:space="preserve">Total Transport Emissions: 12.592 kg CO2e</w:t>
      </w:r>
    </w:p>
    <w:bookmarkEnd w:id="37"/>
    <w:bookmarkStart w:id="38" w:name="use-phase-scope-3---downstream"/>
    <w:p>
      <w:pPr>
        <w:pStyle w:val="Heading4"/>
      </w:pPr>
      <w:r>
        <w:t xml:space="preserve">4.2.4 Use Phase (Scope 3 - Downstream)</w:t>
      </w:r>
    </w:p>
    <w:p>
      <w:pPr>
        <w:pStyle w:val="FirstParagraph"/>
      </w:pPr>
      <w:r>
        <w:t xml:space="preserve">Emissions from energy consumption during the product\'s operational lifespan. Given Lifespan: urqjsgfeef years, Energy in Use: npifxqxqxj kWh/year.</w:t>
      </w:r>
    </w:p>
    <w:p>
      <w:pPr>
        <w:pStyle w:val="BodyText"/>
      </w:pPr>
      <w:r>
        <w:t xml:space="preserve">Assuming urqjsgfeef = 5 years and npifxqxqxj = 10 kWh/year (illustrative values):</w:t>
      </w:r>
    </w:p>
    <w:p>
      <w:pPr>
        <w:numPr>
          <w:ilvl w:val="0"/>
          <w:numId w:val="1009"/>
        </w:numPr>
        <w:pStyle w:val="Compact"/>
      </w:pPr>
      <w:r>
        <w:rPr>
          <w:bCs/>
          <w:b/>
        </w:rPr>
        <w:t xml:space="preserve">Total Energy Consumption in Use:</w:t>
      </w:r>
      <w:r>
        <w:t xml:space="preserve"> </w:t>
      </w:r>
      <w:r>
        <w:t xml:space="preserve">10 kWh/year * 5 years = 50 kWh</w:t>
      </w:r>
    </w:p>
    <w:p>
      <w:pPr>
        <w:numPr>
          <w:ilvl w:val="0"/>
          <w:numId w:val="1009"/>
        </w:numPr>
        <w:pStyle w:val="Compact"/>
      </w:pPr>
      <w:r>
        <w:rPr>
          <w:bCs/>
          <w:b/>
        </w:rPr>
        <w:t xml:space="preserve">Use Phase Electricity Emissions (average grid mix for typical European consumer):</w:t>
      </w:r>
      <w:r>
        <w:t xml:space="preserve"> </w:t>
      </w:r>
      <w:r>
        <w:t xml:space="preserve">50 kWh * 0.25 kg CO2e/kWh (illustrative European grid mix) = 12.5 kg CO2e (Scope 3, Category 11)</w:t>
      </w:r>
    </w:p>
    <w:p>
      <w:pPr>
        <w:pStyle w:val="FirstParagraph"/>
      </w:pPr>
      <w:r>
        <w:rPr>
          <w:bCs/>
          <w:b/>
        </w:rPr>
        <w:t xml:space="preserve">Total Use Phase Emissions: 12.5 kg CO2e</w:t>
      </w:r>
    </w:p>
    <w:bookmarkEnd w:id="38"/>
    <w:bookmarkStart w:id="39" w:name="end-of-life-eol-scope-3---downstream"/>
    <w:p>
      <w:pPr>
        <w:pStyle w:val="Heading4"/>
      </w:pPr>
      <w:r>
        <w:t xml:space="preserve">4.2.5 End-of-Life (EoL) (Scope 3 - Downstream)</w:t>
      </w:r>
    </w:p>
    <w:p>
      <w:pPr>
        <w:pStyle w:val="FirstParagraph"/>
      </w:pPr>
      <w:r>
        <w:t xml:space="preserve">Emissions (or avoided emissions) from the disposal or recycling of the product. Given Recyclability Percentage: zpynyzvxvo%, Circular/Take-back Programs: vhpouxliep.</w:t>
      </w:r>
    </w:p>
    <w:p>
      <w:pPr>
        <w:pStyle w:val="BodyText"/>
      </w:pPr>
      <w:r>
        <w:t xml:space="preserve">Assuming zpynyzvxvo = 70% and total product weight 1.2 kg. The remaining 30% goes to landfill.</w:t>
      </w:r>
    </w:p>
    <w:p>
      <w:pPr>
        <w:numPr>
          <w:ilvl w:val="0"/>
          <w:numId w:val="1010"/>
        </w:numPr>
        <w:pStyle w:val="Compact"/>
      </w:pPr>
      <w:r>
        <w:rPr>
          <w:bCs/>
          <w:b/>
        </w:rPr>
        <w:t xml:space="preserve">Recycled Material (0.7 * 1.2 kg = 0.84 kg):</w:t>
      </w:r>
      <w:r>
        <w:t xml:space="preserve"> </w:t>
      </w:r>
      <w:r>
        <w:t xml:space="preserve">0.84 kg * -0.5 kg CO2e/kg = -0.42 kg CO2e (avoided emissions)</w:t>
      </w:r>
    </w:p>
    <w:p>
      <w:pPr>
        <w:numPr>
          <w:ilvl w:val="0"/>
          <w:numId w:val="1010"/>
        </w:numPr>
        <w:pStyle w:val="Compact"/>
      </w:pPr>
      <w:r>
        <w:rPr>
          <w:bCs/>
          <w:b/>
        </w:rPr>
        <w:t xml:space="preserve">Landfilled Material (0.3 * 1.2 kg = 0.36 kg):</w:t>
      </w:r>
      <w:r>
        <w:t xml:space="preserve"> </w:t>
      </w:r>
      <w:r>
        <w:t xml:space="preserve">0.36 kg * 1.5 kg CO2e/kg = 0.54 kg CO2e</w:t>
      </w:r>
    </w:p>
    <w:p>
      <w:pPr>
        <w:pStyle w:val="FirstParagraph"/>
      </w:pPr>
      <w:r>
        <w:t xml:space="preserve">The presence of "vhpouxliep" circular/take-back programs further supports the recycling efforts, potentially increasing the actual recyclability and reducing EoL impact.</w:t>
      </w:r>
    </w:p>
    <w:p>
      <w:pPr>
        <w:pStyle w:val="BodyText"/>
      </w:pPr>
      <w:r>
        <w:rPr>
          <w:bCs/>
          <w:b/>
        </w:rPr>
        <w:t xml:space="preserve">Total End-of-Life Emissions: 0.12 kg CO2e</w:t>
      </w:r>
    </w:p>
    <w:bookmarkEnd w:id="39"/>
    <w:bookmarkEnd w:id="40"/>
    <w:bookmarkStart w:id="43" w:name="X8992c51ae65744356149b640574c320fcfac582"/>
    <w:p>
      <w:pPr>
        <w:pStyle w:val="Heading3"/>
      </w:pPr>
      <w:r>
        <w:t xml:space="preserve">4.3 GHG Protocol Scope Categorization and 2026 LSR Update</w:t>
      </w:r>
    </w:p>
    <w:p>
      <w:pPr>
        <w:pStyle w:val="FirstParagraph"/>
      </w:pPr>
      <w:r>
        <w:t xml:space="preserve">As per GHG Protocol, emissions are categorized into Scopes. For a PCF, all emissions are typically related to the product\'s lifecycle, which often means they fall under Scope 3 for the reporting company.</w:t>
      </w:r>
    </w:p>
    <w:p>
      <w:pPr>
        <w:numPr>
          <w:ilvl w:val="0"/>
          <w:numId w:val="1011"/>
        </w:numPr>
        <w:pStyle w:val="Compact"/>
      </w:pPr>
      <w:r>
        <w:rPr>
          <w:bCs/>
          <w:b/>
        </w:rPr>
        <w:t xml:space="preserve">Scope 1 (Direct Emissions):</w:t>
      </w:r>
      <w:r>
        <w:t xml:space="preserve"> </w:t>
      </w:r>
      <w:r>
        <w:t xml:space="preserve">None directly from the product\'s lifecycle in this "factory_gate" boundary for the product itself, as direct combustion or owned facilities for production are not explicitly detailed as part of the *product\'s* footprint beyond purchased energy. (These would be part of the company\'s corporate footprint).</w:t>
      </w:r>
    </w:p>
    <w:p>
      <w:pPr>
        <w:numPr>
          <w:ilvl w:val="0"/>
          <w:numId w:val="1011"/>
        </w:numPr>
        <w:pStyle w:val="Compact"/>
      </w:pPr>
      <w:r>
        <w:rPr>
          <w:bCs/>
          <w:b/>
        </w:rPr>
        <w:t xml:space="preserve">Scope 2 (Indirect Emissions from Purchased Energy):</w:t>
      </w:r>
      <w:r>
        <w:t xml:space="preserve"> </w:t>
      </w:r>
      <w:r>
        <w:t xml:space="preserve">Emissions from purchased electricity for production in China. (e.g., 1.731 kg CO2e from grid electricity).</w:t>
      </w:r>
    </w:p>
    <w:p>
      <w:pPr>
        <w:numPr>
          <w:ilvl w:val="0"/>
          <w:numId w:val="1011"/>
        </w:numPr>
        <w:pStyle w:val="Compact"/>
      </w:pPr>
      <w:r>
        <w:rPr>
          <w:bCs/>
          <w:b/>
        </w:rPr>
        <w:t xml:space="preserve">Scope 3 (Value Chain Emissions):</w:t>
      </w:r>
      <w:r>
        <w:t xml:space="preserve"> </w:t>
      </w:r>
      <w:r>
        <w:t xml:space="preserve">All other indirect emissions across the value chain, both upstream and downstream. This includes:</w:t>
      </w:r>
    </w:p>
    <w:p>
      <w:pPr>
        <w:numPr>
          <w:ilvl w:val="1"/>
          <w:numId w:val="1012"/>
        </w:numPr>
        <w:pStyle w:val="Compact"/>
      </w:pPr>
      <w:r>
        <w:rPr>
          <w:bCs/>
          <w:b/>
        </w:rPr>
        <w:t xml:space="preserve">Category 1 (Purchased goods and services):</w:t>
      </w:r>
      <w:r>
        <w:t xml:space="preserve"> </w:t>
      </w:r>
      <w:r>
        <w:t xml:space="preserve">Material emissions (6.83 kg CO2e).</w:t>
      </w:r>
    </w:p>
    <w:p>
      <w:pPr>
        <w:numPr>
          <w:ilvl w:val="1"/>
          <w:numId w:val="1012"/>
        </w:numPr>
        <w:pStyle w:val="Compact"/>
      </w:pPr>
      <w:r>
        <w:rPr>
          <w:bCs/>
          <w:b/>
        </w:rPr>
        <w:t xml:space="preserve">Category 3 (Fuel- and energy-related activities not included in Scope 1 or Scope 2):</w:t>
      </w:r>
      <w:r>
        <w:t xml:space="preserve"> </w:t>
      </w:r>
      <w:r>
        <w:t xml:space="preserve">Upstream emissions of purchased electricity (e.g. from the generation of grid electricity, not captured in Scope 2 directly).</w:t>
      </w:r>
    </w:p>
    <w:p>
      <w:pPr>
        <w:numPr>
          <w:ilvl w:val="1"/>
          <w:numId w:val="1012"/>
        </w:numPr>
        <w:pStyle w:val="Compact"/>
      </w:pPr>
      <w:r>
        <w:rPr>
          <w:bCs/>
          <w:b/>
        </w:rPr>
        <w:t xml:space="preserve">Category 4 (Upstream transportation and distribution):</w:t>
      </w:r>
      <w:r>
        <w:t xml:space="preserve"> </w:t>
      </w:r>
      <w:r>
        <w:t xml:space="preserve">Inbound logistics of materials (part of 0.092 kg CO2e).</w:t>
      </w:r>
    </w:p>
    <w:p>
      <w:pPr>
        <w:numPr>
          <w:ilvl w:val="1"/>
          <w:numId w:val="1012"/>
        </w:numPr>
        <w:pStyle w:val="Compact"/>
      </w:pPr>
      <w:r>
        <w:rPr>
          <w:bCs/>
          <w:b/>
        </w:rPr>
        <w:t xml:space="preserve">Category 9 (Downstream transportation and distribution):</w:t>
      </w:r>
      <w:r>
        <w:t xml:space="preserve"> </w:t>
      </w:r>
      <w:r>
        <w:t xml:space="preserve">Outbound logistics and last-mile delivery (part of 0.092 kg CO2e + 12.5 kg CO2e).</w:t>
      </w:r>
    </w:p>
    <w:p>
      <w:pPr>
        <w:numPr>
          <w:ilvl w:val="1"/>
          <w:numId w:val="1012"/>
        </w:numPr>
        <w:pStyle w:val="Compact"/>
      </w:pPr>
      <w:r>
        <w:rPr>
          <w:bCs/>
          <w:b/>
        </w:rPr>
        <w:t xml:space="preserve">Category 11 (Use of sold products):</w:t>
      </w:r>
      <w:r>
        <w:t xml:space="preserve"> </w:t>
      </w:r>
      <w:r>
        <w:t xml:space="preserve">Energy consumption during product use (12.5 kg CO2e).</w:t>
      </w:r>
    </w:p>
    <w:p>
      <w:pPr>
        <w:numPr>
          <w:ilvl w:val="1"/>
          <w:numId w:val="1012"/>
        </w:numPr>
        <w:pStyle w:val="Compact"/>
      </w:pPr>
      <w:r>
        <w:rPr>
          <w:bCs/>
          <w:b/>
        </w:rPr>
        <w:t xml:space="preserve">Category 12 (End-of-life treatment of sold products):</w:t>
      </w:r>
      <w:r>
        <w:t xml:space="preserve"> </w:t>
      </w:r>
      <w:r>
        <w:t xml:space="preserve">Disposal and recycling impacts (0.12 kg CO2e).</w:t>
      </w:r>
    </w:p>
    <w:bookmarkStart w:id="41" w:name="lsr-update-application"/>
    <w:p>
      <w:pPr>
        <w:pStyle w:val="Heading4"/>
      </w:pPr>
      <w:r>
        <w:t xml:space="preserve">2026 LSR Update Application:</w:t>
      </w:r>
    </w:p>
    <w:p>
      <w:pPr>
        <w:pStyle w:val="FirstParagraph"/>
      </w:pPr>
      <w:r>
        <w:t xml:space="preserve">The Land Sector and Removals (LSR) Standard, effective January 1, 2027, addresses land management, land use change, and CO2 removals. For zyogzwsdzn, if any raw materials (e.g., specific bio-based plastics, wood-derived components) originate from agricultural or managed land, their associated land-use change emissions or carbon removals would be quantified and reported in accordance with the LSR Standard. Given the current BOM, direct land-use impacts are not explicitly detailed, but this framework ensures future data collection will account for such impacts, especially regarding biogenic products and carbon removals. Companies must trace data to physical flows and monitor over time.</w:t>
      </w:r>
    </w:p>
    <w:bookmarkEnd w:id="41"/>
    <w:bookmarkStart w:id="42" w:name="scope-3-compliance-95-coverage"/>
    <w:p>
      <w:pPr>
        <w:pStyle w:val="Heading4"/>
      </w:pPr>
      <w:r>
        <w:t xml:space="preserve">Scope 3 Compliance (95% Coverage):</w:t>
      </w:r>
    </w:p>
    <w:p>
      <w:pPr>
        <w:pStyle w:val="FirstParagraph"/>
      </w:pPr>
      <w:r>
        <w:t xml:space="preserve">This analysis aims for at least 95% coverage for Scope 3 reporting. By including comprehensive data for materials, manufacturing, transportation, use-phase, and end-of-life, the report captures the vast majority of indirect emissions associated with zyogzwsdzn. Any minor omissions would pertain to insignificant categories or data gaps, which would be transparently identified in a full, in-depth study.</w:t>
      </w:r>
    </w:p>
    <w:bookmarkEnd w:id="42"/>
    <w:bookmarkEnd w:id="43"/>
    <w:bookmarkStart w:id="44" w:name="Xb482986ce98295c47dfea595af43eb4068da8fa"/>
    <w:p>
      <w:pPr>
        <w:pStyle w:val="Heading3"/>
      </w:pPr>
      <w:r>
        <w:t xml:space="preserve">4.4 Summary of Product Carbon Footprint (PCF) for zyogzwsdzn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w:t>
            </w:r>
          </w:p>
        </w:tc>
        <w:tc>
          <w:tcPr/>
          <w:p>
            <w:pPr>
              <w:pStyle w:val="Compact"/>
              <w:jc w:val="left"/>
            </w:pPr>
            <w:r>
              <w:t xml:space="preserve">Scope 3 (Category 1)</w:t>
            </w:r>
          </w:p>
        </w:tc>
        <w:tc>
          <w:tcPr/>
          <w:p>
            <w:pPr>
              <w:pStyle w:val="Compact"/>
              <w:jc w:val="left"/>
            </w:pPr>
            <w:r>
              <w:t xml:space="preserve">6.83</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1.731</w:t>
            </w:r>
          </w:p>
        </w:tc>
      </w:tr>
      <w:tr>
        <w:tc>
          <w:tcPr/>
          <w:p>
            <w:pPr>
              <w:pStyle w:val="Compact"/>
              <w:jc w:val="left"/>
            </w:pPr>
            <w:r>
              <w:t xml:space="preserve">Production (Upstream Energy, e.g., T&amp;D losses)</w:t>
            </w:r>
          </w:p>
        </w:tc>
        <w:tc>
          <w:tcPr/>
          <w:p>
            <w:pPr>
              <w:pStyle w:val="Compact"/>
              <w:jc w:val="left"/>
            </w:pPr>
            <w:r>
              <w:t xml:space="preserve">Scope 3 (Category 3)</w:t>
            </w:r>
          </w:p>
        </w:tc>
        <w:tc>
          <w:tcPr/>
          <w:p>
            <w:pPr>
              <w:pStyle w:val="Compact"/>
              <w:jc w:val="left"/>
            </w:pPr>
            <w:r>
              <w:t xml:space="preserve">0.022</w:t>
            </w:r>
          </w:p>
        </w:tc>
      </w:tr>
      <w:tr>
        <w:tc>
          <w:tcPr/>
          <w:p>
            <w:pPr>
              <w:pStyle w:val="Compact"/>
              <w:jc w:val="left"/>
            </w:pPr>
            <w:r>
              <w:t xml:space="preserve">Transport (Upstream &amp; Downstream)</w:t>
            </w:r>
          </w:p>
        </w:tc>
        <w:tc>
          <w:tcPr/>
          <w:p>
            <w:pPr>
              <w:pStyle w:val="Compact"/>
              <w:jc w:val="left"/>
            </w:pPr>
            <w:r>
              <w:t xml:space="preserve">Scope 3 (Category 4, 9)</w:t>
            </w:r>
          </w:p>
        </w:tc>
        <w:tc>
          <w:tcPr/>
          <w:p>
            <w:pPr>
              <w:pStyle w:val="Compact"/>
              <w:jc w:val="left"/>
            </w:pPr>
            <w:r>
              <w:t xml:space="preserve">12.592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33.295</w:t>
            </w:r>
          </w:p>
        </w:tc>
      </w:tr>
    </w:tbl>
    <w:p>
      <w:r>
        <w:pict>
          <v:rect style="width:0;height:1.5pt" o:hralign="center" o:hrstd="t" o:hr="t"/>
        </w:pict>
      </w:r>
    </w:p>
    <w:bookmarkEnd w:id="44"/>
    <w:bookmarkEnd w:id="45"/>
    <w:bookmarkStart w:id="48" w:name="review-report"/>
    <w:p>
      <w:pPr>
        <w:pStyle w:val="Heading2"/>
      </w:pPr>
      <w:r>
        <w:t xml:space="preserve">5. Review &amp; Report</w:t>
      </w:r>
    </w:p>
    <w:bookmarkStart w:id="46" w:name="hotspots-and-reliability"/>
    <w:p>
      <w:pPr>
        <w:pStyle w:val="Heading3"/>
      </w:pPr>
      <w:r>
        <w:t xml:space="preserve">5.1 Hotspots and Reliability</w:t>
      </w:r>
    </w:p>
    <w:p>
      <w:pPr>
        <w:pStyle w:val="FirstParagraph"/>
      </w:pPr>
      <w:r>
        <w:t xml:space="preserve">Based on the analysis, the primary emission hotspots for zyogzwsdzn are:</w:t>
      </w:r>
    </w:p>
    <w:p>
      <w:pPr>
        <w:numPr>
          <w:ilvl w:val="0"/>
          <w:numId w:val="1013"/>
        </w:numPr>
        <w:pStyle w:val="Compact"/>
      </w:pPr>
      <w:r>
        <w:rPr>
          <w:bCs/>
          <w:b/>
        </w:rPr>
        <w:t xml:space="preserve">Transport (12.592 kg CO2e):</w:t>
      </w:r>
      <w:r>
        <w:t xml:space="preserve"> </w:t>
      </w:r>
      <w:r>
        <w:t xml:space="preserve">Particularly last-mile delivery, indicating that optimizing logistics and choosing lower-emission transport modes (e.g., rail over road for long distances, electric vehicles for last-mile) would yield significant reductions.</w:t>
      </w:r>
    </w:p>
    <w:p>
      <w:pPr>
        <w:numPr>
          <w:ilvl w:val="0"/>
          <w:numId w:val="1013"/>
        </w:numPr>
        <w:pStyle w:val="Compact"/>
      </w:pPr>
      <w:r>
        <w:rPr>
          <w:bCs/>
          <w:b/>
        </w:rPr>
        <w:t xml:space="preserve">Use Phase (12.50 kg CO2e):</w:t>
      </w:r>
      <w:r>
        <w:t xml:space="preserve"> </w:t>
      </w:r>
      <w:r>
        <w:t xml:space="preserve">Driven by energy consumption over the product\'s lifespan. Improving energy efficiency of the product (npifxqxqxj) is crucial.</w:t>
      </w:r>
    </w:p>
    <w:p>
      <w:pPr>
        <w:numPr>
          <w:ilvl w:val="0"/>
          <w:numId w:val="1013"/>
        </w:numPr>
        <w:pStyle w:val="Compact"/>
      </w:pPr>
      <w:r>
        <w:rPr>
          <w:bCs/>
          <w:b/>
        </w:rPr>
        <w:t xml:space="preserve">Materials (6.83 kg CO2e):</w:t>
      </w:r>
      <w:r>
        <w:t xml:space="preserve"> </w:t>
      </w:r>
      <w:r>
        <w:t xml:space="preserve">High impact from primary aluminum and silicon production. Shifting to recycled content (like recycled ABS plastic) or lower-carbon alternative materials offers considerable opportunities for reduction.</w:t>
      </w:r>
    </w:p>
    <w:p>
      <w:pPr>
        <w:pStyle w:val="FirstParagraph"/>
      </w:pPr>
      <w:r>
        <w:t xml:space="preserve">The reliability of this PCF is considered high for the stages where specific data was provided (energy intensity, BOM structure). However, due to the use of illustrative emission factors for certain generic processes (e.g., average transport modes, end-of-life scenarios) and placeholder BOM data, a higher level of precision would require primary data from all supply chain partners and specific Ecoinvent/DEFRA factors for each material and process. The geographic scope (China for production, Europe for supply chain focus) has been considered in the selection of illustrative emission factors where possible.</w:t>
      </w:r>
    </w:p>
    <w:bookmarkEnd w:id="46"/>
    <w:bookmarkStart w:id="47" w:name="recommendations-for-emissions-reduction"/>
    <w:p>
      <w:pPr>
        <w:pStyle w:val="Heading3"/>
      </w:pPr>
      <w:r>
        <w:t xml:space="preserve">5.2 Recommendations for Emissions Reduction</w:t>
      </w:r>
    </w:p>
    <w:p>
      <w:pPr>
        <w:pStyle w:val="FirstParagraph"/>
      </w:pPr>
      <w:r>
        <w:t xml:space="preserve">To reduce the Product Carbon Footprint of zyogzwsdzn, jgpvsqjvkw should focus on:</w:t>
      </w:r>
    </w:p>
    <w:p>
      <w:pPr>
        <w:numPr>
          <w:ilvl w:val="0"/>
          <w:numId w:val="1014"/>
        </w:numPr>
        <w:pStyle w:val="Compact"/>
      </w:pPr>
      <w:r>
        <w:rPr>
          <w:bCs/>
          <w:b/>
        </w:rPr>
        <w:t xml:space="preserve">Supply Chain Optimization:</w:t>
      </w:r>
    </w:p>
    <w:p>
      <w:pPr>
        <w:numPr>
          <w:ilvl w:val="1"/>
          <w:numId w:val="1015"/>
        </w:numPr>
        <w:pStyle w:val="Compact"/>
      </w:pPr>
      <w:r>
        <w:t xml:space="preserve">Engage with suppliers to reduce the carbon intensity of materials, especially for high-impact components like aluminum and silicon.</w:t>
      </w:r>
    </w:p>
    <w:p>
      <w:pPr>
        <w:numPr>
          <w:ilvl w:val="1"/>
          <w:numId w:val="1015"/>
        </w:numPr>
        <w:pStyle w:val="Compact"/>
      </w:pPr>
      <w:r>
        <w:t xml:space="preserve">Increase the proportion of recycled content in materials where feasible and maintain quality.</w:t>
      </w:r>
    </w:p>
    <w:p>
      <w:pPr>
        <w:numPr>
          <w:ilvl w:val="1"/>
          <w:numId w:val="1015"/>
        </w:numPr>
        <w:pStyle w:val="Compact"/>
      </w:pPr>
      <w:r>
        <w:t xml:space="preserve">Optimize transportation routes and modes, prioritizing high-capacity, lower-emission options (e.g., sea freight, rail) for longer distances, and exploring electric or alternative fuel vehicles for last-mile delivery.</w:t>
      </w:r>
    </w:p>
    <w:p>
      <w:pPr>
        <w:numPr>
          <w:ilvl w:val="0"/>
          <w:numId w:val="1014"/>
        </w:numPr>
        <w:pStyle w:val="Compact"/>
      </w:pPr>
      <w:r>
        <w:rPr>
          <w:bCs/>
          <w:b/>
        </w:rPr>
        <w:t xml:space="preserve">Product Design for Energy Efficiency:</w:t>
      </w:r>
    </w:p>
    <w:p>
      <w:pPr>
        <w:numPr>
          <w:ilvl w:val="1"/>
          <w:numId w:val="1016"/>
        </w:numPr>
        <w:pStyle w:val="Compact"/>
      </w:pPr>
      <w:r>
        <w:t xml:space="preserve">Innovate product design to reduce energy consumption during the "Use Phase" (e.g., improved power management, more efficient components).</w:t>
      </w:r>
    </w:p>
    <w:p>
      <w:pPr>
        <w:numPr>
          <w:ilvl w:val="1"/>
          <w:numId w:val="1016"/>
        </w:numPr>
        <w:pStyle w:val="Compact"/>
      </w:pPr>
      <w:r>
        <w:t xml:space="preserve">Extend the product lifespan (urqjsgfeef) through durable design, modularity for repairs, and software updates to reduce the frequency of new purchases.</w:t>
      </w:r>
    </w:p>
    <w:p>
      <w:pPr>
        <w:numPr>
          <w:ilvl w:val="0"/>
          <w:numId w:val="1014"/>
        </w:numPr>
        <w:pStyle w:val="Compact"/>
      </w:pPr>
      <w:r>
        <w:rPr>
          <w:bCs/>
          <w:b/>
        </w:rPr>
        <w:t xml:space="preserve">Renewable Energy Integration:</w:t>
      </w:r>
    </w:p>
    <w:p>
      <w:pPr>
        <w:numPr>
          <w:ilvl w:val="1"/>
          <w:numId w:val="1017"/>
        </w:numPr>
        <w:pStyle w:val="Compact"/>
      </w:pPr>
      <w:r>
        <w:t xml:space="preserve">Further increase the renewable energy usage (nqyndtiqnz%) at the manufacturing facility in China, potentially through on-site generation or purchasing high-quality renewable energy certificates (RECs) or Power Purchase Agreements (PPAs).</w:t>
      </w:r>
    </w:p>
    <w:p>
      <w:pPr>
        <w:numPr>
          <w:ilvl w:val="0"/>
          <w:numId w:val="1014"/>
        </w:numPr>
        <w:pStyle w:val="Compact"/>
      </w:pPr>
      <w:r>
        <w:rPr>
          <w:bCs/>
          <w:b/>
        </w:rPr>
        <w:t xml:space="preserve">Circular Economy Initiatives:</w:t>
      </w:r>
    </w:p>
    <w:p>
      <w:pPr>
        <w:numPr>
          <w:ilvl w:val="1"/>
          <w:numId w:val="1018"/>
        </w:numPr>
        <w:pStyle w:val="Compact"/>
      </w:pPr>
      <w:r>
        <w:t xml:space="preserve">Expand and promote circular/take-back programs (vhpouxliep) to maximize the recyclability percentage (zpynyzvxvo%) and enable closed-loop material flows, further reducing end-of-life impacts.</w:t>
      </w:r>
    </w:p>
    <w:p>
      <w:pPr>
        <w:numPr>
          <w:ilvl w:val="1"/>
          <w:numId w:val="1018"/>
        </w:numPr>
        <w:pStyle w:val="Compact"/>
      </w:pPr>
      <w:r>
        <w:t xml:space="preserve">Explore opportunities for product-as-a-service models or repair services to extend product life and retain material value.</w:t>
      </w:r>
    </w:p>
    <w:p>
      <w:pPr>
        <w:pStyle w:val="FirstParagraph"/>
      </w:pPr>
      <w:r>
        <w:t xml:space="preserve">By systematically addressing these hotspots with a commitment to data accuracy and continuous improvement, jgpvsqjvkw can significantly reduce the environmental impact of zyogzwsdzn and demonstrate strong leadership in sustainability.</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zyogzwsdzn</dc:title>
  <dc:creator/>
  <dc:description>Detailed Product Carbon Footprint (PCF) analysis for zyogzwsdzn, conducted by uiymhpeqhr, Senior Sustainability Consultant at jgpvsqjvkw, adhering to GHG Protocol standards including the 2026 LSR update.</dc:description>
  <dc:language>en</dc:language>
  <cp:keywords/>
  <dcterms:created xsi:type="dcterms:W3CDTF">2026-05-30T18:58:57Z</dcterms:created>
  <dcterms:modified xsi:type="dcterms:W3CDTF">2026-05-30T18:58:57Z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