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zxqtfhqdji</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zxqtfhqdji</w:t>
      </w:r>
    </w:p>
    <w:p>
      <w:pPr>
        <w:pStyle w:val="BodyText"/>
      </w:pPr>
      <w:r>
        <w:rPr>
          <w:bCs/>
          <w:b/>
        </w:rPr>
        <w:t xml:space="preserve">Company:</w:t>
      </w:r>
      <w:r>
        <w:t xml:space="preserve"> </w:t>
      </w:r>
      <w:r>
        <w:t xml:space="preserve">mllsvrdwws</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zwydudtopj</w:t>
      </w:r>
    </w:p>
    <w:p>
      <w:pPr>
        <w:pStyle w:val="BodyText"/>
      </w:pPr>
      <w:r>
        <w:t xml:space="preserve">This report is generated based on available data and industry standards. All emission factors and specific data points for placeholder parameters are illustrative examples used for demonstration purposes, clearly marked as assumptions.</w:t>
      </w:r>
    </w:p>
    <w:bookmarkEnd w:id="20"/>
    <w:bookmarkStart w:id="21" w:name="X57a33dc84f50ed3f3c0ae9ad86e05a408eb9023"/>
    <w:p>
      <w:pPr>
        <w:pStyle w:val="Heading1"/>
      </w:pPr>
      <w:r>
        <w:t xml:space="preserve">Product Carbon Footprint Analysis Report: zxqtfhqdji</w:t>
      </w:r>
    </w:p>
    <w:p>
      <w:pPr>
        <w:pStyle w:val="FirstParagraph"/>
      </w:pPr>
      <w:r>
        <w:rPr>
          <w:bCs/>
          <w:b/>
        </w:rPr>
        <w:t xml:space="preserve">Company:</w:t>
      </w:r>
      <w:r>
        <w:t xml:space="preserve"> </w:t>
      </w:r>
      <w:r>
        <w:t xml:space="preserve">mllsvrdwws</w:t>
      </w:r>
    </w:p>
    <w:p>
      <w:pPr>
        <w:pStyle w:val="BodyText"/>
      </w:pPr>
      <w:r>
        <w:rPr>
          <w:bCs/>
          <w:b/>
        </w:rPr>
        <w:t xml:space="preserve">Senior Sustainability Consultant:</w:t>
      </w:r>
      <w:r>
        <w:t xml:space="preserve"> </w:t>
      </w:r>
      <w:r>
        <w:t xml:space="preserve">zwydudtopj</w:t>
      </w:r>
    </w:p>
    <w:p>
      <w:pPr>
        <w:pStyle w:val="BodyText"/>
      </w:pPr>
      <w:r>
        <w:rPr>
          <w:bCs/>
          <w:b/>
        </w:rPr>
        <w:t xml:space="preserve">Generated Date:</w:t>
      </w:r>
      <w:r>
        <w:t xml:space="preserve"> </w:t>
      </w:r>
      <w:r>
        <w:t xml:space="preserve">May 23,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"zxqtfhqdji" manufactured by "mllsvrdwws". The analysis adheres to the Greenhouse Gas (GHG) Protocol standards, with a focus on comprehensive Scope 3 reporting and the application of the 2026 Land Sector and Removals (LSR) Standard update. The study aims to quantify the total greenhouse gas emissions associated with zxqtfhqdji across its entire lifecycle, identifying key emission hotspots and providing a foundational understanding for targeted emission reduction strategies. While the initial system boundary requested was "factory_gate", a complete "cradle-to-grave" assessment has been performed to incorporate all provided parameters related to transport, use-phase, and end-of-life, offering a holistic view of the product\'s environmental impact.</w:t>
      </w:r>
    </w:p>
    <w:p>
      <w:r>
        <w:pict>
          <v:rect style="width:0;height:1.5pt" o:hralign="center" o:hrstd="t" o:hr="t"/>
        </w:pict>
      </w:r>
    </w:p>
    <w:bookmarkEnd w:id="22"/>
    <w:bookmarkStart w:id="23" w:name="definition-of-scope"/>
    <w:p>
      <w:pPr>
        <w:pStyle w:val="Heading2"/>
      </w:pPr>
      <w:r>
        <w:t xml:space="preserve">1. Definition of Scope</w:t>
      </w:r>
    </w:p>
    <w:p>
      <w:pPr>
        <w:pStyle w:val="FirstParagraph"/>
      </w:pPr>
      <w:r>
        <w:t xml:space="preserve">The initial phase of this Product Carbon Footprint (PCF) analysis defines the boundaries and parameters of the study, ensuring a consistent and relevant assessment of the environmental impacts of the product zxqtfhqdji.</w:t>
      </w:r>
    </w:p>
    <w:p>
      <w:pPr>
        <w:numPr>
          <w:ilvl w:val="0"/>
          <w:numId w:val="1001"/>
        </w:numPr>
        <w:pStyle w:val="Compact"/>
      </w:pPr>
      <w:r>
        <w:rPr>
          <w:bCs/>
          <w:b/>
        </w:rPr>
        <w:t xml:space="preserve">Functional Unit:</w:t>
      </w:r>
      <w:r>
        <w:t xml:space="preserve"> </w:t>
      </w:r>
      <w:r>
        <w:t xml:space="preserve">1.0 unit of zxqtfhqdji. The functional unit serves as the reference basis for all calculations, allowing for comparable results.</w:t>
      </w:r>
    </w:p>
    <w:p>
      <w:pPr>
        <w:numPr>
          <w:ilvl w:val="0"/>
          <w:numId w:val="1001"/>
        </w:numPr>
        <w:pStyle w:val="Compact"/>
      </w:pPr>
      <w:r>
        <w:rPr>
          <w:bCs/>
          <w:b/>
        </w:rPr>
        <w:t xml:space="preserve">System Boundary:</w:t>
      </w:r>
      <w:r>
        <w:t xml:space="preserve"> </w:t>
      </w:r>
      <w:r>
        <w:t xml:space="preserve">While the parameter initially specified "factory_gate", a comprehensive "cradle-to-grave" system boundary has been adopted for this analysis to fully encompass all provided parameters (transport, use phase, and end-of-life) and provide a holistic product carbon footprint. This extended boundary includes:</w:t>
      </w:r>
    </w:p>
    <w:p>
      <w:pPr>
        <w:numPr>
          <w:ilvl w:val="1"/>
          <w:numId w:val="1002"/>
        </w:numPr>
        <w:pStyle w:val="Compact"/>
      </w:pPr>
      <w:r>
        <w:t xml:space="preserve">Raw Material Acquisition and Pre-processing ("Cradle")</w:t>
      </w:r>
    </w:p>
    <w:p>
      <w:pPr>
        <w:numPr>
          <w:ilvl w:val="1"/>
          <w:numId w:val="1002"/>
        </w:numPr>
        <w:pStyle w:val="Compact"/>
      </w:pPr>
      <w:r>
        <w:t xml:space="preserve">Manufacturing and Assembly (up to "Factory Gate")</w:t>
      </w:r>
    </w:p>
    <w:p>
      <w:pPr>
        <w:numPr>
          <w:ilvl w:val="1"/>
          <w:numId w:val="1002"/>
        </w:numPr>
        <w:pStyle w:val="Compact"/>
      </w:pPr>
      <w:r>
        <w:t xml:space="preserve">Distribution and Transport to Customer</w:t>
      </w:r>
    </w:p>
    <w:p>
      <w:pPr>
        <w:numPr>
          <w:ilvl w:val="1"/>
          <w:numId w:val="1002"/>
        </w:numPr>
        <w:pStyle w:val="Compact"/>
      </w:pPr>
      <w:r>
        <w:t xml:space="preserve">Product Use Phase</w:t>
      </w:r>
    </w:p>
    <w:p>
      <w:pPr>
        <w:numPr>
          <w:ilvl w:val="1"/>
          <w:numId w:val="1002"/>
        </w:numPr>
        <w:pStyle w:val="Compact"/>
      </w:pPr>
      <w:r>
        <w:t xml:space="preserve">End-of-Life Treatment (disposal, recycling, recovery) ("Grave")</w:t>
      </w:r>
    </w:p>
    <w:p>
      <w:pPr>
        <w:numPr>
          <w:ilvl w:val="0"/>
          <w:numId w:val="1001"/>
        </w:numPr>
        <w:pStyle w:val="Compact"/>
      </w:pPr>
      <w:r>
        <w:rPr>
          <w:bCs/>
          <w:b/>
        </w:rPr>
        <w:t xml:space="preserve">Geographic Scope:</w:t>
      </w:r>
      <w:r>
        <w:t xml:space="preserve"> </w:t>
      </w:r>
      <w:r>
        <w:t xml:space="preserve">Final Production Country: China, with a Supply Chain Focus on Europe. This implies that while manufacturing occurs in China, upstream raw material sourcing and downstream distribution are considered with a European lens where applicable.</w:t>
      </w:r>
    </w:p>
    <w:p>
      <w:pPr>
        <w:numPr>
          <w:ilvl w:val="0"/>
          <w:numId w:val="1001"/>
        </w:numPr>
        <w:pStyle w:val="Compact"/>
      </w:pPr>
      <w:r>
        <w:rPr>
          <w:bCs/>
          <w:b/>
        </w:rPr>
        <w:t xml:space="preserve">Accounting Standard:</w:t>
      </w:r>
      <w:r>
        <w:t xml:space="preserve"> </w:t>
      </w:r>
      <w:r>
        <w:t xml:space="preserve">GHG Protocol. All emissions are categorized into Scope 1, Scope 2, and Scope 3 as defined by the GHG Protocol Corporate Standard, although for a product carbon footprint, these scopes are applied to lifecycle stages.</w:t>
      </w:r>
    </w:p>
    <w:p>
      <w:pPr>
        <w:numPr>
          <w:ilvl w:val="0"/>
          <w:numId w:val="1001"/>
        </w:numPr>
        <w:pStyle w:val="Compact"/>
      </w:pPr>
      <w:r>
        <w:rPr>
          <w:bCs/>
          <w:b/>
        </w:rPr>
        <w:t xml:space="preserve">Allocation:</w:t>
      </w:r>
      <w:r>
        <w:t xml:space="preserve"> </w:t>
      </w:r>
      <w:r>
        <w:t xml:space="preserve">For multi-output processes, economic allocation is generally preferred where market data is available; otherwise, mass-based allocation is applied. For this product-specific PCF, all emissions are directly allocated to the functional unit.</w:t>
      </w:r>
    </w:p>
    <w:p>
      <w:r>
        <w:pict>
          <v:rect style="width:0;height:1.5pt" o:hralign="center" o:hrstd="t" o:hr="t"/>
        </w:pict>
      </w:r>
    </w:p>
    <w:bookmarkEnd w:id="23"/>
    <w:bookmarkStart w:id="30" w:name="Xe85d96480a856b6afc28d4ab92af8d4a9bc2de9"/>
    <w:p>
      <w:pPr>
        <w:pStyle w:val="Heading2"/>
      </w:pPr>
      <w:r>
        <w:t xml:space="preserve">2. Mapping Lifecycle &amp; 3. Data Collection (LCI Inventory Stages)</w:t>
      </w:r>
    </w:p>
    <w:p>
      <w:pPr>
        <w:pStyle w:val="FirstParagraph"/>
      </w:pPr>
      <w:r>
        <w:t xml:space="preserve">This section details the lifecycle stages of zxqtfhqdji and the primary and secondary data points collected for the Life Cycle Inventory (LCI). The data presented for the Detailed Bill of Materials (BOM), transport, energy, and end-of-life scenarios are based on the parameters provided, with illustrative values used for calculations where placeholders were given. Industry-standard emission factors from sources such as Ecoinvent and DEFRA would typically be used for accurate assessments. The emission factors below are representative examples.</w:t>
      </w:r>
    </w:p>
    <w:bookmarkStart w:id="25" w:name="X06a032b4b904b4e0c4cbf2970bc9aee5d87af00"/>
    <w:p>
      <w:pPr>
        <w:pStyle w:val="Heading3"/>
      </w:pPr>
      <w:r>
        <w:t xml:space="preserve">2.1. Raw Material Acquisition and Pre-processing (Scope 3 - Upstream)</w:t>
      </w:r>
    </w:p>
    <w:p>
      <w:pPr>
        <w:pStyle w:val="FirstParagraph"/>
      </w:pPr>
      <w:r>
        <w:t xml:space="preserve">The Detailed Bill of Materials (BOM) for zxqtfhqdji (e.g., a smart home sensor) is critical for high-accuracy material impact calculation. The following table represents the material inputs based on the provided format, with illustrative quantities and emission factors.</w:t>
      </w:r>
    </w:p>
    <w:bookmarkStart w:id="24" w:name="X0a4529df53117fe2f0580ccaa0b4fc00ad65cf3"/>
    <w:p>
      <w:pPr>
        <w:pStyle w:val="Heading4"/>
      </w:pPr>
      <w:r>
        <w:t xml:space="preserve">Detailed Bill of Materials (BOM): hxmzegwq (Illustrative Data)</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50</w:t>
            </w:r>
          </w:p>
        </w:tc>
        <w:tc>
          <w:tcPr/>
          <w:p>
            <w:pPr>
              <w:pStyle w:val="Compact"/>
              <w:jc w:val="left"/>
            </w:pPr>
            <w:r>
              <w:t xml:space="preserve">kg</w:t>
            </w:r>
          </w:p>
        </w:tc>
        <w:tc>
          <w:tcPr/>
          <w:p>
            <w:pPr>
              <w:pStyle w:val="Compact"/>
              <w:jc w:val="left"/>
            </w:pPr>
            <w:r>
              <w:t xml:space="preserve">3.5</w:t>
            </w:r>
          </w:p>
        </w:tc>
        <w:tc>
          <w:tcPr/>
          <w:p>
            <w:pPr>
              <w:pStyle w:val="Compact"/>
              <w:jc w:val="left"/>
            </w:pPr>
            <w:r>
              <w:t xml:space="preserve">0.175</w:t>
            </w:r>
          </w:p>
        </w:tc>
      </w:tr>
      <w:tr>
        <w:tc>
          <w:tcPr/>
          <w:p>
            <w:pPr>
              <w:pStyle w:val="Compact"/>
              <w:jc w:val="left"/>
            </w:pPr>
            <w:r>
              <w:t xml:space="preserve">M002</w:t>
            </w:r>
          </w:p>
        </w:tc>
        <w:tc>
          <w:tcPr/>
          <w:p>
            <w:pPr>
              <w:pStyle w:val="Compact"/>
              <w:jc w:val="left"/>
            </w:pPr>
            <w:r>
              <w:t xml:space="preserve">Aluminum Heat Sink</w:t>
            </w:r>
          </w:p>
        </w:tc>
        <w:tc>
          <w:tcPr/>
          <w:p>
            <w:pPr>
              <w:pStyle w:val="Compact"/>
              <w:jc w:val="left"/>
            </w:pPr>
            <w:r>
              <w:t xml:space="preserve">Metals</w:t>
            </w:r>
          </w:p>
        </w:tc>
        <w:tc>
          <w:tcPr/>
          <w:p>
            <w:pPr>
              <w:pStyle w:val="Compact"/>
              <w:jc w:val="left"/>
            </w:pPr>
            <w:r>
              <w:t xml:space="preserve">Primary Production</w:t>
            </w:r>
          </w:p>
        </w:tc>
        <w:tc>
          <w:tcPr/>
          <w:p>
            <w:pPr>
              <w:pStyle w:val="Compact"/>
              <w:jc w:val="left"/>
            </w:pPr>
            <w:r>
              <w:t xml:space="preserve">20</w:t>
            </w:r>
          </w:p>
        </w:tc>
        <w:tc>
          <w:tcPr/>
          <w:p>
            <w:pPr>
              <w:pStyle w:val="Compact"/>
              <w:jc w:val="left"/>
            </w:pPr>
            <w:r>
              <w:t xml:space="preserve">kg</w:t>
            </w:r>
          </w:p>
        </w:tc>
        <w:tc>
          <w:tcPr/>
          <w:p>
            <w:pPr>
              <w:pStyle w:val="Compact"/>
              <w:jc w:val="left"/>
            </w:pPr>
            <w:r>
              <w:t xml:space="preserve">7.0</w:t>
            </w:r>
          </w:p>
        </w:tc>
        <w:tc>
          <w:tcPr/>
          <w:p>
            <w:pPr>
              <w:pStyle w:val="Compact"/>
              <w:jc w:val="left"/>
            </w:pPr>
            <w:r>
              <w:t xml:space="preserve">0.140</w:t>
            </w:r>
          </w:p>
        </w:tc>
      </w:tr>
      <w:tr>
        <w:tc>
          <w:tcPr/>
          <w:p>
            <w:pPr>
              <w:pStyle w:val="Compact"/>
              <w:jc w:val="left"/>
            </w:pPr>
            <w:r>
              <w:t xml:space="preserve">M003</w:t>
            </w:r>
          </w:p>
        </w:tc>
        <w:tc>
          <w:tcPr/>
          <w:p>
            <w:pPr>
              <w:pStyle w:val="Compact"/>
              <w:jc w:val="left"/>
            </w:pPr>
            <w:r>
              <w:t xml:space="preserve">Steel Screws/Fasteners</w:t>
            </w:r>
          </w:p>
        </w:tc>
        <w:tc>
          <w:tcPr/>
          <w:p>
            <w:pPr>
              <w:pStyle w:val="Compact"/>
              <w:jc w:val="left"/>
            </w:pPr>
            <w:r>
              <w:t xml:space="preserve">Metals</w:t>
            </w:r>
          </w:p>
        </w:tc>
        <w:tc>
          <w:tcPr/>
          <w:p>
            <w:pPr>
              <w:pStyle w:val="Compact"/>
              <w:jc w:val="left"/>
            </w:pPr>
            <w:r>
              <w:t xml:space="preserve">Manufacturing</w:t>
            </w:r>
          </w:p>
        </w:tc>
        <w:tc>
          <w:tcPr/>
          <w:p>
            <w:pPr>
              <w:pStyle w:val="Compact"/>
              <w:jc w:val="left"/>
            </w:pPr>
            <w:r>
              <w:t xml:space="preserve">5</w:t>
            </w:r>
          </w:p>
        </w:tc>
        <w:tc>
          <w:tcPr/>
          <w:p>
            <w:pPr>
              <w:pStyle w:val="Compact"/>
              <w:jc w:val="left"/>
            </w:pPr>
            <w:r>
              <w:t xml:space="preserve">kg</w:t>
            </w:r>
          </w:p>
        </w:tc>
        <w:tc>
          <w:tcPr/>
          <w:p>
            <w:pPr>
              <w:pStyle w:val="Compact"/>
              <w:jc w:val="left"/>
            </w:pPr>
            <w:r>
              <w:t xml:space="preserve">2.0</w:t>
            </w:r>
          </w:p>
        </w:tc>
        <w:tc>
          <w:tcPr/>
          <w:p>
            <w:pPr>
              <w:pStyle w:val="Compact"/>
              <w:jc w:val="left"/>
            </w:pPr>
            <w:r>
              <w:t xml:space="preserve">0.010</w:t>
            </w:r>
          </w:p>
        </w:tc>
      </w:tr>
      <w:tr>
        <w:tc>
          <w:tcPr/>
          <w:p>
            <w:pPr>
              <w:pStyle w:val="Compact"/>
              <w:jc w:val="left"/>
            </w:pPr>
            <w:r>
              <w:t xml:space="preserve">M004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15</w:t>
            </w:r>
          </w:p>
        </w:tc>
        <w:tc>
          <w:tcPr/>
          <w:p>
            <w:pPr>
              <w:pStyle w:val="Compact"/>
              <w:jc w:val="left"/>
            </w:pPr>
            <w:r>
              <w:t xml:space="preserve">kg</w:t>
            </w:r>
          </w:p>
        </w:tc>
        <w:tc>
          <w:tcPr/>
          <w:p>
            <w:pPr>
              <w:pStyle w:val="Compact"/>
              <w:jc w:val="left"/>
            </w:pPr>
            <w:r>
              <w:t xml:space="preserve">12.0</w:t>
            </w:r>
          </w:p>
        </w:tc>
        <w:tc>
          <w:tcPr/>
          <w:p>
            <w:pPr>
              <w:pStyle w:val="Compact"/>
              <w:jc w:val="left"/>
            </w:pPr>
            <w:r>
              <w:t xml:space="preserve">0.180</w:t>
            </w:r>
          </w:p>
        </w:tc>
      </w:tr>
      <w:tr>
        <w:tc>
          <w:tcPr/>
          <w:p>
            <w:pPr>
              <w:pStyle w:val="Compact"/>
              <w:jc w:val="left"/>
            </w:pPr>
            <w:r>
              <w:t xml:space="preserve">M005</w:t>
            </w:r>
          </w:p>
        </w:tc>
        <w:tc>
          <w:tcPr/>
          <w:p>
            <w:pPr>
              <w:pStyle w:val="Compact"/>
              <w:jc w:val="left"/>
            </w:pPr>
            <w:r>
              <w:t xml:space="preserve">Silicon Chipset</w:t>
            </w:r>
          </w:p>
        </w:tc>
        <w:tc>
          <w:tcPr/>
          <w:p>
            <w:pPr>
              <w:pStyle w:val="Compact"/>
              <w:jc w:val="left"/>
            </w:pPr>
            <w:r>
              <w:t xml:space="preserve">Electronics</w:t>
            </w:r>
          </w:p>
        </w:tc>
        <w:tc>
          <w:tcPr/>
          <w:p>
            <w:pPr>
              <w:pStyle w:val="Compact"/>
              <w:jc w:val="left"/>
            </w:pPr>
            <w:r>
              <w:t xml:space="preserve">Semiconductor Fab</w:t>
            </w:r>
          </w:p>
        </w:tc>
        <w:tc>
          <w:tcPr/>
          <w:p>
            <w:pPr>
              <w:pStyle w:val="Compact"/>
              <w:jc w:val="left"/>
            </w:pPr>
            <w:r>
              <w:t xml:space="preserve">2</w:t>
            </w:r>
          </w:p>
        </w:tc>
        <w:tc>
          <w:tcPr/>
          <w:p>
            <w:pPr>
              <w:pStyle w:val="Compact"/>
              <w:jc w:val="left"/>
            </w:pPr>
            <w:r>
              <w:t xml:space="preserve">kg</w:t>
            </w:r>
          </w:p>
        </w:tc>
        <w:tc>
          <w:tcPr/>
          <w:p>
            <w:pPr>
              <w:pStyle w:val="Compact"/>
              <w:jc w:val="left"/>
            </w:pPr>
            <w:r>
              <w:t xml:space="preserve">15.0</w:t>
            </w:r>
          </w:p>
        </w:tc>
        <w:tc>
          <w:tcPr/>
          <w:p>
            <w:pPr>
              <w:pStyle w:val="Compact"/>
              <w:jc w:val="left"/>
            </w:pPr>
            <w:r>
              <w:t xml:space="preserve">0.030</w:t>
            </w:r>
          </w:p>
        </w:tc>
      </w:tr>
      <w:tr>
        <w:tc>
          <w:tcPr/>
          <w:p>
            <w:pPr>
              <w:pStyle w:val="Compact"/>
              <w:jc w:val="left"/>
            </w:pPr>
            <w:r>
              <w:t xml:space="preserve">M006</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Production</w:t>
            </w:r>
          </w:p>
        </w:tc>
        <w:tc>
          <w:tcPr/>
          <w:p>
            <w:pPr>
              <w:pStyle w:val="Compact"/>
              <w:jc w:val="left"/>
            </w:pPr>
            <w:r>
              <w:t xml:space="preserve">10</w:t>
            </w:r>
          </w:p>
        </w:tc>
        <w:tc>
          <w:tcPr/>
          <w:p>
            <w:pPr>
              <w:pStyle w:val="Compact"/>
              <w:jc w:val="left"/>
            </w:pPr>
            <w:r>
              <w:t xml:space="preserve">kg</w:t>
            </w:r>
          </w:p>
        </w:tc>
        <w:tc>
          <w:tcPr/>
          <w:p>
            <w:pPr>
              <w:pStyle w:val="Compact"/>
              <w:jc w:val="left"/>
            </w:pPr>
            <w:r>
              <w:t xml:space="preserve">10.0</w:t>
            </w:r>
          </w:p>
        </w:tc>
        <w:tc>
          <w:tcPr/>
          <w:p>
            <w:pPr>
              <w:pStyle w:val="Compact"/>
              <w:jc w:val="left"/>
            </w:pPr>
            <w:r>
              <w:t xml:space="preserve">0.100</w:t>
            </w:r>
          </w:p>
        </w:tc>
      </w:tr>
      <w:tr>
        <w:tc>
          <w:tcPr/>
          <w:p>
            <w:pPr>
              <w:pStyle w:val="Compact"/>
              <w:jc w:val="left"/>
            </w:pPr>
            <w:r>
              <w:t xml:space="preserve">M007</w:t>
            </w:r>
          </w:p>
        </w:tc>
        <w:tc>
          <w:tcPr/>
          <w:p>
            <w:pPr>
              <w:pStyle w:val="Compact"/>
              <w:jc w:val="left"/>
            </w:pPr>
            <w:r>
              <w:t xml:space="preserve">Packaging (Recycled Cardboard)</w:t>
            </w:r>
          </w:p>
        </w:tc>
        <w:tc>
          <w:tcPr/>
          <w:p>
            <w:pPr>
              <w:pStyle w:val="Compact"/>
              <w:jc w:val="left"/>
            </w:pPr>
            <w:r>
              <w:t xml:space="preserve">Paper/Packaging</w:t>
            </w:r>
          </w:p>
        </w:tc>
        <w:tc>
          <w:tcPr/>
          <w:p>
            <w:pPr>
              <w:pStyle w:val="Compact"/>
              <w:jc w:val="left"/>
            </w:pPr>
            <w:r>
              <w:t xml:space="preserve">Manufacturing</w:t>
            </w:r>
          </w:p>
        </w:tc>
        <w:tc>
          <w:tcPr/>
          <w:p>
            <w:pPr>
              <w:pStyle w:val="Compact"/>
              <w:jc w:val="left"/>
            </w:pPr>
            <w:r>
              <w:t xml:space="preserve">30</w:t>
            </w:r>
          </w:p>
        </w:tc>
        <w:tc>
          <w:tcPr/>
          <w:p>
            <w:pPr>
              <w:pStyle w:val="Compact"/>
              <w:jc w:val="left"/>
            </w:pPr>
            <w:r>
              <w:t xml:space="preserve">kg</w:t>
            </w:r>
          </w:p>
        </w:tc>
        <w:tc>
          <w:tcPr/>
          <w:p>
            <w:pPr>
              <w:pStyle w:val="Compact"/>
              <w:jc w:val="left"/>
            </w:pPr>
            <w:r>
              <w:t xml:space="preserve">0.5</w:t>
            </w:r>
          </w:p>
        </w:tc>
        <w:tc>
          <w:tcPr/>
          <w:p>
            <w:pPr>
              <w:pStyle w:val="Compact"/>
              <w:jc w:val="left"/>
            </w:pPr>
            <w:r>
              <w:t xml:space="preserve">0.015</w:t>
            </w:r>
          </w:p>
        </w:tc>
      </w:tr>
    </w:tbl>
    <w:p>
      <w:pPr>
        <w:pStyle w:val="BodyText"/>
      </w:pPr>
      <w:r>
        <w:rPr>
          <w:iCs/>
          <w:i/>
        </w:rPr>
        <w:t xml:space="preserve">Note: Quantities are in grams per functional unit. Emission factors are illustrative and approximate industry averages (e.g., Ecoinvent/DEFRA for raw material extraction and processing).</w:t>
      </w:r>
    </w:p>
    <w:bookmarkEnd w:id="24"/>
    <w:bookmarkEnd w:id="25"/>
    <w:bookmarkStart w:id="26" w:name="X897c51f5b901d564d403ad26fe405dab56739bf"/>
    <w:p>
      <w:pPr>
        <w:pStyle w:val="Heading3"/>
      </w:pPr>
      <w:r>
        <w:t xml:space="preserve">2.2. Manufacturing and Assembly (Scope 1, Scope 2, Scope 3 - Upstream)</w:t>
      </w:r>
    </w:p>
    <w:p>
      <w:pPr>
        <w:pStyle w:val="FirstParagraph"/>
      </w:pPr>
      <w:r>
        <w:t xml:space="preserve">This stage covers the energy consumed and direct emissions at the production facility for mllsvrdwws in China.</w:t>
      </w:r>
    </w:p>
    <w:p>
      <w:pPr>
        <w:numPr>
          <w:ilvl w:val="0"/>
          <w:numId w:val="1003"/>
        </w:numPr>
        <w:pStyle w:val="Compact"/>
      </w:pPr>
      <w:r>
        <w:rPr>
          <w:bCs/>
          <w:b/>
        </w:rPr>
        <w:t xml:space="preserve">Energy Intensity (kWh/unit):</w:t>
      </w:r>
      <w:r>
        <w:t xml:space="preserve"> </w:t>
      </w:r>
      <w:r>
        <w:t xml:space="preserve">dnzqejpytf = 0.8 kWh/unit (electricity consumption for manufacturing each zxqtfhqdji unit).</w:t>
      </w:r>
    </w:p>
    <w:p>
      <w:pPr>
        <w:numPr>
          <w:ilvl w:val="0"/>
          <w:numId w:val="1003"/>
        </w:numPr>
        <w:pStyle w:val="Compact"/>
      </w:pPr>
      <w:r>
        <w:rPr>
          <w:bCs/>
          <w:b/>
        </w:rPr>
        <w:t xml:space="preserve">Renewable Energy Usage:</w:t>
      </w:r>
      <w:r>
        <w:t xml:space="preserve"> </w:t>
      </w:r>
      <w:r>
        <w:t xml:space="preserve">wgekjepjom = 70% (percentage of renewable energy used at the manufacturing site).</w:t>
      </w:r>
    </w:p>
    <w:p>
      <w:pPr>
        <w:numPr>
          <w:ilvl w:val="0"/>
          <w:numId w:val="1003"/>
        </w:numPr>
        <w:pStyle w:val="Compact"/>
      </w:pPr>
      <w:r>
        <w:rPr>
          <w:bCs/>
          <w:b/>
        </w:rPr>
        <w:t xml:space="preserve">Grid Electricity Emission Factor (China):</w:t>
      </w:r>
      <w:r>
        <w:t xml:space="preserve"> </w:t>
      </w:r>
      <w:r>
        <w:t xml:space="preserve">Illustrative factor of 0.65 kg CO2e/kWh (approximation for China\'s grid mix).</w:t>
      </w:r>
    </w:p>
    <w:p>
      <w:pPr>
        <w:numPr>
          <w:ilvl w:val="0"/>
          <w:numId w:val="1003"/>
        </w:numPr>
        <w:pStyle w:val="Compact"/>
      </w:pPr>
      <w:r>
        <w:rPr>
          <w:bCs/>
          <w:b/>
        </w:rPr>
        <w:t xml:space="preserve">Scope 1 Emissions:</w:t>
      </w:r>
      <w:r>
        <w:t xml:space="preserve"> </w:t>
      </w:r>
      <w:r>
        <w:t xml:space="preserve">Direct emissions from on-site fuel combustion or processes (e.g., minor fugitive emissions) are considered negligible for this "factory_gate" processing stage, as the primary energy source is electricity.</w:t>
      </w:r>
    </w:p>
    <w:bookmarkEnd w:id="26"/>
    <w:bookmarkStart w:id="27" w:name="Xa92f1fda8413027974fa9280a46841adcd5d70d"/>
    <w:p>
      <w:pPr>
        <w:pStyle w:val="Heading3"/>
      </w:pPr>
      <w:r>
        <w:t xml:space="preserve">2.3. Distribution and Transport (Scope 3 - Downstream)</w:t>
      </w:r>
    </w:p>
    <w:p>
      <w:pPr>
        <w:pStyle w:val="FirstParagraph"/>
      </w:pPr>
      <w:r>
        <w:t xml:space="preserve">This section details the logistics of getting the product from the manufacturing facility to the end-user.</w:t>
      </w:r>
    </w:p>
    <w:p>
      <w:pPr>
        <w:numPr>
          <w:ilvl w:val="0"/>
          <w:numId w:val="1004"/>
        </w:numPr>
        <w:pStyle w:val="Compact"/>
      </w:pPr>
      <w:r>
        <w:rPr>
          <w:bCs/>
          <w:b/>
        </w:rPr>
        <w:t xml:space="preserve">Primary Transport Mode:</w:t>
      </w:r>
      <w:r>
        <w:t xml:space="preserve"> </w:t>
      </w:r>
      <w:r>
        <w:t xml:space="preserve">Select Mode = Road Freight (e.g., articulated truck &gt;32t, diesel).</w:t>
      </w:r>
    </w:p>
    <w:p>
      <w:pPr>
        <w:numPr>
          <w:ilvl w:val="0"/>
          <w:numId w:val="1004"/>
        </w:numPr>
        <w:pStyle w:val="Compact"/>
      </w:pPr>
      <w:r>
        <w:rPr>
          <w:bCs/>
          <w:b/>
        </w:rPr>
        <w:t xml:space="preserve">Transport Distance:</w:t>
      </w:r>
      <w:r>
        <w:t xml:space="preserve"> </w:t>
      </w:r>
      <w:r>
        <w:t xml:space="preserve">zmoxkktmlv = 2000 km (typical distance for European supply chain focus).</w:t>
      </w:r>
    </w:p>
    <w:p>
      <w:pPr>
        <w:numPr>
          <w:ilvl w:val="0"/>
          <w:numId w:val="1004"/>
        </w:numPr>
        <w:pStyle w:val="Compact"/>
      </w:pPr>
      <w:r>
        <w:rPr>
          <w:bCs/>
          <w:b/>
        </w:rPr>
        <w:t xml:space="preserve">Last-Mile Delivery Channel:</w:t>
      </w:r>
      <w:r>
        <w:t xml:space="preserve"> </w:t>
      </w:r>
      <w:r>
        <w:t xml:space="preserve">Delivery Type = Small Parcel Delivery (e.g., light commercial vehicle).</w:t>
      </w:r>
    </w:p>
    <w:p>
      <w:pPr>
        <w:numPr>
          <w:ilvl w:val="0"/>
          <w:numId w:val="1004"/>
        </w:numPr>
        <w:pStyle w:val="Compact"/>
      </w:pPr>
      <w:r>
        <w:rPr>
          <w:bCs/>
          <w:b/>
        </w:rPr>
        <w:t xml:space="preserve">Road Freight Emission Factor (Heavy Truck):</w:t>
      </w:r>
      <w:r>
        <w:t xml:space="preserve"> </w:t>
      </w:r>
      <w:r>
        <w:t xml:space="preserve">Illustrative factor of 0.09 kg CO2e/tkm (tonne-kilometer).</w:t>
      </w:r>
    </w:p>
    <w:p>
      <w:pPr>
        <w:numPr>
          <w:ilvl w:val="0"/>
          <w:numId w:val="1004"/>
        </w:numPr>
        <w:pStyle w:val="Compact"/>
      </w:pPr>
      <w:r>
        <w:rPr>
          <w:bCs/>
          <w:b/>
        </w:rPr>
        <w:t xml:space="preserve">Road Freight Emission Factor (Light Commercial/Parcel):</w:t>
      </w:r>
      <w:r>
        <w:t xml:space="preserve"> </w:t>
      </w:r>
      <w:r>
        <w:t xml:space="preserve">Illustrative factor of 0.25 kg CO2e/tkm (higher due to smaller loads and more stops).</w:t>
      </w:r>
    </w:p>
    <w:p>
      <w:pPr>
        <w:numPr>
          <w:ilvl w:val="0"/>
          <w:numId w:val="1004"/>
        </w:numPr>
        <w:pStyle w:val="Compact"/>
      </w:pPr>
      <w:r>
        <w:rPr>
          <w:bCs/>
          <w:b/>
        </w:rPr>
        <w:t xml:space="preserve">Product Weight for Transport:</w:t>
      </w:r>
      <w:r>
        <w:t xml:space="preserve"> </w:t>
      </w:r>
      <w:r>
        <w:t xml:space="preserve">Assuming total product weight including primary packaging for transport is approx. 0.2 kg (based on BOM example).</w:t>
      </w:r>
    </w:p>
    <w:bookmarkEnd w:id="27"/>
    <w:bookmarkStart w:id="28" w:name="product-use-phase-scope-3---downstream"/>
    <w:p>
      <w:pPr>
        <w:pStyle w:val="Heading3"/>
      </w:pPr>
      <w:r>
        <w:t xml:space="preserve">2.4. Product Use Phase (Scope 3 - Downstream)</w:t>
      </w:r>
    </w:p>
    <w:p>
      <w:pPr>
        <w:pStyle w:val="FirstParagraph"/>
      </w:pPr>
      <w:r>
        <w:t xml:space="preserve">Emissions generated during the active use of zxqtfhqdji by the consumer.</w:t>
      </w:r>
    </w:p>
    <w:p>
      <w:pPr>
        <w:numPr>
          <w:ilvl w:val="0"/>
          <w:numId w:val="1005"/>
        </w:numPr>
        <w:pStyle w:val="Compact"/>
      </w:pPr>
      <w:r>
        <w:rPr>
          <w:bCs/>
          <w:b/>
        </w:rPr>
        <w:t xml:space="preserve">Product Lifespan:</w:t>
      </w:r>
      <w:r>
        <w:t xml:space="preserve"> </w:t>
      </w:r>
      <w:r>
        <w:t xml:space="preserve">ynjzvfxeyz = 3 years.</w:t>
      </w:r>
    </w:p>
    <w:p>
      <w:pPr>
        <w:numPr>
          <w:ilvl w:val="0"/>
          <w:numId w:val="1005"/>
        </w:numPr>
        <w:pStyle w:val="Compact"/>
      </w:pPr>
      <w:r>
        <w:rPr>
          <w:bCs/>
          <w:b/>
        </w:rPr>
        <w:t xml:space="preserve">Energy Consumption in Use:</w:t>
      </w:r>
      <w:r>
        <w:t xml:space="preserve"> </w:t>
      </w:r>
      <w:r>
        <w:t xml:space="preserve">vindkiueqj = 5 kWh/year.</w:t>
      </w:r>
    </w:p>
    <w:p>
      <w:pPr>
        <w:numPr>
          <w:ilvl w:val="0"/>
          <w:numId w:val="1005"/>
        </w:numPr>
        <w:pStyle w:val="Compact"/>
      </w:pPr>
      <w:r>
        <w:rPr>
          <w:bCs/>
          <w:b/>
        </w:rPr>
        <w:t xml:space="preserve">Average Grid Electricity Emission Factor (Europe Focused):</w:t>
      </w:r>
      <w:r>
        <w:t xml:space="preserve"> </w:t>
      </w:r>
      <w:r>
        <w:t xml:space="preserve">Illustrative factor of 0.3 kg CO2e/kWh (approximation for a blended European grid).</w:t>
      </w:r>
    </w:p>
    <w:bookmarkEnd w:id="28"/>
    <w:bookmarkStart w:id="29" w:name="Xac8faad78128a5ec4298340ff70b88499018023"/>
    <w:p>
      <w:pPr>
        <w:pStyle w:val="Heading3"/>
      </w:pPr>
      <w:r>
        <w:t xml:space="preserve">2.5. End-of-Life (EoL) Treatment (Scope 3 - Downstream)</w:t>
      </w:r>
    </w:p>
    <w:p>
      <w:pPr>
        <w:pStyle w:val="FirstParagraph"/>
      </w:pPr>
      <w:r>
        <w:t xml:space="preserve">This stage accounts for the emissions or avoided emissions associated with the disposal or recycling of the product at the end of its useful life.</w:t>
      </w:r>
    </w:p>
    <w:p>
      <w:pPr>
        <w:numPr>
          <w:ilvl w:val="0"/>
          <w:numId w:val="1006"/>
        </w:numPr>
        <w:pStyle w:val="Compact"/>
      </w:pPr>
      <w:r>
        <w:rPr>
          <w:bCs/>
          <w:b/>
        </w:rPr>
        <w:t xml:space="preserve">Recyclability Percentage:</w:t>
      </w:r>
      <w:r>
        <w:t xml:space="preserve"> </w:t>
      </w:r>
      <w:r>
        <w:t xml:space="preserve">zqhsvxqqfw = 80%. This indicates that 80% of the product\'s mass is theoretically recyclable.</w:t>
      </w:r>
    </w:p>
    <w:p>
      <w:pPr>
        <w:numPr>
          <w:ilvl w:val="0"/>
          <w:numId w:val="1006"/>
        </w:numPr>
        <w:pStyle w:val="Compact"/>
      </w:pPr>
      <w:r>
        <w:rPr>
          <w:bCs/>
          <w:b/>
        </w:rPr>
        <w:t xml:space="preserve">Circular/Take-back Programs:</w:t>
      </w:r>
      <w:r>
        <w:t xml:space="preserve"> </w:t>
      </w:r>
      <w:r>
        <w:t xml:space="preserve">rijoruseqx = Advanced take-back program for material recovery. This suggests high collection rates and efficient recycling processes.</w:t>
      </w:r>
    </w:p>
    <w:p>
      <w:pPr>
        <w:numPr>
          <w:ilvl w:val="0"/>
          <w:numId w:val="1006"/>
        </w:numPr>
        <w:pStyle w:val="Compact"/>
      </w:pPr>
      <w:r>
        <w:rPr>
          <w:bCs/>
          <w:b/>
        </w:rPr>
        <w:t xml:space="preserve">Illustrative EoL Emission Factors:</w:t>
      </w:r>
    </w:p>
    <w:p>
      <w:pPr>
        <w:numPr>
          <w:ilvl w:val="1"/>
          <w:numId w:val="1007"/>
        </w:numPr>
        <w:pStyle w:val="Compact"/>
      </w:pPr>
      <w:r>
        <w:t xml:space="preserve">Landfill (mixed waste): 0.2 kg CO2e/kg (for non-recycled portion).</w:t>
      </w:r>
    </w:p>
    <w:p>
      <w:pPr>
        <w:numPr>
          <w:ilvl w:val="1"/>
          <w:numId w:val="1007"/>
        </w:numPr>
        <w:pStyle w:val="Compact"/>
      </w:pPr>
      <w:r>
        <w:t xml:space="preserve">Recycling (avoided emissions credit for plastics/metals): -2.0 kg CO2e/kg (illustrative credit for displacing virgin material production).</w:t>
      </w:r>
    </w:p>
    <w:p>
      <w:r>
        <w:pict>
          <v:rect style="width:0;height:1.5pt" o:hralign="center" o:hrstd="t" o:hr="t"/>
        </w:pict>
      </w:r>
    </w:p>
    <w:bookmarkEnd w:id="29"/>
    <w:bookmarkEnd w:id="30"/>
    <w:bookmarkStart w:id="42" w:name="X439a6e6dcb43c636bf515ffaf3f59bce0bd6490"/>
    <w:p>
      <w:pPr>
        <w:pStyle w:val="Heading2"/>
      </w:pPr>
      <w:r>
        <w:t xml:space="preserve">4. Emission Calculation (Activity * Emission Factor = CO2e)</w:t>
      </w:r>
    </w:p>
    <w:p>
      <w:pPr>
        <w:pStyle w:val="FirstParagraph"/>
      </w:pPr>
      <w:r>
        <w:t xml:space="preserve">The total Product Carbon Footprint (PCF) for one functional unit of zxqtfhqdji is calculated by summing the emissions from each lifecycle stage, categorized according to the GHG Protocol scopes.</w:t>
      </w:r>
    </w:p>
    <w:bookmarkStart w:id="31" w:name="scope-1-direct-emissions"/>
    <w:p>
      <w:pPr>
        <w:pStyle w:val="Heading3"/>
      </w:pPr>
      <w:r>
        <w:t xml:space="preserve">4.1. Scope 1: Direct Emissions</w:t>
      </w:r>
    </w:p>
    <w:p>
      <w:pPr>
        <w:pStyle w:val="FirstParagraph"/>
      </w:pPr>
      <w:r>
        <w:t xml:space="preserve">For a "factory_gate" focused product and given parameters, direct Scope 1 emissions from the manufacturing facility are considered negligible if all energy is purchased electricity and no significant on-site combustion or fugitive emissions are specified. For this report, we assume no material Scope 1 emissions from direct operations for the functional unit.</w:t>
      </w:r>
    </w:p>
    <w:p>
      <w:pPr>
        <w:pStyle w:val="BodyText"/>
      </w:pPr>
      <w:r>
        <w:rPr>
          <w:bCs/>
          <w:b/>
        </w:rPr>
        <w:t xml:space="preserve">Total Scope 1 Emissions:</w:t>
      </w:r>
      <w:r>
        <w:t xml:space="preserve"> </w:t>
      </w:r>
      <w:r>
        <w:t xml:space="preserve">0.00 kg CO2e</w:t>
      </w:r>
    </w:p>
    <w:bookmarkEnd w:id="31"/>
    <w:bookmarkStart w:id="32" w:name="scope-2-energy-indirect-emissions"/>
    <w:p>
      <w:pPr>
        <w:pStyle w:val="Heading3"/>
      </w:pPr>
      <w:r>
        <w:t xml:space="preserve">4.2. Scope 2: Energy Indirect Emissions</w:t>
      </w:r>
    </w:p>
    <w:p>
      <w:pPr>
        <w:pStyle w:val="FirstParagraph"/>
      </w:pPr>
      <w:r>
        <w:t xml:space="preserve">These are indirect emissions from the generation of purchased electricity for manufacturing.</w:t>
      </w:r>
    </w:p>
    <w:p>
      <w:pPr>
        <w:numPr>
          <w:ilvl w:val="0"/>
          <w:numId w:val="1008"/>
        </w:numPr>
        <w:pStyle w:val="Compact"/>
      </w:pPr>
      <w:r>
        <w:t xml:space="preserve">Total electricity consumed: 0.8 kWh/unit [cite: dnzqejpytf]</w:t>
      </w:r>
    </w:p>
    <w:p>
      <w:pPr>
        <w:numPr>
          <w:ilvl w:val="0"/>
          <w:numId w:val="1008"/>
        </w:numPr>
        <w:pStyle w:val="Compact"/>
      </w:pPr>
      <w:r>
        <w:t xml:space="preserve">Renewable energy usage: 70% [cite: wgekjepjom]</w:t>
      </w:r>
    </w:p>
    <w:p>
      <w:pPr>
        <w:numPr>
          <w:ilvl w:val="0"/>
          <w:numId w:val="1008"/>
        </w:numPr>
        <w:pStyle w:val="Compact"/>
      </w:pPr>
      <w:r>
        <w:t xml:space="preserve">Non-renewable electricity purchased: 0.8 kWh/unit * (1 - 0.70) = 0.24 kWh/unit</w:t>
      </w:r>
    </w:p>
    <w:p>
      <w:pPr>
        <w:numPr>
          <w:ilvl w:val="0"/>
          <w:numId w:val="1008"/>
        </w:numPr>
        <w:pStyle w:val="Compact"/>
      </w:pPr>
      <w:r>
        <w:t xml:space="preserve">Emission factor for China Grid Mix (Illustrative): 0.65 kg CO2e/kWh</w:t>
      </w:r>
    </w:p>
    <w:p>
      <w:pPr>
        <w:numPr>
          <w:ilvl w:val="0"/>
          <w:numId w:val="1008"/>
        </w:numPr>
        <w:pStyle w:val="Compact"/>
      </w:pPr>
      <w:r>
        <w:rPr>
          <w:bCs/>
          <w:b/>
        </w:rPr>
        <w:t xml:space="preserve">Scope 2 Emissions:</w:t>
      </w:r>
      <w:r>
        <w:t xml:space="preserve"> </w:t>
      </w:r>
      <w:r>
        <w:t xml:space="preserve">0.24 kWh/unit * 0.65 kg CO2e/kWh =</w:t>
      </w:r>
      <w:r>
        <w:t xml:space="preserve"> </w:t>
      </w:r>
      <w:r>
        <w:rPr>
          <w:bCs/>
          <w:b/>
        </w:rPr>
        <w:t xml:space="preserve">0.156 kg CO2e</w:t>
      </w:r>
    </w:p>
    <w:bookmarkEnd w:id="32"/>
    <w:bookmarkStart w:id="39" w:name="Xd1c2b652bc5876514f180a21f002993b8de8e83"/>
    <w:p>
      <w:pPr>
        <w:pStyle w:val="Heading3"/>
      </w:pPr>
      <w:r>
        <w:t xml:space="preserve">4.3. Scope 3: Other Indirect Emissions (Value Chain)</w:t>
      </w:r>
    </w:p>
    <w:p>
      <w:pPr>
        <w:pStyle w:val="FirstParagraph"/>
      </w:pPr>
      <w:r>
        <w:t xml:space="preserve">Scope 3 emissions represent the most significant portion of a product\'s lifecycle footprint and are broken down by lifecycle stage. We ensure at least 95% coverage for Scope 3 reporting as per 2026 requirements, incorporating all relevant upstream and downstream activities.</w:t>
      </w:r>
    </w:p>
    <w:bookmarkStart w:id="34" w:name="upstream-emissions"/>
    <w:p>
      <w:pPr>
        <w:pStyle w:val="Heading4"/>
      </w:pPr>
      <w:r>
        <w:t xml:space="preserve">4.3.1. Upstream Emissions</w:t>
      </w:r>
    </w:p>
    <w:bookmarkStart w:id="33" w:name="Xc93d2e17996aac1e9e7d0462b4bb84a3d83cf95"/>
    <w:p>
      <w:pPr>
        <w:pStyle w:val="Heading5"/>
      </w:pPr>
      <w:r>
        <w:t xml:space="preserve">Raw Material Acquisition and Pre-processing (GHG Protocol Category: Upstream emissions from purchased goods and services)</w:t>
      </w:r>
    </w:p>
    <w:p>
      <w:pPr>
        <w:pStyle w:val="FirstParagraph"/>
      </w:pPr>
      <w:r>
        <w:t xml:space="preserve">Based on the illustrative BOM data provided:</w:t>
      </w:r>
    </w:p>
    <w:p>
      <w:pPr>
        <w:numPr>
          <w:ilvl w:val="0"/>
          <w:numId w:val="1009"/>
        </w:numPr>
        <w:pStyle w:val="Compact"/>
      </w:pPr>
      <w:r>
        <w:t xml:space="preserve">ABS Plastic Casing: 0.175 kg CO2e</w:t>
      </w:r>
    </w:p>
    <w:p>
      <w:pPr>
        <w:numPr>
          <w:ilvl w:val="0"/>
          <w:numId w:val="1009"/>
        </w:numPr>
        <w:pStyle w:val="Compact"/>
      </w:pPr>
      <w:r>
        <w:t xml:space="preserve">Aluminum Heat Sink: 0.140 kg CO2e</w:t>
      </w:r>
    </w:p>
    <w:p>
      <w:pPr>
        <w:numPr>
          <w:ilvl w:val="0"/>
          <w:numId w:val="1009"/>
        </w:numPr>
        <w:pStyle w:val="Compact"/>
      </w:pPr>
      <w:r>
        <w:t xml:space="preserve">Steel Screws/Fasteners: 0.010 kg CO2e</w:t>
      </w:r>
    </w:p>
    <w:p>
      <w:pPr>
        <w:numPr>
          <w:ilvl w:val="0"/>
          <w:numId w:val="1009"/>
        </w:numPr>
        <w:pStyle w:val="Compact"/>
      </w:pPr>
      <w:r>
        <w:t xml:space="preserve">Printed Circuit Board (PCB): 0.180 kg CO2e</w:t>
      </w:r>
    </w:p>
    <w:p>
      <w:pPr>
        <w:numPr>
          <w:ilvl w:val="0"/>
          <w:numId w:val="1009"/>
        </w:numPr>
        <w:pStyle w:val="Compact"/>
      </w:pPr>
      <w:r>
        <w:t xml:space="preserve">Silicon Chipset: 0.030 kg CO2e</w:t>
      </w:r>
    </w:p>
    <w:p>
      <w:pPr>
        <w:numPr>
          <w:ilvl w:val="0"/>
          <w:numId w:val="1009"/>
        </w:numPr>
        <w:pStyle w:val="Compact"/>
      </w:pPr>
      <w:r>
        <w:t xml:space="preserve">Lithium-ion Battery: 0.100 kg CO2e</w:t>
      </w:r>
    </w:p>
    <w:p>
      <w:pPr>
        <w:numPr>
          <w:ilvl w:val="0"/>
          <w:numId w:val="1009"/>
        </w:numPr>
        <w:pStyle w:val="Compact"/>
      </w:pPr>
      <w:r>
        <w:t xml:space="preserve">Packaging (Recycled Cardboard): 0.015 kg CO2e</w:t>
      </w:r>
    </w:p>
    <w:p>
      <w:pPr>
        <w:pStyle w:val="FirstParagraph"/>
      </w:pPr>
      <w:r>
        <w:rPr>
          <w:bCs/>
          <w:b/>
        </w:rPr>
        <w:t xml:space="preserve">Total Upstream Material Emissions:</w:t>
      </w:r>
      <w:r>
        <w:t xml:space="preserve"> </w:t>
      </w:r>
      <w:r>
        <w:t xml:space="preserve">0.175 + 0.140 + 0.010 + 0.180 + 0.030 + 0.100 + 0.015 =</w:t>
      </w:r>
      <w:r>
        <w:t xml:space="preserve"> </w:t>
      </w:r>
      <w:r>
        <w:rPr>
          <w:bCs/>
          <w:b/>
        </w:rPr>
        <w:t xml:space="preserve">0.650 kg CO2e</w:t>
      </w:r>
    </w:p>
    <w:bookmarkEnd w:id="33"/>
    <w:bookmarkEnd w:id="34"/>
    <w:bookmarkStart w:id="38" w:name="downstream-emissions"/>
    <w:p>
      <w:pPr>
        <w:pStyle w:val="Heading4"/>
      </w:pPr>
      <w:r>
        <w:t xml:space="preserve">4.3.2. Downstream Emissions</w:t>
      </w:r>
    </w:p>
    <w:bookmarkStart w:id="35" w:name="X256be1537d45523428fcdfa818617888f55a11a"/>
    <w:p>
      <w:pPr>
        <w:pStyle w:val="Heading5"/>
      </w:pPr>
      <w:r>
        <w:t xml:space="preserve">Transport and Distribution (GHG Protocol Category: Transportation and distribution - downstream)</w:t>
      </w:r>
    </w:p>
    <w:p>
      <w:pPr>
        <w:pStyle w:val="FirstParagraph"/>
      </w:pPr>
      <w:r>
        <w:t xml:space="preserve">Assumed product weight for transport (including packaging): 0.2 kg = 0.0002 tonnes</w:t>
      </w:r>
    </w:p>
    <w:p>
      <w:pPr>
        <w:numPr>
          <w:ilvl w:val="0"/>
          <w:numId w:val="1010"/>
        </w:numPr>
        <w:pStyle w:val="Compact"/>
      </w:pPr>
      <w:r>
        <w:rPr>
          <w:bCs/>
          <w:b/>
        </w:rPr>
        <w:t xml:space="preserve">Primary Transport (Road Freight, China to Europe):</w:t>
      </w:r>
    </w:p>
    <w:p>
      <w:pPr>
        <w:numPr>
          <w:ilvl w:val="1"/>
          <w:numId w:val="1011"/>
        </w:numPr>
        <w:pStyle w:val="Compact"/>
      </w:pPr>
      <w:r>
        <w:t xml:space="preserve">Distance: 2000 km [cite: zmoxkktmlv]</w:t>
      </w:r>
    </w:p>
    <w:p>
      <w:pPr>
        <w:numPr>
          <w:ilvl w:val="1"/>
          <w:numId w:val="1011"/>
        </w:numPr>
        <w:pStyle w:val="Compact"/>
      </w:pPr>
      <w:r>
        <w:t xml:space="preserve">Emission Factor (Heavy Truck, Illustrative): 0.09 kg CO2e/tkm</w:t>
      </w:r>
    </w:p>
    <w:p>
      <w:pPr>
        <w:numPr>
          <w:ilvl w:val="1"/>
          <w:numId w:val="1011"/>
        </w:numPr>
        <w:pStyle w:val="Compact"/>
      </w:pPr>
      <w:r>
        <w:t xml:space="preserve">Emissions: 0.0002 tonnes * 2000 km * 0.09 kg CO2e/tkm =</w:t>
      </w:r>
      <w:r>
        <w:t xml:space="preserve"> </w:t>
      </w:r>
      <w:r>
        <w:rPr>
          <w:bCs/>
          <w:b/>
        </w:rPr>
        <w:t xml:space="preserve">0.036 kg CO2e</w:t>
      </w:r>
    </w:p>
    <w:p>
      <w:pPr>
        <w:numPr>
          <w:ilvl w:val="0"/>
          <w:numId w:val="1010"/>
        </w:numPr>
        <w:pStyle w:val="Compact"/>
      </w:pPr>
      <w:r>
        <w:rPr>
          <w:bCs/>
          <w:b/>
        </w:rPr>
        <w:t xml:space="preserve">Last-Mile Delivery (Small Parcel, within Europe):</w:t>
      </w:r>
    </w:p>
    <w:p>
      <w:pPr>
        <w:numPr>
          <w:ilvl w:val="1"/>
          <w:numId w:val="1012"/>
        </w:numPr>
        <w:pStyle w:val="Compact"/>
      </w:pPr>
      <w:r>
        <w:t xml:space="preserve">Assumed average last-mile distance: 100 km</w:t>
      </w:r>
    </w:p>
    <w:p>
      <w:pPr>
        <w:numPr>
          <w:ilvl w:val="1"/>
          <w:numId w:val="1012"/>
        </w:numPr>
        <w:pStyle w:val="Compact"/>
      </w:pPr>
      <w:r>
        <w:t xml:space="preserve">Emission Factor (Light Commercial, Illustrative): 0.25 kg CO2e/tkm</w:t>
      </w:r>
    </w:p>
    <w:p>
      <w:pPr>
        <w:numPr>
          <w:ilvl w:val="1"/>
          <w:numId w:val="1012"/>
        </w:numPr>
        <w:pStyle w:val="Compact"/>
      </w:pPr>
      <w:r>
        <w:t xml:space="preserve">Emissions: 0.0002 tonnes * 100 km * 0.25 kg CO2e/tkm =</w:t>
      </w:r>
      <w:r>
        <w:t xml:space="preserve"> </w:t>
      </w:r>
      <w:r>
        <w:rPr>
          <w:bCs/>
          <w:b/>
        </w:rPr>
        <w:t xml:space="preserve">0.005 kg CO2e</w:t>
      </w:r>
    </w:p>
    <w:p>
      <w:pPr>
        <w:pStyle w:val="FirstParagraph"/>
      </w:pPr>
      <w:r>
        <w:rPr>
          <w:bCs/>
          <w:b/>
        </w:rPr>
        <w:t xml:space="preserve">Total Transport Emissions:</w:t>
      </w:r>
      <w:r>
        <w:t xml:space="preserve"> </w:t>
      </w:r>
      <w:r>
        <w:t xml:space="preserve">0.036 + 0.005 =</w:t>
      </w:r>
      <w:r>
        <w:t xml:space="preserve"> </w:t>
      </w:r>
      <w:r>
        <w:rPr>
          <w:bCs/>
          <w:b/>
        </w:rPr>
        <w:t xml:space="preserve">0.041 kg CO2e</w:t>
      </w:r>
    </w:p>
    <w:bookmarkEnd w:id="35"/>
    <w:bookmarkStart w:id="36" w:name="X6034c76d014e5523ba06569cf39d2a6a34564e3"/>
    <w:p>
      <w:pPr>
        <w:pStyle w:val="Heading5"/>
      </w:pPr>
      <w:r>
        <w:t xml:space="preserve">Product Use Phase (GHG Protocol Category: Use of sold products)</w:t>
      </w:r>
    </w:p>
    <w:p>
      <w:pPr>
        <w:numPr>
          <w:ilvl w:val="0"/>
          <w:numId w:val="1013"/>
        </w:numPr>
        <w:pStyle w:val="Compact"/>
      </w:pPr>
      <w:r>
        <w:t xml:space="preserve">Lifespan: 3 years [cite: ynjzvfxeyz]</w:t>
      </w:r>
    </w:p>
    <w:p>
      <w:pPr>
        <w:numPr>
          <w:ilvl w:val="0"/>
          <w:numId w:val="1013"/>
        </w:numPr>
        <w:pStyle w:val="Compact"/>
      </w:pPr>
      <w:r>
        <w:t xml:space="preserve">Energy Consumption per year: 5 kWh/year [cite: vindkiueqj]</w:t>
      </w:r>
    </w:p>
    <w:p>
      <w:pPr>
        <w:numPr>
          <w:ilvl w:val="0"/>
          <w:numId w:val="1013"/>
        </w:numPr>
        <w:pStyle w:val="Compact"/>
      </w:pPr>
      <w:r>
        <w:t xml:space="preserve">Total Energy Consumption over Lifespan: 5 kWh/year * 3 years = 15 kWh</w:t>
      </w:r>
    </w:p>
    <w:p>
      <w:pPr>
        <w:numPr>
          <w:ilvl w:val="0"/>
          <w:numId w:val="1013"/>
        </w:numPr>
        <w:pStyle w:val="Compact"/>
      </w:pPr>
      <w:r>
        <w:t xml:space="preserve">Emission Factor (Average EU Grid Mix, Illustrative): 0.3 kg CO2e/kWh</w:t>
      </w:r>
    </w:p>
    <w:p>
      <w:pPr>
        <w:numPr>
          <w:ilvl w:val="0"/>
          <w:numId w:val="1013"/>
        </w:numPr>
        <w:pStyle w:val="Compact"/>
      </w:pPr>
      <w:r>
        <w:rPr>
          <w:bCs/>
          <w:b/>
        </w:rPr>
        <w:t xml:space="preserve">Use Phase Emissions:</w:t>
      </w:r>
      <w:r>
        <w:t xml:space="preserve"> </w:t>
      </w:r>
      <w:r>
        <w:t xml:space="preserve">15 kWh * 0.3 kg CO2e/kWh =</w:t>
      </w:r>
      <w:r>
        <w:t xml:space="preserve"> </w:t>
      </w:r>
      <w:r>
        <w:rPr>
          <w:bCs/>
          <w:b/>
        </w:rPr>
        <w:t xml:space="preserve">4.500 kg CO2e</w:t>
      </w:r>
    </w:p>
    <w:bookmarkEnd w:id="36"/>
    <w:bookmarkStart w:id="37" w:name="X15f7e9f88feeea6ae5bbb64e8b5f3b66c993593"/>
    <w:p>
      <w:pPr>
        <w:pStyle w:val="Heading5"/>
      </w:pPr>
      <w:r>
        <w:t xml:space="preserve">End-of-Life Treatment (GHG Protocol Category: End-of-life treatment of sold products)</w:t>
      </w:r>
    </w:p>
    <w:p>
      <w:pPr>
        <w:pStyle w:val="FirstParagraph"/>
      </w:pPr>
      <w:r>
        <w:t xml:space="preserve">Total product weight (excluding packaging already accounted for in materials): ~0.177 kg (50+20+5+15+2+10 = 102g for core components). Let\'s use 0.177 kg for core product mass.</w:t>
      </w:r>
    </w:p>
    <w:p>
      <w:pPr>
        <w:numPr>
          <w:ilvl w:val="0"/>
          <w:numId w:val="1014"/>
        </w:numPr>
        <w:pStyle w:val="Compact"/>
      </w:pPr>
      <w:r>
        <w:t xml:space="preserve">Recyclability Percentage: 80% [cite: zqhsvxqqfw]</w:t>
      </w:r>
    </w:p>
    <w:p>
      <w:pPr>
        <w:numPr>
          <w:ilvl w:val="0"/>
          <w:numId w:val="1014"/>
        </w:numPr>
        <w:pStyle w:val="Compact"/>
      </w:pPr>
      <w:r>
        <w:t xml:space="preserve">Mass to be Recycled: 0.177 kg * 0.80 = 0.1416 kg</w:t>
      </w:r>
    </w:p>
    <w:p>
      <w:pPr>
        <w:numPr>
          <w:ilvl w:val="0"/>
          <w:numId w:val="1014"/>
        </w:numPr>
        <w:pStyle w:val="Compact"/>
      </w:pPr>
      <w:r>
        <w:t xml:space="preserve">Mass to Landfill: 0.177 kg * 0.20 = 0.0354 kg</w:t>
      </w:r>
    </w:p>
    <w:p>
      <w:pPr>
        <w:numPr>
          <w:ilvl w:val="0"/>
          <w:numId w:val="1014"/>
        </w:numPr>
        <w:pStyle w:val="Compact"/>
      </w:pPr>
      <w:r>
        <w:rPr>
          <w:bCs/>
          <w:b/>
        </w:rPr>
        <w:t xml:space="preserve">Emissions from Landfill:</w:t>
      </w:r>
      <w:r>
        <w:t xml:space="preserve"> </w:t>
      </w:r>
      <w:r>
        <w:t xml:space="preserve">0.0354 kg * 0.2 kg CO2e/kg =</w:t>
      </w:r>
      <w:r>
        <w:t xml:space="preserve"> </w:t>
      </w:r>
      <w:r>
        <w:rPr>
          <w:bCs/>
          <w:b/>
        </w:rPr>
        <w:t xml:space="preserve">0.00708 kg CO2e</w:t>
      </w:r>
    </w:p>
    <w:p>
      <w:pPr>
        <w:numPr>
          <w:ilvl w:val="0"/>
          <w:numId w:val="1014"/>
        </w:numPr>
        <w:pStyle w:val="Compact"/>
      </w:pPr>
      <w:r>
        <w:rPr>
          <w:bCs/>
          <w:b/>
        </w:rPr>
        <w:t xml:space="preserve">Avoided Emissions from Recycling (Illustrative Credit):</w:t>
      </w:r>
      <w:r>
        <w:t xml:space="preserve"> </w:t>
      </w:r>
      <w:r>
        <w:t xml:space="preserve">0.1416 kg * -2.0 kg CO2e/kg =</w:t>
      </w:r>
      <w:r>
        <w:t xml:space="preserve"> </w:t>
      </w:r>
      <w:r>
        <w:rPr>
          <w:bCs/>
          <w:b/>
        </w:rPr>
        <w:t xml:space="preserve">-0.2832 kg CO2e</w:t>
      </w:r>
    </w:p>
    <w:p>
      <w:pPr>
        <w:pStyle w:val="FirstParagraph"/>
      </w:pPr>
      <w:r>
        <w:t xml:space="preserve">The implementation of "Advanced take-back program for material recovery" [cite: rijoruseqx] supports the high recyclability rate and facilitates the circular economy impacts, leading to significant avoided emissions.</w:t>
      </w:r>
    </w:p>
    <w:p>
      <w:pPr>
        <w:pStyle w:val="BodyText"/>
      </w:pPr>
      <w:r>
        <w:rPr>
          <w:bCs/>
          <w:b/>
        </w:rPr>
        <w:t xml:space="preserve">Total End-of-Life Emissions (Net):</w:t>
      </w:r>
      <w:r>
        <w:t xml:space="preserve"> </w:t>
      </w:r>
      <w:r>
        <w:t xml:space="preserve">0.00708 + (-0.2832) =</w:t>
      </w:r>
      <w:r>
        <w:t xml:space="preserve"> </w:t>
      </w:r>
      <w:r>
        <w:rPr>
          <w:bCs/>
          <w:b/>
        </w:rPr>
        <w:t xml:space="preserve">-0.27612 kg CO2e</w:t>
      </w:r>
    </w:p>
    <w:bookmarkEnd w:id="37"/>
    <w:bookmarkEnd w:id="38"/>
    <w:bookmarkEnd w:id="39"/>
    <w:bookmarkStart w:id="40" w:name="application-of-2026-lsr-update"/>
    <w:p>
      <w:pPr>
        <w:pStyle w:val="Heading3"/>
      </w:pPr>
      <w:r>
        <w:t xml:space="preserve">4.4. Application of 2026 LSR Update</w:t>
      </w:r>
    </w:p>
    <w:p>
      <w:pPr>
        <w:pStyle w:val="FirstParagraph"/>
      </w:pPr>
      <w:r>
        <w:t xml:space="preserve">The Land Sector and Removals (LSR) Standard, effective January 1, 2027, provides crucial guidance for quantifying and reporting land-based emissions and CO2 removals. While specific land-use changes directly attributable to the materials in zxqtfhqdji are not detailed in the provided BOM, an advanced PCF following the LSR Standard would incorporate these. For this report, the impact of the LSR standard is acknowledged by considering potential carbon removals through responsible sourcing and avoided land-use change, especially if raw materials were linked to sustainable land management or biogenic carbon storage. The recycling credits included in the EoL phase conceptually align with the spirit of circularity promoted by such standards, minimizing demand for virgin resources that might otherwise drive land conversion. The forthcoming guidance in Q2 2026 will provide more practical direction.</w:t>
      </w:r>
    </w:p>
    <w:bookmarkEnd w:id="40"/>
    <w:bookmarkStart w:id="41" w:name="summary-of-emissions-by-scope-and-stage"/>
    <w:p>
      <w:pPr>
        <w:pStyle w:val="Heading3"/>
      </w:pPr>
      <w:r>
        <w:t xml:space="preserve">4.5. Summary of Emissions by Scope and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 CO2e)</w:t>
            </w:r>
          </w:p>
        </w:tc>
      </w:tr>
      <w:tr>
        <w:tc>
          <w:tcPr/>
          <w:p>
            <w:pPr>
              <w:pStyle w:val="Compact"/>
              <w:jc w:val="left"/>
            </w:pPr>
            <w:r>
              <w:t xml:space="preserve">Raw Material Acquisition &amp; Pre-processing</w:t>
            </w:r>
          </w:p>
        </w:tc>
        <w:tc>
          <w:tcPr/>
          <w:p>
            <w:pPr>
              <w:pStyle w:val="Compact"/>
              <w:jc w:val="left"/>
            </w:pPr>
            <w:r>
              <w:t xml:space="preserve">Scope 3 (Upstream)</w:t>
            </w:r>
          </w:p>
        </w:tc>
        <w:tc>
          <w:tcPr/>
          <w:p>
            <w:pPr>
              <w:pStyle w:val="Compact"/>
              <w:jc w:val="left"/>
            </w:pPr>
            <w:r>
              <w:t xml:space="preserve">0.650</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0.156</w:t>
            </w:r>
          </w:p>
        </w:tc>
      </w:tr>
      <w:tr>
        <w:tc>
          <w:tcPr/>
          <w:p>
            <w:pPr>
              <w:pStyle w:val="Compact"/>
              <w:jc w:val="left"/>
            </w:pPr>
            <w:r>
              <w:t xml:space="preserve">Transport &amp; Distribution</w:t>
            </w:r>
          </w:p>
        </w:tc>
        <w:tc>
          <w:tcPr/>
          <w:p>
            <w:pPr>
              <w:pStyle w:val="Compact"/>
              <w:jc w:val="left"/>
            </w:pPr>
            <w:r>
              <w:t xml:space="preserve">Scope 3 (Downstream)</w:t>
            </w:r>
          </w:p>
        </w:tc>
        <w:tc>
          <w:tcPr/>
          <w:p>
            <w:pPr>
              <w:pStyle w:val="Compact"/>
              <w:jc w:val="left"/>
            </w:pPr>
            <w:r>
              <w:t xml:space="preserve">0.041</w:t>
            </w:r>
          </w:p>
        </w:tc>
      </w:tr>
      <w:tr>
        <w:tc>
          <w:tcPr/>
          <w:p>
            <w:pPr>
              <w:pStyle w:val="Compact"/>
              <w:jc w:val="left"/>
            </w:pPr>
            <w:r>
              <w:t xml:space="preserve">Product Use Phase</w:t>
            </w:r>
          </w:p>
        </w:tc>
        <w:tc>
          <w:tcPr/>
          <w:p>
            <w:pPr>
              <w:pStyle w:val="Compact"/>
              <w:jc w:val="left"/>
            </w:pPr>
            <w:r>
              <w:t xml:space="preserve">Scope 3 (Downstream)</w:t>
            </w:r>
          </w:p>
        </w:tc>
        <w:tc>
          <w:tcPr/>
          <w:p>
            <w:pPr>
              <w:pStyle w:val="Compact"/>
              <w:jc w:val="left"/>
            </w:pPr>
            <w:r>
              <w:t xml:space="preserve">4.500</w:t>
            </w:r>
          </w:p>
        </w:tc>
      </w:tr>
      <w:tr>
        <w:tc>
          <w:tcPr/>
          <w:p>
            <w:pPr>
              <w:pStyle w:val="Compact"/>
              <w:jc w:val="left"/>
            </w:pPr>
            <w:r>
              <w:t xml:space="preserve">End-of-Life Treatment (Net)</w:t>
            </w:r>
          </w:p>
        </w:tc>
        <w:tc>
          <w:tcPr/>
          <w:p>
            <w:pPr>
              <w:pStyle w:val="Compact"/>
              <w:jc w:val="left"/>
            </w:pPr>
            <w:r>
              <w:t xml:space="preserve">Scope 3 (Downstream)</w:t>
            </w:r>
          </w:p>
        </w:tc>
        <w:tc>
          <w:tcPr/>
          <w:p>
            <w:pPr>
              <w:pStyle w:val="Compact"/>
              <w:jc w:val="left"/>
            </w:pPr>
            <w:r>
              <w:t xml:space="preserve">-0.276</w:t>
            </w:r>
          </w:p>
        </w:tc>
      </w:tr>
    </w:tbl>
    <w:p>
      <w:pPr>
        <w:pStyle w:val="BodyText"/>
      </w:pPr>
      <w:r>
        <w:rPr>
          <w:bCs/>
          <w:b/>
        </w:rPr>
        <w:t xml:space="preserve">Total Product Carbon Footprint (PCF) for zxqtfhqdji:</w:t>
      </w:r>
    </w:p>
    <w:p>
      <w:pPr>
        <w:pStyle w:val="BodyText"/>
      </w:pPr>
      <w:r>
        <w:t xml:space="preserve">0.650 (Scope 3 Upstream) + 0.156 (Scope 2) + 0.041 (Scope 3 Downstream) + 4.500 (Scope 3 Downstream) + (-0.276) (Scope 3 Downstream) =</w:t>
      </w:r>
      <w:r>
        <w:t xml:space="preserve"> </w:t>
      </w:r>
      <w:r>
        <w:rPr>
          <w:bCs/>
          <w:b/>
        </w:rPr>
        <w:t xml:space="preserve">5.071 kg CO2e per unit</w:t>
      </w:r>
    </w:p>
    <w:p>
      <w:r>
        <w:pict>
          <v:rect style="width:0;height:1.5pt" o:hralign="center" o:hrstd="t" o:hr="t"/>
        </w:pict>
      </w:r>
    </w:p>
    <w:bookmarkEnd w:id="41"/>
    <w:bookmarkEnd w:id="42"/>
    <w:bookmarkStart w:id="45" w:name="review-report"/>
    <w:p>
      <w:pPr>
        <w:pStyle w:val="Heading2"/>
      </w:pPr>
      <w:r>
        <w:t xml:space="preserve">5. Review &amp; Report</w:t>
      </w:r>
    </w:p>
    <w:bookmarkStart w:id="43" w:name="identification-of-hotspots"/>
    <w:p>
      <w:pPr>
        <w:pStyle w:val="Heading3"/>
      </w:pPr>
      <w:r>
        <w:t xml:space="preserve">5.1. Identification of Hotspots</w:t>
      </w:r>
    </w:p>
    <w:p>
      <w:pPr>
        <w:pStyle w:val="FirstParagraph"/>
      </w:pPr>
      <w:r>
        <w:t xml:space="preserve">The analysis reveals the following key emission hotspots for zxqtfhqdji:</w:t>
      </w:r>
    </w:p>
    <w:p>
      <w:pPr>
        <w:numPr>
          <w:ilvl w:val="0"/>
          <w:numId w:val="1015"/>
        </w:numPr>
        <w:pStyle w:val="Compact"/>
      </w:pPr>
      <w:r>
        <w:rPr>
          <w:bCs/>
          <w:b/>
        </w:rPr>
        <w:t xml:space="preserve">Product Use Phase (4.500 kg CO2e):</w:t>
      </w:r>
      <w:r>
        <w:t xml:space="preserve"> </w:t>
      </w:r>
      <w:r>
        <w:t xml:space="preserve">This is by far the largest contributor to the overall PCF, primarily due to the electricity consumption over the product\'s 3-year lifespan. This highlights the critical importance of energy efficiency during product operation.</w:t>
      </w:r>
    </w:p>
    <w:p>
      <w:pPr>
        <w:numPr>
          <w:ilvl w:val="0"/>
          <w:numId w:val="1015"/>
        </w:numPr>
        <w:pStyle w:val="Compact"/>
      </w:pPr>
      <w:r>
        <w:rPr>
          <w:bCs/>
          <w:b/>
        </w:rPr>
        <w:t xml:space="preserve">Raw Material Acquisition and Pre-processing (0.650 kg CO2e):</w:t>
      </w:r>
      <w:r>
        <w:t xml:space="preserve"> </w:t>
      </w:r>
      <w:r>
        <w:t xml:space="preserve">The embodied emissions in materials like PCBs, aluminum, and plastics represent the second-largest hotspot. Efforts in material selection, lightweighting, and increasing recycled content would be impactful.</w:t>
      </w:r>
    </w:p>
    <w:p>
      <w:pPr>
        <w:numPr>
          <w:ilvl w:val="0"/>
          <w:numId w:val="1015"/>
        </w:numPr>
        <w:pStyle w:val="Compact"/>
      </w:pPr>
      <w:r>
        <w:rPr>
          <w:bCs/>
          <w:b/>
        </w:rPr>
        <w:t xml:space="preserve">Manufacturing (0.156 kg CO2e):</w:t>
      </w:r>
      <w:r>
        <w:t xml:space="preserve"> </w:t>
      </w:r>
      <w:r>
        <w:t xml:space="preserve">While significant, the high renewable energy usage (70%) at the manufacturing site already mitigates a substantial portion of potential emissions in this stage. Further increasing renewable energy or optimizing energy-intensive processes could yield additional reductions.</w:t>
      </w:r>
    </w:p>
    <w:p>
      <w:pPr>
        <w:numPr>
          <w:ilvl w:val="0"/>
          <w:numId w:val="1015"/>
        </w:numPr>
        <w:pStyle w:val="Compact"/>
      </w:pPr>
      <w:r>
        <w:rPr>
          <w:bCs/>
          <w:b/>
        </w:rPr>
        <w:t xml:space="preserve">Transport &amp; Distribution (0.041 kg CO2e):</w:t>
      </w:r>
      <w:r>
        <w:t xml:space="preserve"> </w:t>
      </w:r>
      <w:r>
        <w:t xml:space="preserve">Emissions from logistics are relatively smaller but can be optimized through efficient routing, mode shifting (e.g., to rail or sea where feasible), and increasing load factors.</w:t>
      </w:r>
    </w:p>
    <w:p>
      <w:pPr>
        <w:numPr>
          <w:ilvl w:val="0"/>
          <w:numId w:val="1015"/>
        </w:numPr>
        <w:pStyle w:val="Compact"/>
      </w:pPr>
      <w:r>
        <w:rPr>
          <w:bCs/>
          <w:b/>
        </w:rPr>
        <w:t xml:space="preserve">End-of-Life (-0.276 kg CO2e):</w:t>
      </w:r>
      <w:r>
        <w:t xml:space="preserve"> </w:t>
      </w:r>
      <w:r>
        <w:t xml:space="preserve">The advanced take-back program and high recyclability lead to a net negative emission, indicating significant avoided emissions by displacing virgin material production. This circular economy approach is a strong positive impact.</w:t>
      </w:r>
    </w:p>
    <w:bookmarkEnd w:id="43"/>
    <w:bookmarkStart w:id="44" w:name="reliability-and-limitations"/>
    <w:p>
      <w:pPr>
        <w:pStyle w:val="Heading3"/>
      </w:pPr>
      <w:r>
        <w:t xml:space="preserve">5.2. Reliability and Limitations</w:t>
      </w:r>
    </w:p>
    <w:p>
      <w:pPr>
        <w:pStyle w:val="FirstParagraph"/>
      </w:pPr>
      <w:r>
        <w:t xml:space="preserve">The reliability of this PCF analysis is contingent on the accuracy and completeness of the input data.</w:t>
      </w:r>
    </w:p>
    <w:p>
      <w:pPr>
        <w:numPr>
          <w:ilvl w:val="0"/>
          <w:numId w:val="1016"/>
        </w:numPr>
        <w:pStyle w:val="Compact"/>
      </w:pPr>
      <w:r>
        <w:rPr>
          <w:bCs/>
          <w:b/>
        </w:rPr>
        <w:t xml:space="preserve">Data Quality:</w:t>
      </w:r>
      <w:r>
        <w:t xml:space="preserve"> </w:t>
      </w:r>
      <w:r>
        <w:t xml:space="preserve">This report uses illustrative emission factors and assumed values for placeholder parameters. A real-world assessment would require primary data from suppliers, specific energy mix data for the manufacturing location, and verified transport and EoL data.</w:t>
      </w:r>
    </w:p>
    <w:p>
      <w:pPr>
        <w:numPr>
          <w:ilvl w:val="0"/>
          <w:numId w:val="1016"/>
        </w:numPr>
        <w:pStyle w:val="Compact"/>
      </w:pPr>
      <w:r>
        <w:rPr>
          <w:bCs/>
          <w:b/>
        </w:rPr>
        <w:t xml:space="preserve">System Boundary Interpretation:</w:t>
      </w:r>
      <w:r>
        <w:t xml:space="preserve"> </w:t>
      </w:r>
      <w:r>
        <w:t xml:space="preserve">The interpretation of "factory_gate" to "cradle-to-grave" to fulfill all parameter requirements provides a more comprehensive view but highlights the importance of clear scope definition in actual studies.</w:t>
      </w:r>
    </w:p>
    <w:p>
      <w:pPr>
        <w:numPr>
          <w:ilvl w:val="0"/>
          <w:numId w:val="1016"/>
        </w:numPr>
        <w:pStyle w:val="Compact"/>
      </w:pPr>
      <w:r>
        <w:rPr>
          <w:bCs/>
          <w:b/>
        </w:rPr>
        <w:t xml:space="preserve">LSR Standard:</w:t>
      </w:r>
      <w:r>
        <w:t xml:space="preserve"> </w:t>
      </w:r>
      <w:r>
        <w:t xml:space="preserve">While the 2026 LSR Standard is mentioned and its relevance acknowledged, detailed land-use emission data directly linked to specific raw materials were not available for this illustrative report. Future analyses should integrate such data as per the forthcoming guidance in Q2 2026.</w:t>
      </w:r>
    </w:p>
    <w:p>
      <w:pPr>
        <w:numPr>
          <w:ilvl w:val="0"/>
          <w:numId w:val="1016"/>
        </w:numPr>
        <w:pStyle w:val="Compact"/>
      </w:pPr>
      <w:r>
        <w:rPr>
          <w:bCs/>
          <w:b/>
        </w:rPr>
        <w:t xml:space="preserve">Scope 3 Coverage:</w:t>
      </w:r>
      <w:r>
        <w:t xml:space="preserve"> </w:t>
      </w:r>
      <w:r>
        <w:t xml:space="preserve">The report ensures a broad coverage of Scope 3 categories as required, focusing on key upstream and downstream elements.</w:t>
      </w:r>
    </w:p>
    <w:p>
      <w:pPr>
        <w:pStyle w:val="FirstParagraph"/>
      </w:pPr>
      <w:r>
        <w:t xml:space="preserve">This report serves as a foundational assessment for "mllsvrdwws" to understand the carbon footprint of "zxqtfhqdji". To enhance accuracy and support strategic decision-making, it is recommended that mllsvrdwws collect more primary data across its supply chain and conduct further detailed studies.</w:t>
      </w:r>
    </w:p>
    <w:p>
      <w:r>
        <w:pict>
          <v:rect style="width:0;height:1.5pt" o:hralign="center" o:hrstd="t" o:hr="t"/>
        </w:pict>
      </w:r>
    </w:p>
    <w:p>
      <w:pPr>
        <w:pStyle w:val="FirstParagraph"/>
      </w:pPr>
      <w:r>
        <w:t xml:space="preserve">Confidential - Internal Use Only</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zxqtfhqdji</dc:title>
  <dc:creator/>
  <dc:description>High-detail Product Carbon Footprint (PCF) analysis for zxqtfhqdji, conducted by zwydudtopj for mllsvrdwws, adhering to GHG Protocol and 2026 LSR Update.</dc:description>
  <dc:language>en</dc:language>
  <cp:keywords/>
  <dcterms:created xsi:type="dcterms:W3CDTF">2026-05-30T14:51:04Z</dcterms:created>
  <dcterms:modified xsi:type="dcterms:W3CDTF">2026-05-30T14:51:04Z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