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zxhtwnghss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zxhtwnghss</w:t>
      </w:r>
    </w:p>
    <w:p>
      <w:pPr>
        <w:pStyle w:val="BodyText"/>
      </w:pPr>
      <w:r>
        <w:rPr>
          <w:bCs/>
          <w:b/>
        </w:rPr>
        <w:t xml:space="preserve">Company Name:</w:t>
      </w:r>
      <w:r>
        <w:t xml:space="preserve"> </w:t>
      </w:r>
      <w:r>
        <w:t xml:space="preserve">ozftnlrevu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vfpldmjdjf</w:t>
      </w:r>
    </w:p>
    <w:p>
      <w:pPr>
        <w:pStyle w:val="BodyText"/>
      </w:pPr>
      <w:r>
        <w:t xml:space="preserve">This report is generated based on available data and industry standards. While every effort has been made to ensure accuracy, the actual environmental impact may vary depending on specific operational details and evolving methodologies.</w:t>
      </w:r>
    </w:p>
    <w:bookmarkEnd w:id="20"/>
    <w:bookmarkStart w:id="21" w:name="Xbe0f1636196e74f9f0bdca377924ba0a1af192a"/>
    <w:p>
      <w:pPr>
        <w:pStyle w:val="Heading1"/>
      </w:pPr>
      <w:r>
        <w:t xml:space="preserve">Product Carbon Footprint Analysis Report: zxhtwnghss</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"zxhtwnghss" manufactured by "ozftnlrevu", conducted by Senior Sustainability Consultant "vfpldmjdjf". The analysis adheres to the Greenhouse Gas (GHG) Protocol and incorporates updates from the 2026 Land Sector and Removals (LSR) Standard. The goal is to quantify the total greenhouse gas emissions (in CO2e) associated with the product\'s lifecycle, identify emission hotspots, and provide actionable insights for reduction. The analysis covers material acquisition, manufacturing, transportation, use phase, and end-of-life scenarios, aiming for at least 95% coverage for Scope 3 emissions as per 2026 requirements. The geographic scope focuses on production in China with a supply chain emphasis on Europe.</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follows the five-step methodology outlined by the GHG Protocol Product Life Cycle Accounting and Reporting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identified stage.</w:t>
      </w:r>
    </w:p>
    <w:p>
      <w:pPr>
        <w:numPr>
          <w:ilvl w:val="0"/>
          <w:numId w:val="1001"/>
        </w:numPr>
        <w:pStyle w:val="Compact"/>
      </w:pPr>
      <w:r>
        <w:rPr>
          <w:bCs/>
          <w:b/>
        </w:rPr>
        <w:t xml:space="preserve">Calculate Emissions:</w:t>
      </w:r>
      <w:r>
        <w:t xml:space="preserve"> </w:t>
      </w:r>
      <w:r>
        <w:t xml:space="preserve">Quantify emissions by multiplying activity data by relevant emission factors (Activity * Emission Factor = CO2e).</w:t>
      </w:r>
    </w:p>
    <w:p>
      <w:pPr>
        <w:numPr>
          <w:ilvl w:val="0"/>
          <w:numId w:val="1001"/>
        </w:numPr>
        <w:pStyle w:val="Compact"/>
      </w:pPr>
      <w:r>
        <w:rPr>
          <w:bCs/>
          <w:b/>
        </w:rPr>
        <w:t xml:space="preserve">Review &amp; Report:</w:t>
      </w:r>
      <w:r>
        <w:t xml:space="preserve"> </w:t>
      </w:r>
      <w:r>
        <w:t xml:space="preserve">Analyze results to identify hotspots, assess data reliability, and report findings.</w:t>
      </w:r>
    </w:p>
    <w:bookmarkStart w:id="23" w:name="Xa0167153afb08617bc1ef66f877fb2c58fdaeda"/>
    <w:p>
      <w:pPr>
        <w:pStyle w:val="Heading3"/>
      </w:pPr>
      <w:r>
        <w:t xml:space="preserve">2.1. Adherence to GHG Protocol and 2026 LSR Update</w:t>
      </w:r>
    </w:p>
    <w:p>
      <w:pPr>
        <w:pStyle w:val="FirstParagraph"/>
      </w:pPr>
      <w:r>
        <w:t xml:space="preserve">This report strictly adheres to the GHG Protocol for categorizing emissions:</w:t>
      </w:r>
    </w:p>
    <w:p>
      <w:pPr>
        <w:numPr>
          <w:ilvl w:val="0"/>
          <w:numId w:val="1002"/>
        </w:numPr>
        <w:pStyle w:val="Compact"/>
      </w:pPr>
      <w:r>
        <w:rPr>
          <w:bCs/>
          <w:b/>
        </w:rPr>
        <w:t xml:space="preserve">Scope 1:</w:t>
      </w:r>
      <w:r>
        <w:t xml:space="preserve"> </w:t>
      </w:r>
      <w:r>
        <w:t xml:space="preserve">Direct GHG emissions from sources owned or controlled by ozftnlrevu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ozftnlrevu.</w:t>
      </w:r>
    </w:p>
    <w:p>
      <w:pPr>
        <w:numPr>
          <w:ilvl w:val="0"/>
          <w:numId w:val="1002"/>
        </w:numPr>
        <w:pStyle w:val="Compact"/>
      </w:pPr>
      <w:r>
        <w:rPr>
          <w:bCs/>
          <w:b/>
        </w:rPr>
        <w:t xml:space="preserve">Scope 3:</w:t>
      </w:r>
      <w:r>
        <w:t xml:space="preserve"> </w:t>
      </w:r>
      <w:r>
        <w:t xml:space="preserve">All other indirect emissions occurring in the value chain, both upstream and downstream (e.g., purchased goods and services, transportation, use of sold products, end-of-life treatment of sold products). For many companies, Scope 3 emissions can account for 70-90% of the total carbon footprint.</w:t>
      </w:r>
    </w:p>
    <w:p>
      <w:pPr>
        <w:pStyle w:val="FirstParagraph"/>
      </w:pPr>
      <w:r>
        <w:t xml:space="preserve">Furthermore, the analysis applies the principles of the</w:t>
      </w:r>
      <w:r>
        <w:t xml:space="preserve"> </w:t>
      </w:r>
      <w:r>
        <w:rPr>
          <w:bCs/>
          <w:b/>
        </w:rPr>
        <w:t xml:space="preserve">2026 Land Sector and Removals (LSR) Standard</w:t>
      </w:r>
      <w:r>
        <w:t xml:space="preserve">. The LSR Standard, effective January 1, 2027, provides accounting requirements and guidance for quantifying, reporting, and tracking land emissions and CO₂ removals, especially for entities with significant land sector activities or those reporting CO₂ removals. While specific land-use data for zxhtwnghss\'s raw materials is not fully detailed in the provided parameters, the framework acknowledges this standard\'s importance for relevant upstream agricultural or land-intensive processes in future detailed analyses.</w:t>
      </w:r>
    </w:p>
    <w:p>
      <w:pPr>
        <w:pStyle w:val="BodyText"/>
      </w:pPr>
      <w:r>
        <w:rPr>
          <w:bCs/>
          <w:b/>
        </w:rPr>
        <w:t xml:space="preserve">Scope 3 Compliance:</w:t>
      </w:r>
      <w:r>
        <w:t xml:space="preserve"> </w:t>
      </w:r>
      <w:r>
        <w:t xml:space="preserve">The report ensures a comprehensive assessment of Scope 3 emissions, targeting at least 95% coverage as per 2026 requirements, by including detailed calculations for upstream materials, manufacturing energy, transportation, use phase, and end-of-life scenarios.</w:t>
      </w:r>
    </w:p>
    <w:p>
      <w:r>
        <w:pict>
          <v:rect style="width:0;height:1.5pt" o:hralign="center" o:hrstd="t" o:hr="t"/>
        </w:pict>
      </w:r>
    </w:p>
    <w:bookmarkEnd w:id="23"/>
    <w:bookmarkEnd w:id="24"/>
    <w:bookmarkStart w:id="39" w:name="X410b5ae5f1a6135d15474d3937579c01b74726c"/>
    <w:p>
      <w:pPr>
        <w:pStyle w:val="Heading2"/>
      </w:pPr>
      <w:r>
        <w:t xml:space="preserve">3. Product Carbon Footprint Analysis for zxhtwnghss</w:t>
      </w:r>
    </w:p>
    <w:bookmarkStart w:id="25" w:name="define-scope-step-1"/>
    <w:p>
      <w:pPr>
        <w:pStyle w:val="Heading3"/>
      </w:pPr>
      <w:r>
        <w:t xml:space="preserve">3.1. Define Scope (Step 1)</w:t>
      </w:r>
    </w:p>
    <w:p>
      <w:pPr>
        <w:numPr>
          <w:ilvl w:val="0"/>
          <w:numId w:val="1003"/>
        </w:numPr>
        <w:pStyle w:val="Compact"/>
      </w:pPr>
      <w:r>
        <w:rPr>
          <w:bCs/>
          <w:b/>
        </w:rPr>
        <w:t xml:space="preserve">Functional Unit:</w:t>
      </w:r>
      <w:r>
        <w:t xml:space="preserve"> </w:t>
      </w:r>
      <w:r>
        <w:t xml:space="preserve">1.0 unit of zxhtwnghss</w:t>
      </w:r>
    </w:p>
    <w:p>
      <w:pPr>
        <w:numPr>
          <w:ilvl w:val="0"/>
          <w:numId w:val="1003"/>
        </w:numPr>
        <w:pStyle w:val="Compact"/>
      </w:pPr>
      <w:r>
        <w:rPr>
          <w:bCs/>
          <w:b/>
        </w:rPr>
        <w:t xml:space="preserve">System Boundary:</w:t>
      </w:r>
      <w:r>
        <w:t xml:space="preserve"> </w:t>
      </w:r>
      <w:r>
        <w:t xml:space="preserve">The explicit parameter provided for the system boundary is "factory_gate". However, to provide a comprehensive PCF analysis as required by other parameters (Use Phase and End-of-Life), this report extends the analysis to a "Cradle-to-Grave" perspective for completeness, encompassing raw material acquisition, manufacturing (up to factory gate), distribution, use, and end-of-life. The \'factory_gate\' specifically defines the boundary for the manufacturing process emissions.</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bookmarkEnd w:id="25"/>
    <w:bookmarkStart w:id="31" w:name="X1b7031aaf9d3ec7631c8b88e4e268c4190343e5"/>
    <w:p>
      <w:pPr>
        <w:pStyle w:val="Heading3"/>
      </w:pPr>
      <w:r>
        <w:t xml:space="preserve">3.2. Lifecycle Mapping &amp; Data Collection (Steps 2 &amp; 3)</w:t>
      </w:r>
    </w:p>
    <w:bookmarkStart w:id="26" w:name="Xd17dd4a219c1301cc5753cca124e4ba16821b8d"/>
    <w:p>
      <w:pPr>
        <w:pStyle w:val="Heading4"/>
      </w:pPr>
      <w:r>
        <w:t xml:space="preserve">3.2.1. Detailed Bill of Materials (BOM) &amp; Material Inputs (Scope 3 - Upstream)</w:t>
      </w:r>
    </w:p>
    <w:p>
      <w:pPr>
        <w:pStyle w:val="FirstParagraph"/>
      </w:pPr>
      <w:r>
        <w:t xml:space="preserve">The analysis utilizes the provided Detailed Bill of Materials (BOM) for zxhtwnghss ("ztfijjlg") to calculate the material-related emissions. The Emission Factor for each item represents the embodied carbon in kg CO2e per kg of material, and the Total Carbon is the calculated emissions for the quantity used.</w:t>
      </w:r>
    </w:p>
    <w:p>
      <w:pPr>
        <w:pStyle w:val="BodyText"/>
      </w:pPr>
      <w:r>
        <w:rPr>
          <w:bCs/>
          <w:b/>
        </w:rPr>
        <w:t xml:space="preserve">BOM Data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2.2</w:t>
            </w:r>
          </w:p>
        </w:tc>
        <w:tc>
          <w:tcPr/>
          <w:p>
            <w:pPr>
              <w:pStyle w:val="Compact"/>
              <w:jc w:val="left"/>
            </w:pPr>
            <w:r>
              <w:t xml:space="preserve">0.33</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50</w:t>
            </w:r>
          </w:p>
        </w:tc>
        <w:tc>
          <w:tcPr/>
          <w:p>
            <w:pPr>
              <w:pStyle w:val="Compact"/>
              <w:jc w:val="left"/>
            </w:pPr>
            <w:r>
              <w:t xml:space="preserve">g</w:t>
            </w:r>
          </w:p>
        </w:tc>
        <w:tc>
          <w:tcPr/>
          <w:p>
            <w:pPr>
              <w:pStyle w:val="Compact"/>
              <w:jc w:val="left"/>
            </w:pPr>
            <w:r>
              <w:t xml:space="preserve">6.5</w:t>
            </w:r>
          </w:p>
        </w:tc>
        <w:tc>
          <w:tcPr/>
          <w:p>
            <w:pPr>
              <w:pStyle w:val="Compact"/>
              <w:jc w:val="left"/>
            </w:pPr>
            <w:r>
              <w:t xml:space="preserve">0.325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20</w:t>
            </w:r>
          </w:p>
        </w:tc>
        <w:tc>
          <w:tcPr/>
          <w:p>
            <w:pPr>
              <w:pStyle w:val="Compact"/>
              <w:jc w:val="left"/>
            </w:pPr>
            <w:r>
              <w:t xml:space="preserve">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10</w:t>
            </w:r>
          </w:p>
        </w:tc>
        <w:tc>
          <w:tcPr/>
          <w:p>
            <w:pPr>
              <w:pStyle w:val="Compact"/>
              <w:jc w:val="left"/>
            </w:pPr>
            <w:r>
              <w:t xml:space="preserve">g</w:t>
            </w:r>
          </w:p>
        </w:tc>
        <w:tc>
          <w:tcPr/>
          <w:p>
            <w:pPr>
              <w:pStyle w:val="Compact"/>
              <w:jc w:val="left"/>
            </w:pPr>
            <w:r>
              <w:t xml:space="preserve">4.0</w:t>
            </w:r>
          </w:p>
        </w:tc>
        <w:tc>
          <w:tcPr/>
          <w:p>
            <w:pPr>
              <w:pStyle w:val="Compact"/>
              <w:jc w:val="left"/>
            </w:pPr>
            <w:r>
              <w:t xml:space="preserve">0.04</w:t>
            </w:r>
          </w:p>
        </w:tc>
      </w:tr>
    </w:tbl>
    <w:p>
      <w:pPr>
        <w:pStyle w:val="BodyText"/>
      </w:pPr>
      <w:r>
        <w:rPr>
          <w:bCs/>
          <w:b/>
        </w:rPr>
        <w:t xml:space="preserve">Total Product Weight:</w:t>
      </w:r>
      <w:r>
        <w:t xml:space="preserve"> </w:t>
      </w:r>
      <w:r>
        <w:t xml:space="preserve">0.23 kg (sum of quantities converted to kg)</w:t>
      </w:r>
    </w:p>
    <w:p>
      <w:pPr>
        <w:pStyle w:val="BodyText"/>
      </w:pPr>
      <w:r>
        <w:rPr>
          <w:bCs/>
          <w:b/>
        </w:rPr>
        <w:t xml:space="preserve">Total Material Emissions:</w:t>
      </w:r>
      <w:r>
        <w:t xml:space="preserve"> </w:t>
      </w:r>
      <w:r>
        <w:t xml:space="preserve">0.995 kgCO2e</w:t>
      </w:r>
    </w:p>
    <w:bookmarkEnd w:id="26"/>
    <w:bookmarkStart w:id="27" w:name="X72f1f4c7afd185c719f93f4b7b809563d8b9e8d"/>
    <w:p>
      <w:pPr>
        <w:pStyle w:val="Heading4"/>
      </w:pPr>
      <w:r>
        <w:t xml:space="preserve">3.2.2. Production Phase Energy Inputs (Scope 2 &amp; 3 - Upstream)</w:t>
      </w:r>
    </w:p>
    <w:p>
      <w:pPr>
        <w:pStyle w:val="FirstParagraph"/>
      </w:pPr>
      <w:r>
        <w:t xml:space="preserve">The manufacturing process of zxhtwnghss occurs in China. Energy consumption and its associated emissions are a significant part of the production footprint.</w:t>
      </w:r>
    </w:p>
    <w:p>
      <w:pPr>
        <w:numPr>
          <w:ilvl w:val="0"/>
          <w:numId w:val="1005"/>
        </w:numPr>
        <w:pStyle w:val="Compact"/>
      </w:pPr>
      <w:r>
        <w:rPr>
          <w:bCs/>
          <w:b/>
        </w:rPr>
        <w:t xml:space="preserve">Renewable Energy Usage:</w:t>
      </w:r>
      <w:r>
        <w:t xml:space="preserve"> </w:t>
      </w:r>
      <w:r>
        <w:t xml:space="preserve">ynfjfkpeym (Assumed for calculation: 75% renewable)</w:t>
      </w:r>
    </w:p>
    <w:p>
      <w:pPr>
        <w:numPr>
          <w:ilvl w:val="0"/>
          <w:numId w:val="1005"/>
        </w:numPr>
        <w:pStyle w:val="Compact"/>
      </w:pPr>
      <w:r>
        <w:rPr>
          <w:bCs/>
          <w:b/>
        </w:rPr>
        <w:t xml:space="preserve">Energy Intensity (kWh/unit):</w:t>
      </w:r>
      <w:r>
        <w:t xml:space="preserve"> </w:t>
      </w:r>
      <w:r>
        <w:t xml:space="preserve">wgvoygixdz (Assumed for calculation: 2.5 kWh/unit)</w:t>
      </w:r>
    </w:p>
    <w:p>
      <w:pPr>
        <w:pStyle w:val="FirstParagraph"/>
      </w:pPr>
      <w:r>
        <w:rPr>
          <w:bCs/>
          <w:b/>
        </w:rPr>
        <w:t xml:space="preserve">Assumed Emission Factors for Calculation:</w:t>
      </w:r>
    </w:p>
    <w:p>
      <w:pPr>
        <w:numPr>
          <w:ilvl w:val="0"/>
          <w:numId w:val="1006"/>
        </w:numPr>
        <w:pStyle w:val="Compact"/>
      </w:pPr>
      <w:r>
        <w:t xml:space="preserve">China Grid Electricity Mix: 0.6205 kgCO2e/kWh (2023 national average)</w:t>
      </w:r>
    </w:p>
    <w:p>
      <w:pPr>
        <w:numPr>
          <w:ilvl w:val="0"/>
          <w:numId w:val="1006"/>
        </w:numPr>
        <w:pStyle w:val="Compact"/>
      </w:pPr>
      <w:r>
        <w:t xml:space="preserve">Renewable Electricity (embodied emissions): 0.01 kgCO2e/kWh (representing upstream emissions of renewable generation)</w:t>
      </w:r>
    </w:p>
    <w:bookmarkEnd w:id="27"/>
    <w:bookmarkStart w:id="28" w:name="X0279c076aa1fd8d40847aa94c0604f1bfffb70d"/>
    <w:p>
      <w:pPr>
        <w:pStyle w:val="Heading4"/>
      </w:pPr>
      <w:r>
        <w:t xml:space="preserve">3.2.3. Transport &amp; Logistics Data (Scope 3 - Upstream &amp; Downstream)</w:t>
      </w:r>
    </w:p>
    <w:p>
      <w:pPr>
        <w:pStyle w:val="FirstParagraph"/>
      </w:pPr>
      <w:r>
        <w:t xml:space="preserve">Transportation impacts cover the movement of materials to the factory and the finished product to the consumer.</w:t>
      </w:r>
    </w:p>
    <w:p>
      <w:pPr>
        <w:numPr>
          <w:ilvl w:val="0"/>
          <w:numId w:val="1007"/>
        </w:numPr>
        <w:pStyle w:val="Compact"/>
      </w:pPr>
      <w:r>
        <w:rPr>
          <w:bCs/>
          <w:b/>
        </w:rPr>
        <w:t xml:space="preserve">Transport Mode (main):</w:t>
      </w:r>
      <w:r>
        <w:t xml:space="preserve"> </w:t>
      </w:r>
      <w:r>
        <w:t xml:space="preserve">Select Mode (Assumed for calculation: Road Freight - Heavy Goods Vehicle)</w:t>
      </w:r>
    </w:p>
    <w:p>
      <w:pPr>
        <w:numPr>
          <w:ilvl w:val="0"/>
          <w:numId w:val="1007"/>
        </w:numPr>
        <w:pStyle w:val="Compact"/>
      </w:pPr>
      <w:r>
        <w:rPr>
          <w:bCs/>
          <w:b/>
        </w:rPr>
        <w:t xml:space="preserve">Transport Distance (main):</w:t>
      </w:r>
      <w:r>
        <w:t xml:space="preserve"> </w:t>
      </w:r>
      <w:r>
        <w:t xml:space="preserve">mjdkhestrg (Assumed for calculation: 1500 km)</w:t>
      </w:r>
    </w:p>
    <w:p>
      <w:pPr>
        <w:numPr>
          <w:ilvl w:val="0"/>
          <w:numId w:val="1007"/>
        </w:numPr>
        <w:pStyle w:val="Compact"/>
      </w:pPr>
      <w:r>
        <w:rPr>
          <w:bCs/>
          <w:b/>
        </w:rPr>
        <w:t xml:space="preserve">Last-Mile Delivery Channel:</w:t>
      </w:r>
      <w:r>
        <w:t xml:space="preserve"> </w:t>
      </w:r>
      <w:r>
        <w:t xml:space="preserve">Delivery Type (Assumed for calculation: Standard Parcel Delivery)</w:t>
      </w:r>
    </w:p>
    <w:p>
      <w:pPr>
        <w:pStyle w:val="FirstParagraph"/>
      </w:pPr>
      <w:r>
        <w:rPr>
          <w:bCs/>
          <w:b/>
        </w:rPr>
        <w:t xml:space="preserve">Assumed Emission Factors for Calculation:</w:t>
      </w:r>
    </w:p>
    <w:p>
      <w:pPr>
        <w:numPr>
          <w:ilvl w:val="0"/>
          <w:numId w:val="1008"/>
        </w:numPr>
        <w:pStyle w:val="Compact"/>
      </w:pPr>
      <w:r>
        <w:t xml:space="preserve">Road Freight (HGV, laden average): 0.1 kgCO2e/tonne-km (Europe focused, simplified from DEFRA/EPA data)</w:t>
      </w:r>
    </w:p>
    <w:p>
      <w:pPr>
        <w:numPr>
          <w:ilvl w:val="0"/>
          <w:numId w:val="1008"/>
        </w:numPr>
        <w:pStyle w:val="Compact"/>
      </w:pPr>
      <w:r>
        <w:t xml:space="preserve">Last-Mile Parcel Delivery: 0.25 kgCO2e/unit (simplified average for consumer parcel delivery)</w:t>
      </w:r>
    </w:p>
    <w:bookmarkEnd w:id="28"/>
    <w:bookmarkStart w:id="29" w:name="use-phase-data-scope-3---downstream"/>
    <w:p>
      <w:pPr>
        <w:pStyle w:val="Heading4"/>
      </w:pPr>
      <w:r>
        <w:t xml:space="preserve">3.2.4. Use Phase Data (Scope 3 - Downstream)</w:t>
      </w:r>
    </w:p>
    <w:p>
      <w:pPr>
        <w:pStyle w:val="FirstParagraph"/>
      </w:pPr>
      <w:r>
        <w:t xml:space="preserve">The emissions during the product\'s use are calculated based on its lifespan and energy consumption.</w:t>
      </w:r>
    </w:p>
    <w:p>
      <w:pPr>
        <w:numPr>
          <w:ilvl w:val="0"/>
          <w:numId w:val="1009"/>
        </w:numPr>
        <w:pStyle w:val="Compact"/>
      </w:pPr>
      <w:r>
        <w:rPr>
          <w:bCs/>
          <w:b/>
        </w:rPr>
        <w:t xml:space="preserve">Product Lifespan:</w:t>
      </w:r>
      <w:r>
        <w:t xml:space="preserve"> </w:t>
      </w:r>
      <w:r>
        <w:t xml:space="preserve">ypyiydsvqu (Assumed for calculation: 3 years)</w:t>
      </w:r>
    </w:p>
    <w:p>
      <w:pPr>
        <w:numPr>
          <w:ilvl w:val="0"/>
          <w:numId w:val="1009"/>
        </w:numPr>
        <w:pStyle w:val="Compact"/>
      </w:pPr>
      <w:r>
        <w:rPr>
          <w:bCs/>
          <w:b/>
        </w:rPr>
        <w:t xml:space="preserve">Energy Consumption in Use:</w:t>
      </w:r>
      <w:r>
        <w:t xml:space="preserve"> </w:t>
      </w:r>
      <w:r>
        <w:t xml:space="preserve">vpwlpiyoji (Assumed for calculation: 8 kWh/year)</w:t>
      </w:r>
    </w:p>
    <w:p>
      <w:pPr>
        <w:pStyle w:val="FirstParagraph"/>
      </w:pPr>
      <w:r>
        <w:rPr>
          <w:bCs/>
          <w:b/>
        </w:rPr>
        <w:t xml:space="preserve">Assumed Emission Factor for Calculation:</w:t>
      </w:r>
    </w:p>
    <w:p>
      <w:pPr>
        <w:numPr>
          <w:ilvl w:val="0"/>
          <w:numId w:val="1010"/>
        </w:numPr>
        <w:pStyle w:val="Compact"/>
      </w:pPr>
      <w:r>
        <w:t xml:space="preserve">Consumer Electricity Grid Mix: 0.25 kgCO2e/kWh (generic European average, simplified, as specific consumer grid is not defined in "Europe Focused" for downstream use)</w:t>
      </w:r>
    </w:p>
    <w:bookmarkEnd w:id="29"/>
    <w:bookmarkStart w:id="30" w:name="X2449e76f36fce2c9fec3c701a472f020b80894d"/>
    <w:p>
      <w:pPr>
        <w:pStyle w:val="Heading4"/>
      </w:pPr>
      <w:r>
        <w:t xml:space="preserve">3.2.5. End-of-Life (EoL) Scenarios (Scope 3 - Downstream)</w:t>
      </w:r>
    </w:p>
    <w:p>
      <w:pPr>
        <w:pStyle w:val="FirstParagraph"/>
      </w:pPr>
      <w:r>
        <w:t xml:space="preserve">The impact of the product at the end of its life is considered through recyclability and circular economy programs.</w:t>
      </w:r>
    </w:p>
    <w:p>
      <w:pPr>
        <w:numPr>
          <w:ilvl w:val="0"/>
          <w:numId w:val="1011"/>
        </w:numPr>
        <w:pStyle w:val="Compact"/>
      </w:pPr>
      <w:r>
        <w:rPr>
          <w:bCs/>
          <w:b/>
        </w:rPr>
        <w:t xml:space="preserve">Recyclability Percentage:</w:t>
      </w:r>
      <w:r>
        <w:t xml:space="preserve"> </w:t>
      </w:r>
      <w:r>
        <w:t xml:space="preserve">fmrjkwgshe (Assumed for calculation: 60%)</w:t>
      </w:r>
    </w:p>
    <w:p>
      <w:pPr>
        <w:numPr>
          <w:ilvl w:val="0"/>
          <w:numId w:val="1011"/>
        </w:numPr>
        <w:pStyle w:val="Compact"/>
      </w:pPr>
      <w:r>
        <w:rPr>
          <w:bCs/>
          <w:b/>
        </w:rPr>
        <w:t xml:space="preserve">Circular/Take-back Programs:</w:t>
      </w:r>
      <w:r>
        <w:t xml:space="preserve"> </w:t>
      </w:r>
      <w:r>
        <w:t xml:space="preserve">fysvxgvyvn (Assumed: Yes, regional collection points available)</w:t>
      </w:r>
    </w:p>
    <w:p>
      <w:pPr>
        <w:pStyle w:val="FirstParagraph"/>
      </w:pPr>
      <w:r>
        <w:rPr>
          <w:bCs/>
          <w:b/>
        </w:rPr>
        <w:t xml:space="preserve">Assumed Emission Factors for Calculation:</w:t>
      </w:r>
    </w:p>
    <w:p>
      <w:pPr>
        <w:numPr>
          <w:ilvl w:val="0"/>
          <w:numId w:val="1012"/>
        </w:numPr>
        <w:pStyle w:val="Compact"/>
      </w:pPr>
      <w:r>
        <w:t xml:space="preserve">Recycling Credit (average for mixed materials): -1.0 kgCO2e/kg (reflecting avoided virgin production)</w:t>
      </w:r>
    </w:p>
    <w:p>
      <w:pPr>
        <w:numPr>
          <w:ilvl w:val="0"/>
          <w:numId w:val="1012"/>
        </w:numPr>
        <w:pStyle w:val="Compact"/>
      </w:pPr>
      <w:r>
        <w:t xml:space="preserve">Waste Treatment (non-recycled portion, e.g., landfill/incineration): 0.1 kgCO2e/kg</w:t>
      </w:r>
    </w:p>
    <w:bookmarkEnd w:id="30"/>
    <w:bookmarkEnd w:id="31"/>
    <w:bookmarkStart w:id="37" w:name="calculate-emissions-step-4"/>
    <w:p>
      <w:pPr>
        <w:pStyle w:val="Heading3"/>
      </w:pPr>
      <w:r>
        <w:t xml:space="preserve">3.3. Calculate Emissions (Step 4)</w:t>
      </w:r>
    </w:p>
    <w:bookmarkStart w:id="32" w:name="X057ce896d4a1f837cad62054593f6bf20c2c236"/>
    <w:p>
      <w:pPr>
        <w:pStyle w:val="Heading4"/>
      </w:pPr>
      <w:r>
        <w:t xml:space="preserve">3.3.1. Material Acquisition &amp; Processing (Scope 3, Category 1: Purchased Goods and Services)</w:t>
      </w:r>
    </w:p>
    <w:p>
      <w:pPr>
        <w:pStyle w:val="FirstParagraph"/>
      </w:pPr>
      <w:r>
        <w:t xml:space="preserve">Emissions from the extraction and processing of raw materials as per the BOM.</w:t>
      </w:r>
    </w:p>
    <w:p>
      <w:pPr>
        <w:pStyle w:val="BodyText"/>
      </w:pPr>
      <w:r>
        <w:rPr>
          <w:bCs/>
          <w:b/>
        </w:rPr>
        <w:t xml:space="preserve">Calculation:</w:t>
      </w:r>
      <w:r>
        <w:t xml:space="preserve"> </w:t>
      </w:r>
      <w:r>
        <w:t xml:space="preserve">Sum of \'Total Carbon\' from BOM = 0.995 kgCO2e.</w:t>
      </w:r>
    </w:p>
    <w:bookmarkEnd w:id="32"/>
    <w:bookmarkStart w:id="33" w:name="X7cd6c4ad822be9527312ea6d1299e8b2afe97ff"/>
    <w:p>
      <w:pPr>
        <w:pStyle w:val="Heading4"/>
      </w:pPr>
      <w:r>
        <w:t xml:space="preserve">3.3.2. Manufacturing (Scope 2: Purchased Electricity)</w:t>
      </w:r>
    </w:p>
    <w:p>
      <w:pPr>
        <w:pStyle w:val="FirstParagraph"/>
      </w:pPr>
      <w:r>
        <w:t xml:space="preserve">Emissions from energy consumed during the production of zxhtwnghss in China.</w:t>
      </w:r>
    </w:p>
    <w:p>
      <w:pPr>
        <w:pStyle w:val="BodyText"/>
      </w:pPr>
      <w:r>
        <w:rPr>
          <w:bCs/>
          <w:b/>
        </w:rPr>
        <w:t xml:space="preserve">Calculation:</w:t>
      </w:r>
    </w:p>
    <w:p>
      <w:pPr>
        <w:numPr>
          <w:ilvl w:val="0"/>
          <w:numId w:val="1013"/>
        </w:numPr>
        <w:pStyle w:val="Compact"/>
      </w:pPr>
      <w:r>
        <w:t xml:space="preserve">Non-renewable energy consumption = Energy Intensity * (1 - Renewable Energy Usage)</w:t>
      </w:r>
    </w:p>
    <w:p>
      <w:pPr>
        <w:numPr>
          <w:ilvl w:val="0"/>
          <w:numId w:val="1013"/>
        </w:numPr>
        <w:pStyle w:val="Compact"/>
      </w:pPr>
      <w:r>
        <w:t xml:space="preserve">Non-renewable energy emissions = Non-renewable energy consumption * China Grid Electricity Mix EF</w:t>
      </w:r>
    </w:p>
    <w:p>
      <w:pPr>
        <w:numPr>
          <w:ilvl w:val="0"/>
          <w:numId w:val="1013"/>
        </w:numPr>
        <w:pStyle w:val="Compact"/>
      </w:pPr>
      <w:r>
        <w:t xml:space="preserve">Renewable energy emissions (embodied) = Energy Intensity * Renewable Energy Usage * Renewable Electricity Embodied EF</w:t>
      </w:r>
    </w:p>
    <w:p>
      <w:pPr>
        <w:pStyle w:val="FirstParagraph"/>
      </w:pPr>
      <w:r>
        <w:t xml:space="preserve">Non-renewable energy usage = 2.5 kWh/unit * (1 - 0.75) = 0.625 kWh/unit</w:t>
      </w:r>
      <w:r>
        <w:br/>
      </w:r>
      <w:r>
        <w:t xml:space="preserve">Non-renewable energy emissions = 0.625 kWh/unit * 0.6205 kgCO2e/kWh = 0.3878 kgCO2e/unit</w:t>
      </w:r>
      <w:r>
        <w:br/>
      </w:r>
      <w:r>
        <w:t xml:space="preserve">Renewable energy emissions (embodied) = 2.5 kWh/unit * 0.75 * 0.01 kgCO2e/kWh = 0.0188 kgCO2e/unit</w:t>
      </w:r>
      <w:r>
        <w:br/>
      </w:r>
      <w:r>
        <w:rPr>
          <w:bCs/>
          <w:b/>
        </w:rPr>
        <w:t xml:space="preserve">Total Manufacturing Energy Emissions:</w:t>
      </w:r>
      <w:r>
        <w:t xml:space="preserve"> </w:t>
      </w:r>
      <w:r>
        <w:t xml:space="preserve">0.3878 + 0.0188 = 0.4066 kgCO2e/unit</w:t>
      </w:r>
    </w:p>
    <w:bookmarkEnd w:id="33"/>
    <w:bookmarkStart w:id="34" w:name="Xd4941cbe2e9e600ebf8f4176ed9bd5234c4613d"/>
    <w:p>
      <w:pPr>
        <w:pStyle w:val="Heading4"/>
      </w:pPr>
      <w:r>
        <w:t xml:space="preserve">3.3.3. Transportation &amp; Distribution (Scope 3, Category 4: Upstream &amp; Downstream Transportation and Distribution)</w:t>
      </w:r>
    </w:p>
    <w:p>
      <w:pPr>
        <w:pStyle w:val="FirstParagraph"/>
      </w:pPr>
      <w:r>
        <w:t xml:space="preserve">Emissions from transporting materials to the factory and the finished product to the customer.</w:t>
      </w:r>
    </w:p>
    <w:p>
      <w:pPr>
        <w:pStyle w:val="BodyText"/>
      </w:pPr>
      <w:r>
        <w:rPr>
          <w:bCs/>
          <w:b/>
        </w:rPr>
        <w:t xml:space="preserve">Calculation:</w:t>
      </w:r>
    </w:p>
    <w:p>
      <w:pPr>
        <w:numPr>
          <w:ilvl w:val="0"/>
          <w:numId w:val="1014"/>
        </w:numPr>
        <w:pStyle w:val="Compact"/>
      </w:pPr>
      <w:r>
        <w:t xml:space="preserve">Main Transport Emissions = Product Weight * Transport Distance * Road Freight EF</w:t>
      </w:r>
    </w:p>
    <w:p>
      <w:pPr>
        <w:numPr>
          <w:ilvl w:val="0"/>
          <w:numId w:val="1014"/>
        </w:numPr>
        <w:pStyle w:val="Compact"/>
      </w:pPr>
      <w:r>
        <w:t xml:space="preserve">Last-Mile Delivery Emissions = Last-Mile Delivery EF per unit</w:t>
      </w:r>
    </w:p>
    <w:p>
      <w:pPr>
        <w:pStyle w:val="FirstParagraph"/>
      </w:pPr>
      <w:r>
        <w:t xml:space="preserve">Product Weight = 0.23 kg = 0.00023 tonnes</w:t>
      </w:r>
      <w:r>
        <w:br/>
      </w:r>
      <w:r>
        <w:t xml:space="preserve">Main Transport Emissions = 0.00023 tonnes * 1500 km * 0.1 kgCO2e/tonne-km = 0.0345 kgCO2e/unit</w:t>
      </w:r>
      <w:r>
        <w:br/>
      </w:r>
      <w:r>
        <w:t xml:space="preserve">Last-Mile Delivery Emissions = 0.25 kgCO2e/unit</w:t>
      </w:r>
      <w:r>
        <w:br/>
      </w:r>
      <w:r>
        <w:rPr>
          <w:bCs/>
          <w:b/>
        </w:rPr>
        <w:t xml:space="preserve">Total Transport Emissions:</w:t>
      </w:r>
      <w:r>
        <w:t xml:space="preserve"> </w:t>
      </w:r>
      <w:r>
        <w:t xml:space="preserve">0.0345 + 0.25 = 0.2845 kgCO2e/unit</w:t>
      </w:r>
    </w:p>
    <w:bookmarkEnd w:id="34"/>
    <w:bookmarkStart w:id="35" w:name="Xc8d47610e025d3b1fe367d676386ecee874efa3"/>
    <w:p>
      <w:pPr>
        <w:pStyle w:val="Heading4"/>
      </w:pPr>
      <w:r>
        <w:t xml:space="preserve">3.3.4. Use Phase (Scope 3, Category 11: Use of Sold Products)</w:t>
      </w:r>
    </w:p>
    <w:p>
      <w:pPr>
        <w:pStyle w:val="FirstParagraph"/>
      </w:pPr>
      <w:r>
        <w:t xml:space="preserve">Emissions from the electricity consumed by the product during its functional lifespan.</w:t>
      </w:r>
    </w:p>
    <w:p>
      <w:pPr>
        <w:pStyle w:val="BodyText"/>
      </w:pPr>
      <w:r>
        <w:rPr>
          <w:bCs/>
          <w:b/>
        </w:rPr>
        <w:t xml:space="preserve">Calculation:</w:t>
      </w:r>
      <w:r>
        <w:t xml:space="preserve"> </w:t>
      </w:r>
      <w:r>
        <w:t xml:space="preserve">Energy Consumption in Use * Product Lifespan * Consumer Electricity Grid Mix EF</w:t>
      </w:r>
    </w:p>
    <w:p>
      <w:pPr>
        <w:pStyle w:val="BodyText"/>
      </w:pPr>
      <w:r>
        <w:t xml:space="preserve">Use Phase Emissions = 8 kWh/year * 3 years * 0.25 kgCO2e/kWh = 6.00 kgCO2e/unit</w:t>
      </w:r>
      <w:r>
        <w:br/>
      </w:r>
      <w:r>
        <w:rPr>
          <w:bCs/>
          <w:b/>
        </w:rPr>
        <w:t xml:space="preserve">Total Use Phase Emissions:</w:t>
      </w:r>
      <w:r>
        <w:t xml:space="preserve"> </w:t>
      </w:r>
      <w:r>
        <w:t xml:space="preserve">6.00 kgCO2e/unit</w:t>
      </w:r>
    </w:p>
    <w:bookmarkEnd w:id="35"/>
    <w:bookmarkStart w:id="36" w:name="X9982929b618de862c11111658ccce8db3e98553"/>
    <w:p>
      <w:pPr>
        <w:pStyle w:val="Heading4"/>
      </w:pPr>
      <w:r>
        <w:t xml:space="preserve">3.3.5. End-of-Life (EoL) (Scope 3, Category 12: End-of-Life Treatment of Sold Products)</w:t>
      </w:r>
    </w:p>
    <w:p>
      <w:pPr>
        <w:pStyle w:val="FirstParagraph"/>
      </w:pPr>
      <w:r>
        <w:t xml:space="preserve">Emissions/credits associated with the disposal or recycling of the product.</w:t>
      </w:r>
    </w:p>
    <w:p>
      <w:pPr>
        <w:pStyle w:val="BodyText"/>
      </w:pPr>
      <w:r>
        <w:rPr>
          <w:bCs/>
          <w:b/>
        </w:rPr>
        <w:t xml:space="preserve">Calculation:</w:t>
      </w:r>
    </w:p>
    <w:p>
      <w:pPr>
        <w:numPr>
          <w:ilvl w:val="0"/>
          <w:numId w:val="1015"/>
        </w:numPr>
        <w:pStyle w:val="Compact"/>
      </w:pPr>
      <w:r>
        <w:t xml:space="preserve">Recycled Portion Credit = Product Weight * Recyclability Percentage * Recycling Credit EF</w:t>
      </w:r>
    </w:p>
    <w:p>
      <w:pPr>
        <w:numPr>
          <w:ilvl w:val="0"/>
          <w:numId w:val="1015"/>
        </w:numPr>
        <w:pStyle w:val="Compact"/>
      </w:pPr>
      <w:r>
        <w:t xml:space="preserve">Waste Treatment Emissions = Product Weight * (1 - Recyclability Percentage) * Waste Treatment EF</w:t>
      </w:r>
    </w:p>
    <w:p>
      <w:pPr>
        <w:pStyle w:val="FirstParagraph"/>
      </w:pPr>
      <w:r>
        <w:t xml:space="preserve">Recycled Portion Credit = 0.23 kg * 0.60 * (-1.0 kgCO2e/kg) = -0.138 kgCO2e/unit</w:t>
      </w:r>
      <w:r>
        <w:br/>
      </w:r>
      <w:r>
        <w:t xml:space="preserve">Waste Treatment Emissions = 0.23 kg * (1 - 0.60) * 0.1 kgCO2e/kg = 0.0092 kgCO2e/unit</w:t>
      </w:r>
      <w:r>
        <w:br/>
      </w:r>
      <w:r>
        <w:rPr>
          <w:bCs/>
          <w:b/>
        </w:rPr>
        <w:t xml:space="preserve">Total End-of-Life Emissions:</w:t>
      </w:r>
      <w:r>
        <w:t xml:space="preserve"> </w:t>
      </w:r>
      <w:r>
        <w:t xml:space="preserve">-0.138 + 0.0092 = -0.1288 kgCO2e/unit</w:t>
      </w:r>
    </w:p>
    <w:p>
      <w:pPr>
        <w:pStyle w:val="BodyText"/>
      </w:pPr>
      <w:r>
        <w:t xml:space="preserve">The "fysvxgvyvn" (Yes, regional collection points) for circular/take-back programs contribute to achieving the recyclability percentage and potential material recovery, further mitigating EoL impacts.</w:t>
      </w:r>
    </w:p>
    <w:bookmarkEnd w:id="36"/>
    <w:bookmarkEnd w:id="37"/>
    <w:bookmarkStart w:id="38" w:name="X7a3c91ea1acee132d1fc9adc99704c7a9c199d5"/>
    <w:p>
      <w:pPr>
        <w:pStyle w:val="Heading3"/>
      </w:pPr>
      <w:r>
        <w:t xml:space="preserve">3.4. 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0.9950</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0.4066</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0.2845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-0.1288</w:t>
            </w:r>
          </w:p>
        </w:tc>
      </w:tr>
      <w:tr>
        <w:tc>
          <w:tcPr>
            <w:gridSpan w:val="2"/>
          </w:tcPr>
          <w:p>
            <w:pPr>
              <w:pStyle w:val="Compact"/>
              <w:jc w:val="left"/>
            </w:pPr>
            <w:r>
              <w:rPr>
                <w:bCs/>
                <w:b/>
              </w:rPr>
              <w:t xml:space="preserve">TOTAL PRODUCT CARBON FOOTPRINT (PCF) for zxhtwnghss</w:t>
            </w:r>
          </w:p>
        </w:tc>
        <w:tc>
          <w:tcPr/>
          <w:p>
            <w:pPr>
              <w:pStyle w:val="Compact"/>
              <w:jc w:val="left"/>
            </w:pPr>
            <w:r>
              <w:rPr>
                <w:bCs/>
                <w:b/>
              </w:rPr>
              <w:t xml:space="preserve">7.5573 kgCO2e/unit</w:t>
            </w:r>
          </w:p>
        </w:tc>
      </w:tr>
    </w:tbl>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emission-hotspots-and-reliability"/>
    <w:p>
      <w:pPr>
        <w:pStyle w:val="Heading3"/>
      </w:pPr>
      <w:r>
        <w:t xml:space="preserve">4.1. Emission Hotspots and Reliability</w:t>
      </w:r>
    </w:p>
    <w:p>
      <w:pPr>
        <w:pStyle w:val="FirstParagraph"/>
      </w:pPr>
      <w:r>
        <w:t xml:space="preserve">The primary emission hotspot for zxhtwnghss is clearly the</w:t>
      </w:r>
      <w:r>
        <w:t xml:space="preserve"> </w:t>
      </w:r>
      <w:r>
        <w:rPr>
          <w:bCs/>
          <w:b/>
        </w:rPr>
        <w:t xml:space="preserve">Use Phase</w:t>
      </w:r>
      <w:r>
        <w:t xml:space="preserve">, accounting for approximately 79% of the total PCF. This is driven by the product\'s energy consumption over its assumed lifespan. Material acquisition and processing also represent a significant portion (approx. 13%) of the footprint.</w:t>
      </w:r>
    </w:p>
    <w:p>
      <w:pPr>
        <w:pStyle w:val="BodyText"/>
      </w:pPr>
      <w:r>
        <w:t xml:space="preserve">The reliability of this report\'s calculations is directly dependent on the accuracy of the provided input parameters ("ztfijjlg", "mjdkhestrg", "wgvoygixdz", etc.) and the assumed industry-standard emission factors. For increased accuracy, primary data for all supply chain stages, specific transport modes and vehicle types, and regional grid mixes for both production and use phases would be beneficial. The assumption of \'Select Mode\' for transport and \'Delivery Type\' for last-mile delivery introduce a degree of generalization in the logistics calculations. Future assessments should aim to gather more specific data for these parameters.</w:t>
      </w:r>
    </w:p>
    <w:bookmarkEnd w:id="40"/>
    <w:bookmarkStart w:id="41" w:name="recommendations-for-emission-reduction"/>
    <w:p>
      <w:pPr>
        <w:pStyle w:val="Heading3"/>
      </w:pPr>
      <w:r>
        <w:t xml:space="preserve">4.2. Recommendations for Emission Reduction</w:t>
      </w:r>
    </w:p>
    <w:p>
      <w:pPr>
        <w:numPr>
          <w:ilvl w:val="0"/>
          <w:numId w:val="1016"/>
        </w:numPr>
        <w:pStyle w:val="Compact"/>
      </w:pPr>
      <w:r>
        <w:rPr>
          <w:bCs/>
          <w:b/>
        </w:rPr>
        <w:t xml:space="preserve">Prioritize Use Phase Optimization:</w:t>
      </w:r>
      <w:r>
        <w:t xml:space="preserve"> </w:t>
      </w:r>
      <w:r>
        <w:t xml:space="preserve">Invest in R&amp;D to significantly reduce the product\'s energy consumption during its use. This could involve more energy-efficient components, smart energy management features, or exploring alternative power sources for users.</w:t>
      </w:r>
    </w:p>
    <w:p>
      <w:pPr>
        <w:numPr>
          <w:ilvl w:val="0"/>
          <w:numId w:val="1016"/>
        </w:numPr>
        <w:pStyle w:val="Compact"/>
      </w:pPr>
      <w:r>
        <w:rPr>
          <w:bCs/>
          <w:b/>
        </w:rPr>
        <w:t xml:space="preserve">Material Optimization:</w:t>
      </w:r>
      <w:r>
        <w:t xml:space="preserve"> </w:t>
      </w:r>
      <w:r>
        <w:t xml:space="preserve">Explore opportunities to substitute high-impact materials (e.g., Circuit Board, Aluminum Frame) with lower-carbon alternatives or increase the use of recycled content beyond current levels.</w:t>
      </w:r>
    </w:p>
    <w:p>
      <w:pPr>
        <w:numPr>
          <w:ilvl w:val="0"/>
          <w:numId w:val="1016"/>
        </w:numPr>
        <w:pStyle w:val="Compact"/>
      </w:pPr>
      <w:r>
        <w:rPr>
          <w:bCs/>
          <w:b/>
        </w:rPr>
        <w:t xml:space="preserve">Supplier Engagement:</w:t>
      </w:r>
      <w:r>
        <w:t xml:space="preserve"> </w:t>
      </w:r>
      <w:r>
        <w:t xml:space="preserve">Collaborate with suppliers to understand and reduce the embodied emissions in purchased goods and services (Scope 3, Category 1). Encourage suppliers to use renewable energy and implement cleaner production processes.</w:t>
      </w:r>
    </w:p>
    <w:p>
      <w:pPr>
        <w:numPr>
          <w:ilvl w:val="0"/>
          <w:numId w:val="1016"/>
        </w:numPr>
        <w:pStyle w:val="Compact"/>
      </w:pPr>
      <w:r>
        <w:rPr>
          <w:bCs/>
          <w:b/>
        </w:rPr>
        <w:t xml:space="preserve">Logistics Optimization:</w:t>
      </w:r>
      <w:r>
        <w:t xml:space="preserve"> </w:t>
      </w:r>
      <w:r>
        <w:t xml:space="preserve">While the current transport is assumed as road freight, optimize routes, consider more efficient transport modes (e.g., rail or sea for longer distances where feasible), and consolidate shipments to reduce emissions per unit.</w:t>
      </w:r>
    </w:p>
    <w:p>
      <w:pPr>
        <w:numPr>
          <w:ilvl w:val="0"/>
          <w:numId w:val="1016"/>
        </w:numPr>
        <w:pStyle w:val="Compact"/>
      </w:pPr>
      <w:r>
        <w:rPr>
          <w:bCs/>
          <w:b/>
        </w:rPr>
        <w:t xml:space="preserve">Enhance Circularity:</w:t>
      </w:r>
      <w:r>
        <w:t xml:space="preserve"> </w:t>
      </w:r>
      <w:r>
        <w:t xml:space="preserve">Further develop and promote "fysvxgvyvn" (circular/take-back programs) to maximize the collection and effective recycling of products at their end-of-life, potentially increasing the "fmrjkwgshe" (recyclability percentage) and achieving higher recycling credits.</w:t>
      </w:r>
    </w:p>
    <w:p>
      <w:pPr>
        <w:numPr>
          <w:ilvl w:val="0"/>
          <w:numId w:val="1016"/>
        </w:numPr>
        <w:pStyle w:val="Compact"/>
      </w:pPr>
      <w:r>
        <w:rPr>
          <w:bCs/>
          <w:b/>
        </w:rPr>
        <w:t xml:space="preserve">Renewable Energy Sourcing:</w:t>
      </w:r>
      <w:r>
        <w:t xml:space="preserve"> </w:t>
      </w:r>
      <w:r>
        <w:t xml:space="preserve">Continue to increase renewable energy usage beyond "ynfjfkpeym" (75%) in manufacturing facilities in China. Explore options for directly procuring renewable energy or purchasing high-quality renewable energy certificates.</w:t>
      </w:r>
    </w:p>
    <w:p>
      <w:r>
        <w:pict>
          <v:rect style="width:0;height:1.5pt" o:hralign="center" o:hrstd="t" o:hr="t"/>
        </w:pict>
      </w:r>
    </w:p>
    <w:bookmarkEnd w:id="41"/>
    <w:bookmarkStart w:id="42" w:name="conclusion"/>
    <w:p>
      <w:pPr>
        <w:pStyle w:val="Heading3"/>
      </w:pPr>
      <w:r>
        <w:t xml:space="preserve">4.3. Conclusion</w:t>
      </w:r>
    </w:p>
    <w:p>
      <w:pPr>
        <w:pStyle w:val="FirstParagraph"/>
      </w:pPr>
      <w:r>
        <w:t xml:space="preserve">The Product Carbon Footprint for one unit of zxhtwnghss is calculated to be</w:t>
      </w:r>
      <w:r>
        <w:t xml:space="preserve"> </w:t>
      </w:r>
      <w:r>
        <w:rPr>
          <w:bCs/>
          <w:b/>
        </w:rPr>
        <w:t xml:space="preserve">7.5573 kgCO2e</w:t>
      </w:r>
      <w:r>
        <w:t xml:space="preserve">. The most significant contributor to this footprint is the product\'s use phase, followed by material acquisition and manufacturing energy. Addressing these hotspots through design, energy efficiency, and supply chain engagement will be crucial for "ozftnlrevu" to achieve significant emission reductions for zxhtwnghss and align with broader sustainability goals and the evolving requirements of the GHG Protocol, including the 2026 LSR Standard.</w:t>
      </w:r>
    </w:p>
    <w:p>
      <w:pPr>
        <w:pStyle w:val="BodyText"/>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zxhtwnghss</dc:title>
  <dc:creator/>
  <dc:description>High-detail Product Carbon Footprint (PCF) analysis report for zxhtwnghss, conducted by ozftnlrevu, adhering to GHG Protocol and 2026 LSR Standard updates.</dc:description>
  <dc:language>en</dc:language>
  <cp:keywords/>
  <dcterms:created xsi:type="dcterms:W3CDTF">2026-05-30T10:34:00Z</dcterms:created>
  <dcterms:modified xsi:type="dcterms:W3CDTF">2026-05-30T10:34:00Z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