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zviwykulqo</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rPr>
          <w:bCs/>
          <w:b/>
        </w:rPr>
        <w:t xml:space="preserve">zviwykulqo</w:t>
      </w:r>
    </w:p>
    <w:p>
      <w:pPr>
        <w:pStyle w:val="BodyText"/>
      </w:pPr>
      <w:r>
        <w:t xml:space="preserve">Company:</w:t>
      </w:r>
      <w:r>
        <w:t xml:space="preserve"> </w:t>
      </w:r>
      <w:r>
        <w:rPr>
          <w:bCs/>
          <w:b/>
        </w:rPr>
        <w:t xml:space="preserve">zupxksmxov</w:t>
      </w:r>
    </w:p>
    <w:p>
      <w:pPr>
        <w:pStyle w:val="BodyText"/>
      </w:pPr>
      <w:r>
        <w:t xml:space="preserve">Senior Sustainability Consultant:</w:t>
      </w:r>
      <w:r>
        <w:t xml:space="preserve"> </w:t>
      </w:r>
      <w:r>
        <w:rPr>
          <w:bCs/>
          <w:b/>
        </w:rPr>
        <w:t xml:space="preserve">guwwwuxhhi</w:t>
      </w:r>
    </w:p>
    <w:p>
      <w:pPr>
        <w:pStyle w:val="BodyText"/>
      </w:pPr>
      <w:r>
        <w:t xml:space="preserve">Protocol Data (Accounting Standard): GHG Protocol</w:t>
      </w:r>
    </w:p>
    <w:p>
      <w:pPr>
        <w:pStyle w:val="BodyText"/>
      </w:pPr>
      <w:r>
        <w:t xml:space="preserve">Disclaimer: This report is generated based on available data and industry standards.</w:t>
      </w:r>
      <w:r>
        <w:t xml:space="preserve"> </w:t>
      </w:r>
      <w:r>
        <w:t xml:space="preserve">The accuracy of the calculations is dependent on the completeness and quality of the</w:t>
      </w:r>
      <w:r>
        <w:t xml:space="preserve"> </w:t>
      </w:r>
      <w:r>
        <w:t xml:space="preserve">provided input parameters and general emission factors.</w:t>
      </w:r>
    </w:p>
    <w:bookmarkEnd w:id="20"/>
    <w:bookmarkStart w:id="21" w:name="Xb65d1dc62243ca911da46e8d00097f99eae951a"/>
    <w:p>
      <w:pPr>
        <w:pStyle w:val="Heading1"/>
      </w:pPr>
      <w:r>
        <w:t xml:space="preserve">Product Carbon Footprint Analysis for zviwykulqo</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guwwwuxhhi</w:t>
      </w:r>
    </w:p>
    <w:p>
      <w:pPr>
        <w:pStyle w:val="BodyText"/>
      </w:pPr>
      <w:r>
        <w:rPr>
          <w:bCs/>
          <w:b/>
        </w:rPr>
        <w:t xml:space="preserve">Company:</w:t>
      </w:r>
      <w:r>
        <w:t xml:space="preserve"> </w:t>
      </w:r>
      <w:r>
        <w:t xml:space="preserve">zupxksmxov</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zviwykulqo</w:t>
      </w:r>
      <w:r>
        <w:t xml:space="preserve">, manufactured by</w:t>
      </w:r>
      <w:r>
        <w:t xml:space="preserve"> </w:t>
      </w:r>
      <w:r>
        <w:rPr>
          <w:bCs/>
          <w:b/>
        </w:rPr>
        <w:t xml:space="preserve">zupxksmxov</w:t>
      </w:r>
      <w:r>
        <w:t xml:space="preserve">.</w:t>
      </w:r>
      <w:r>
        <w:t xml:space="preserve"> </w:t>
      </w:r>
      <w:r>
        <w:t xml:space="preserve">The analysis adheres to the Greenhouse Gas (GHG) Protocol standards, including considerations for the upcoming 2026 requirements, such as the Land Sector and Removals (LSR) Standard and stringent Scope 3 coverage.</w:t>
      </w:r>
      <w:r>
        <w:t xml:space="preserve"> </w:t>
      </w:r>
      <w:r>
        <w:t xml:space="preserve">The PCF quantifies the total greenhouse gas emissions (expressed in CO</w:t>
      </w:r>
      <w:r>
        <w:rPr>
          <w:vertAlign w:val="subscript"/>
        </w:rPr>
        <w:t xml:space="preserve">2</w:t>
      </w:r>
      <w:r>
        <w:t xml:space="preserve">e) across the product\'s lifecycle, from material extraction to end-of-life, providing critical insights into environmental impacts and identifying emission hotspots for mitigation efforts.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defines the boundaries and parameters for this Product Carbon Footprint analysis:</w:t>
      </w:r>
    </w:p>
    <w:p>
      <w:pPr>
        <w:numPr>
          <w:ilvl w:val="0"/>
          <w:numId w:val="1001"/>
        </w:numPr>
        <w:pStyle w:val="Compact"/>
      </w:pPr>
      <w:r>
        <w:rPr>
          <w:bCs/>
          <w:b/>
        </w:rPr>
        <w:t xml:space="preserve">Functional Unit:</w:t>
      </w:r>
      <w:r>
        <w:t xml:space="preserve"> </w:t>
      </w:r>
      <w:r>
        <w:t xml:space="preserve">1.0 unit of zviwykulqo. This represents the quantified service or utility delivered by the product.</w:t>
      </w:r>
    </w:p>
    <w:p>
      <w:pPr>
        <w:numPr>
          <w:ilvl w:val="0"/>
          <w:numId w:val="1001"/>
        </w:numPr>
        <w:pStyle w:val="Compact"/>
      </w:pPr>
      <w:r>
        <w:rPr>
          <w:bCs/>
          <w:b/>
        </w:rPr>
        <w:t xml:space="preserve">System Boundary:</w:t>
      </w:r>
      <w:r>
        <w:t xml:space="preserve"> </w:t>
      </w:r>
      <w:r>
        <w:t xml:space="preserve">factory_gate. The analysis includes all emissions from raw material acquisition, manufacturing, and transport to the factory gate. Downstream emissions (transport from factory gate, use phase, and end-of-life) are also included in line with a comprehensive product lifecycle assessment.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end markets).</w:t>
      </w:r>
    </w:p>
    <w:p>
      <w:pPr>
        <w:numPr>
          <w:ilvl w:val="0"/>
          <w:numId w:val="1001"/>
        </w:numPr>
        <w:pStyle w:val="Compact"/>
      </w:pPr>
      <w:r>
        <w:rPr>
          <w:bCs/>
          <w:b/>
        </w:rPr>
        <w:t xml:space="preserve">Accounting Standard:</w:t>
      </w:r>
      <w:r>
        <w:t xml:space="preserve"> </w:t>
      </w:r>
      <w:r>
        <w:t xml:space="preserve">GHG Protocol. This analysis strictly follows the GHG Protocol\'s Corporate Standard and Product Standard methodologies, categorizing emissions into Scope 1, Scope 2, and Scope 3. The report also incorporates anticipated 2026 updates, including the Land Sector and Removals (LSR) Standard and a mandatory 95% Scope 3 coverage.</w:t>
      </w:r>
    </w:p>
    <w:p>
      <w:pPr>
        <w:numPr>
          <w:ilvl w:val="0"/>
          <w:numId w:val="1001"/>
        </w:numPr>
        <w:pStyle w:val="Compact"/>
      </w:pPr>
      <w:r>
        <w:rPr>
          <w:bCs/>
          <w:b/>
        </w:rPr>
        <w:t xml:space="preserve">Allocation:</w:t>
      </w:r>
      <w:r>
        <w:t xml:space="preserve"> </w:t>
      </w:r>
      <w:r>
        <w:t xml:space="preserve">Where co-production or recycling is involved, allocation methods are applied in accordance with GHG Protocol guidance, typically using mass-based or economic allocation for co-products and the "cut-off" or "avoided burden" approach for recycled content as appropriate.</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This section details the lifecycle stages and the primary and secondary data points collected for the analysis. Given the provided placeholder data, illustrative examples are used to demonstrate the calculation methodology.</w:t>
      </w:r>
    </w:p>
    <w:bookmarkStart w:id="24" w:name="Xb822fee84635c5ed737b766b79cb03bb82d047a"/>
    <w:p>
      <w:pPr>
        <w:pStyle w:val="Heading3"/>
      </w:pPr>
      <w:r>
        <w:t xml:space="preserve">Detailed Bill of Materials (BOM) for zviwykulqo</w:t>
      </w:r>
    </w:p>
    <w:p>
      <w:pPr>
        <w:pStyle w:val="FirstParagraph"/>
      </w:pPr>
      <w:r>
        <w:t xml:space="preserve">The following table presents the Detailed Bill of Materials (BOM) for</w:t>
      </w:r>
      <w:r>
        <w:t xml:space="preserve"> </w:t>
      </w:r>
      <w:r>
        <w:rPr>
          <w:bCs/>
          <w:b/>
        </w:rPr>
        <w:t xml:space="preserve">zviwykulqo</w:t>
      </w:r>
      <w:r>
        <w:t xml:space="preserve">, incorporating the provided</w:t>
      </w:r>
      <w:r>
        <w:t xml:space="preserve"> </w:t>
      </w:r>
      <w:r>
        <w:rPr>
          <w:rStyle w:val="VerbatimChar"/>
        </w:rPr>
        <w:t xml:space="preserve">wwuwwlxw</w:t>
      </w:r>
      <w:r>
        <w:t xml:space="preserve"> </w:t>
      </w:r>
      <w:r>
        <w:t xml:space="preserve">data structure with illustrative values. These values are examples used for calculation demonstration.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M003</w:t>
            </w:r>
          </w:p>
        </w:tc>
        <w:tc>
          <w:tcPr/>
          <w:p>
            <w:pPr>
              <w:pStyle w:val="Compact"/>
              <w:jc w:val="left"/>
            </w:pPr>
            <w:r>
              <w:t xml:space="preserve">Electronic Circuit Board (PCB)</w:t>
            </w:r>
          </w:p>
        </w:tc>
        <w:tc>
          <w:tcPr/>
          <w:p>
            <w:pPr>
              <w:pStyle w:val="Compact"/>
              <w:jc w:val="left"/>
            </w:pPr>
            <w:r>
              <w:t xml:space="preserve">Electronics</w:t>
            </w:r>
          </w:p>
        </w:tc>
        <w:tc>
          <w:tcPr/>
          <w:p>
            <w:pPr>
              <w:pStyle w:val="Compact"/>
              <w:jc w:val="left"/>
            </w:pPr>
            <w:r>
              <w:t xml:space="preserve">Manufacturing, Component 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Primary Steel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Internal Wiring (Copper)</w:t>
            </w:r>
          </w:p>
        </w:tc>
        <w:tc>
          <w:tcPr/>
          <w:p>
            <w:pPr>
              <w:pStyle w:val="Compact"/>
              <w:jc w:val="left"/>
            </w:pPr>
            <w:r>
              <w:t xml:space="preserve">Metals</w:t>
            </w:r>
          </w:p>
        </w:tc>
        <w:tc>
          <w:tcPr/>
          <w:p>
            <w:pPr>
              <w:pStyle w:val="Compact"/>
              <w:jc w:val="left"/>
            </w:pPr>
            <w:r>
              <w:t xml:space="preserve">Copper Mining, 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Paper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bl>
    <w:p>
      <w:pPr>
        <w:pStyle w:val="BodyText"/>
      </w:pPr>
      <w:r>
        <w:rPr>
          <w:iCs/>
          <w:i/>
        </w:rPr>
        <w:t xml:space="preserve">Note: Emission Factors are illustrative industry averages, not specific database lookups due to placeholder BOM data. For a real assessment, specific factors from Ecoinvent, DEFRA, or primary supplier data would be used.</w:t>
      </w:r>
    </w:p>
    <w:bookmarkEnd w:id="24"/>
    <w:bookmarkStart w:id="25"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rPr>
          <w:rStyle w:val="VerbatimChar"/>
        </w:rPr>
        <w:t xml:space="preserve">qwekdfronk</w:t>
      </w:r>
      <w:r>
        <w:t xml:space="preserve"> </w:t>
      </w:r>
      <w:r>
        <w:t xml:space="preserve">(Illustrative: 10 kWh/unit)</w:t>
      </w:r>
    </w:p>
    <w:p>
      <w:pPr>
        <w:numPr>
          <w:ilvl w:val="0"/>
          <w:numId w:val="1003"/>
        </w:numPr>
        <w:pStyle w:val="Compact"/>
      </w:pPr>
      <w:r>
        <w:rPr>
          <w:bCs/>
          <w:b/>
        </w:rPr>
        <w:t xml:space="preserve">Renewable Energy Usage:</w:t>
      </w:r>
      <w:r>
        <w:t xml:space="preserve"> </w:t>
      </w:r>
      <w:r>
        <w:rPr>
          <w:rStyle w:val="VerbatimChar"/>
        </w:rPr>
        <w:t xml:space="preserve">hqxitfvhhs</w:t>
      </w:r>
      <w:r>
        <w:t xml:space="preserve"> </w:t>
      </w:r>
      <w:r>
        <w:t xml:space="preserve">(Illustrative: 50%)</w:t>
      </w:r>
    </w:p>
    <w:p>
      <w:pPr>
        <w:numPr>
          <w:ilvl w:val="0"/>
          <w:numId w:val="1003"/>
        </w:numPr>
        <w:pStyle w:val="Compact"/>
      </w:pPr>
      <w:r>
        <w:rPr>
          <w:bCs/>
          <w:b/>
        </w:rPr>
        <w:t xml:space="preserve">Non-Renewable Energy Usage:</w:t>
      </w:r>
      <w:r>
        <w:t xml:space="preserve"> </w:t>
      </w:r>
      <w:r>
        <w:t xml:space="preserve">50%</w:t>
      </w:r>
    </w:p>
    <w:p>
      <w:pPr>
        <w:numPr>
          <w:ilvl w:val="0"/>
          <w:numId w:val="1003"/>
        </w:numPr>
        <w:pStyle w:val="Compact"/>
      </w:pPr>
      <w:r>
        <w:rPr>
          <w:bCs/>
          <w:b/>
        </w:rPr>
        <w:t xml:space="preserve">Electricity Grid Mix (China - for non-renewable portion):</w:t>
      </w:r>
    </w:p>
    <w:p>
      <w:pPr>
        <w:numPr>
          <w:ilvl w:val="1"/>
          <w:numId w:val="1004"/>
        </w:numPr>
        <w:pStyle w:val="Compact"/>
      </w:pPr>
      <w:r>
        <w:t xml:space="preserve">Emission Factor: 0.6205 kgCO</w:t>
      </w:r>
      <w:r>
        <w:rPr>
          <w:vertAlign w:val="subscript"/>
        </w:rPr>
        <w:t xml:space="preserve">2</w:t>
      </w:r>
      <w:r>
        <w:t xml:space="preserve">e/kWh (China National Average 2023)</w:t>
      </w:r>
    </w:p>
    <w:bookmarkEnd w:id="25"/>
    <w:bookmarkStart w:id="26" w:name="logistics-data-supply-chain-analysis"/>
    <w:p>
      <w:pPr>
        <w:pStyle w:val="Heading3"/>
      </w:pPr>
      <w:r>
        <w:t xml:space="preserve">Logistics Data (Supply Chain Analysis)</w:t>
      </w:r>
    </w:p>
    <w:p>
      <w:pPr>
        <w:numPr>
          <w:ilvl w:val="0"/>
          <w:numId w:val="1005"/>
        </w:numPr>
        <w:pStyle w:val="Compact"/>
      </w:pPr>
      <w:r>
        <w:rPr>
          <w:bCs/>
          <w:b/>
        </w:rPr>
        <w:t xml:space="preserve">Upstream Transport (Raw Materials from Europe to China Production Facility):</w:t>
      </w:r>
    </w:p>
    <w:p>
      <w:pPr>
        <w:numPr>
          <w:ilvl w:val="1"/>
          <w:numId w:val="1006"/>
        </w:numPr>
        <w:pStyle w:val="Compact"/>
      </w:pPr>
      <w:r>
        <w:rPr>
          <w:bCs/>
          <w:b/>
        </w:rPr>
        <w:t xml:space="preserve">Transport Mode:</w:t>
      </w:r>
      <w:r>
        <w:t xml:space="preserve"> </w:t>
      </w:r>
      <w:r>
        <w:rPr>
          <w:rStyle w:val="VerbatimChar"/>
        </w:rPr>
        <w:t xml:space="preserve">Select Mode</w:t>
      </w:r>
      <w:r>
        <w:t xml:space="preserve"> </w:t>
      </w:r>
      <w:r>
        <w:t xml:space="preserve">(Illustrative: Ocean Freight - Container Ship)</w:t>
      </w:r>
    </w:p>
    <w:p>
      <w:pPr>
        <w:numPr>
          <w:ilvl w:val="1"/>
          <w:numId w:val="1006"/>
        </w:numPr>
        <w:pStyle w:val="Compact"/>
      </w:pPr>
      <w:r>
        <w:rPr>
          <w:bCs/>
          <w:b/>
        </w:rPr>
        <w:t xml:space="preserve">Transport Distance:</w:t>
      </w:r>
      <w:r>
        <w:t xml:space="preserve"> </w:t>
      </w:r>
      <w:r>
        <w:rPr>
          <w:rStyle w:val="VerbatimChar"/>
        </w:rPr>
        <w:t xml:space="preserve">dmkgmrvgtt</w:t>
      </w:r>
      <w:r>
        <w:t xml:space="preserve"> </w:t>
      </w:r>
      <w:r>
        <w:t xml:space="preserve">(Illustrative: 15,000 km)</w:t>
      </w:r>
    </w:p>
    <w:p>
      <w:pPr>
        <w:numPr>
          <w:ilvl w:val="1"/>
          <w:numId w:val="1006"/>
        </w:numPr>
        <w:pStyle w:val="Compact"/>
      </w:pPr>
      <w:r>
        <w:rPr>
          <w:bCs/>
          <w:b/>
        </w:rPr>
        <w:t xml:space="preserve">Assumed Freight Weight:</w:t>
      </w:r>
      <w:r>
        <w:t xml:space="preserve"> </w:t>
      </w:r>
      <w:r>
        <w:t xml:space="preserve">Total BOM weight per unit = (0.8+0.5+0.2+0.1+0.05+0.3) kg = 1.95 kg.</w:t>
      </w:r>
    </w:p>
    <w:p>
      <w:pPr>
        <w:numPr>
          <w:ilvl w:val="1"/>
          <w:numId w:val="1006"/>
        </w:numPr>
        <w:pStyle w:val="Compact"/>
      </w:pPr>
      <w:r>
        <w:rPr>
          <w:bCs/>
          <w:b/>
        </w:rPr>
        <w:t xml:space="preserve">Emission Factor (Ocean Freight):</w:t>
      </w:r>
      <w:r>
        <w:t xml:space="preserve"> </w:t>
      </w:r>
      <w:r>
        <w:t xml:space="preserve">0.01 kgCO</w:t>
      </w:r>
      <w:r>
        <w:rPr>
          <w:vertAlign w:val="subscript"/>
        </w:rPr>
        <w:t xml:space="preserve">2</w:t>
      </w:r>
      <w:r>
        <w:t xml:space="preserve">e/tonne-km (Illustrative industry average)</w:t>
      </w:r>
    </w:p>
    <w:p>
      <w:pPr>
        <w:numPr>
          <w:ilvl w:val="0"/>
          <w:numId w:val="1005"/>
        </w:numPr>
        <w:pStyle w:val="Compact"/>
      </w:pPr>
      <w:r>
        <w:rPr>
          <w:bCs/>
          <w:b/>
        </w:rPr>
        <w:t xml:space="preserve">Downstream Transport (Finished Product from China Factory Gate to European Distribution Center):</w:t>
      </w:r>
    </w:p>
    <w:p>
      <w:pPr>
        <w:numPr>
          <w:ilvl w:val="1"/>
          <w:numId w:val="1007"/>
        </w:numPr>
        <w:pStyle w:val="Compact"/>
      </w:pPr>
      <w:r>
        <w:rPr>
          <w:bCs/>
          <w:b/>
        </w:rPr>
        <w:t xml:space="preserve">Transport Mode:</w:t>
      </w:r>
      <w:r>
        <w:t xml:space="preserve"> </w:t>
      </w:r>
      <w:r>
        <w:rPr>
          <w:rStyle w:val="VerbatimChar"/>
        </w:rPr>
        <w:t xml:space="preserve">Select Mode</w:t>
      </w:r>
      <w:r>
        <w:t xml:space="preserve"> </w:t>
      </w:r>
      <w:r>
        <w:t xml:space="preserve">(Illustrative: Ocean Freight - Container Ship)</w:t>
      </w:r>
    </w:p>
    <w:p>
      <w:pPr>
        <w:numPr>
          <w:ilvl w:val="1"/>
          <w:numId w:val="1007"/>
        </w:numPr>
        <w:pStyle w:val="Compact"/>
      </w:pPr>
      <w:r>
        <w:rPr>
          <w:bCs/>
          <w:b/>
        </w:rPr>
        <w:t xml:space="preserve">Transport Distance:</w:t>
      </w:r>
      <w:r>
        <w:t xml:space="preserve"> </w:t>
      </w:r>
      <w:r>
        <w:rPr>
          <w:rStyle w:val="VerbatimChar"/>
        </w:rPr>
        <w:t xml:space="preserve">dmkgmrvgtt</w:t>
      </w:r>
      <w:r>
        <w:t xml:space="preserve"> </w:t>
      </w:r>
      <w:r>
        <w:t xml:space="preserve">(Illustrative: 15,000 km)</w:t>
      </w:r>
    </w:p>
    <w:p>
      <w:pPr>
        <w:numPr>
          <w:ilvl w:val="1"/>
          <w:numId w:val="1007"/>
        </w:numPr>
        <w:pStyle w:val="Compact"/>
      </w:pPr>
      <w:r>
        <w:rPr>
          <w:bCs/>
          <w:b/>
        </w:rPr>
        <w:t xml:space="preserve">Product Weight:</w:t>
      </w:r>
      <w:r>
        <w:t xml:space="preserve"> </w:t>
      </w:r>
      <w:r>
        <w:t xml:space="preserve">1.95 kg (assuming packaging included in total unit weight for transport)</w:t>
      </w:r>
    </w:p>
    <w:p>
      <w:pPr>
        <w:numPr>
          <w:ilvl w:val="1"/>
          <w:numId w:val="1007"/>
        </w:numPr>
        <w:pStyle w:val="Compact"/>
      </w:pPr>
      <w:r>
        <w:rPr>
          <w:bCs/>
          <w:b/>
        </w:rPr>
        <w:t xml:space="preserve">Emission Factor (Ocean Freight):</w:t>
      </w:r>
      <w:r>
        <w:t xml:space="preserve"> </w:t>
      </w:r>
      <w:r>
        <w:t xml:space="preserve">0.01 kgCO</w:t>
      </w:r>
      <w:r>
        <w:rPr>
          <w:vertAlign w:val="subscript"/>
        </w:rPr>
        <w:t xml:space="preserve">2</w:t>
      </w:r>
      <w:r>
        <w:t xml:space="preserve">e/tonne-km (Illustrative industry average)</w:t>
      </w:r>
    </w:p>
    <w:p>
      <w:pPr>
        <w:numPr>
          <w:ilvl w:val="0"/>
          <w:numId w:val="1005"/>
        </w:numPr>
        <w:pStyle w:val="Compact"/>
      </w:pPr>
      <w:r>
        <w:rPr>
          <w:bCs/>
          <w:b/>
        </w:rPr>
        <w:t xml:space="preserve">Last-Mile Delivery (within Europe):</w:t>
      </w:r>
    </w:p>
    <w:p>
      <w:pPr>
        <w:numPr>
          <w:ilvl w:val="1"/>
          <w:numId w:val="1008"/>
        </w:numPr>
        <w:pStyle w:val="Compact"/>
      </w:pPr>
      <w:r>
        <w:rPr>
          <w:bCs/>
          <w:b/>
        </w:rPr>
        <w:t xml:space="preserve">Delivery Channel:</w:t>
      </w:r>
      <w:r>
        <w:t xml:space="preserve"> </w:t>
      </w:r>
      <w:r>
        <w:rPr>
          <w:rStyle w:val="VerbatimChar"/>
        </w:rPr>
        <w:t xml:space="preserve">Delivery Type</w:t>
      </w:r>
      <w:r>
        <w:t xml:space="preserve"> </w:t>
      </w:r>
      <w:r>
        <w:t xml:space="preserve">(Illustrative: Road Freight - Light Commercial Van)</w:t>
      </w:r>
    </w:p>
    <w:p>
      <w:pPr>
        <w:numPr>
          <w:ilvl w:val="1"/>
          <w:numId w:val="1008"/>
        </w:numPr>
        <w:pStyle w:val="Compact"/>
      </w:pPr>
      <w:r>
        <w:rPr>
          <w:bCs/>
          <w:b/>
        </w:rPr>
        <w:t xml:space="preserve">Transport Distance:</w:t>
      </w:r>
      <w:r>
        <w:t xml:space="preserve"> </w:t>
      </w:r>
      <w:r>
        <w:t xml:space="preserve">Assumed average 500 km per unit (Illustrative)</w:t>
      </w:r>
    </w:p>
    <w:p>
      <w:pPr>
        <w:numPr>
          <w:ilvl w:val="1"/>
          <w:numId w:val="1008"/>
        </w:numPr>
        <w:pStyle w:val="Compact"/>
      </w:pPr>
      <w:r>
        <w:rPr>
          <w:bCs/>
          <w:b/>
        </w:rPr>
        <w:t xml:space="preserve">Product Weight:</w:t>
      </w:r>
      <w:r>
        <w:t xml:space="preserve"> </w:t>
      </w:r>
      <w:r>
        <w:t xml:space="preserve">1.95 kg</w:t>
      </w:r>
    </w:p>
    <w:p>
      <w:pPr>
        <w:numPr>
          <w:ilvl w:val="1"/>
          <w:numId w:val="1008"/>
        </w:numPr>
        <w:pStyle w:val="Compact"/>
      </w:pPr>
      <w:r>
        <w:rPr>
          <w:bCs/>
          <w:b/>
        </w:rPr>
        <w:t xml:space="preserve">Emission Factor (Road Freight - Light Commercial Van):</w:t>
      </w:r>
      <w:r>
        <w:t xml:space="preserve"> </w:t>
      </w:r>
      <w:r>
        <w:t xml:space="preserve">0.30 kgCO</w:t>
      </w:r>
      <w:r>
        <w:rPr>
          <w:vertAlign w:val="subscript"/>
        </w:rPr>
        <w:t xml:space="preserve">2</w:t>
      </w:r>
      <w:r>
        <w:t xml:space="preserve">e/tonne-km (Illustrative industry average)</w:t>
      </w:r>
    </w:p>
    <w:bookmarkEnd w:id="26"/>
    <w:bookmarkStart w:id="27" w:name="use-phase-data"/>
    <w:p>
      <w:pPr>
        <w:pStyle w:val="Heading3"/>
      </w:pPr>
      <w:r>
        <w:t xml:space="preserve">Use Phase Data</w:t>
      </w:r>
    </w:p>
    <w:p>
      <w:pPr>
        <w:numPr>
          <w:ilvl w:val="0"/>
          <w:numId w:val="1009"/>
        </w:numPr>
        <w:pStyle w:val="Compact"/>
      </w:pPr>
      <w:r>
        <w:rPr>
          <w:bCs/>
          <w:b/>
        </w:rPr>
        <w:t xml:space="preserve">Product Lifespan:</w:t>
      </w:r>
      <w:r>
        <w:t xml:space="preserve"> </w:t>
      </w:r>
      <w:r>
        <w:rPr>
          <w:rStyle w:val="VerbatimChar"/>
        </w:rPr>
        <w:t xml:space="preserve">hmppgvyvgr</w:t>
      </w:r>
      <w:r>
        <w:t xml:space="preserve"> </w:t>
      </w:r>
      <w:r>
        <w:t xml:space="preserve">(Illustrative: 5 years)</w:t>
      </w:r>
    </w:p>
    <w:p>
      <w:pPr>
        <w:numPr>
          <w:ilvl w:val="0"/>
          <w:numId w:val="1009"/>
        </w:numPr>
        <w:pStyle w:val="Compact"/>
      </w:pPr>
      <w:r>
        <w:rPr>
          <w:bCs/>
          <w:b/>
        </w:rPr>
        <w:t xml:space="preserve">Energy Consumption in Use:</w:t>
      </w:r>
      <w:r>
        <w:t xml:space="preserve"> </w:t>
      </w:r>
      <w:r>
        <w:rPr>
          <w:rStyle w:val="VerbatimChar"/>
        </w:rPr>
        <w:t xml:space="preserve">gjegsowfpn</w:t>
      </w:r>
      <w:r>
        <w:t xml:space="preserve"> </w:t>
      </w:r>
      <w:r>
        <w:t xml:space="preserve">(Illustrative: 20 kWh/year)</w:t>
      </w:r>
    </w:p>
    <w:p>
      <w:pPr>
        <w:numPr>
          <w:ilvl w:val="0"/>
          <w:numId w:val="1009"/>
        </w:numPr>
        <w:pStyle w:val="Compact"/>
      </w:pPr>
      <w:r>
        <w:rPr>
          <w:bCs/>
          <w:b/>
        </w:rPr>
        <w:t xml:space="preserve">Electricity Grid Mix (Europe - for use phase):</w:t>
      </w:r>
    </w:p>
    <w:p>
      <w:pPr>
        <w:numPr>
          <w:ilvl w:val="1"/>
          <w:numId w:val="1010"/>
        </w:numPr>
        <w:pStyle w:val="Compact"/>
      </w:pPr>
      <w:r>
        <w:t xml:space="preserve">Emission Factor: 0.181 kgCO</w:t>
      </w:r>
      <w:r>
        <w:rPr>
          <w:vertAlign w:val="subscript"/>
        </w:rPr>
        <w:t xml:space="preserve">2</w:t>
      </w:r>
      <w:r>
        <w:t xml:space="preserve">e/kWh (European Average 2024)</w:t>
      </w:r>
    </w:p>
    <w:bookmarkEnd w:id="27"/>
    <w:bookmarkStart w:id="28" w:name="end-of-life-eol-scenarios"/>
    <w:p>
      <w:pPr>
        <w:pStyle w:val="Heading3"/>
      </w:pPr>
      <w:r>
        <w:t xml:space="preserve">End-of-Life (EoL) Scenarios</w:t>
      </w:r>
    </w:p>
    <w:p>
      <w:pPr>
        <w:numPr>
          <w:ilvl w:val="0"/>
          <w:numId w:val="1011"/>
        </w:numPr>
        <w:pStyle w:val="Compact"/>
      </w:pPr>
      <w:r>
        <w:rPr>
          <w:bCs/>
          <w:b/>
        </w:rPr>
        <w:t xml:space="preserve">Recyclability Percentage:</w:t>
      </w:r>
      <w:r>
        <w:t xml:space="preserve"> </w:t>
      </w:r>
      <w:r>
        <w:rPr>
          <w:rStyle w:val="VerbatimChar"/>
        </w:rPr>
        <w:t xml:space="preserve">uvzyytkpgt</w:t>
      </w:r>
      <w:r>
        <w:t xml:space="preserve"> </w:t>
      </w:r>
      <w:r>
        <w:t xml:space="preserve">(Illustrative: 70%)</w:t>
      </w:r>
    </w:p>
    <w:p>
      <w:pPr>
        <w:numPr>
          <w:ilvl w:val="0"/>
          <w:numId w:val="1011"/>
        </w:numPr>
        <w:pStyle w:val="Compact"/>
      </w:pPr>
      <w:r>
        <w:rPr>
          <w:bCs/>
          <w:b/>
        </w:rPr>
        <w:t xml:space="preserve">Circular/Take-back Programs:</w:t>
      </w:r>
      <w:r>
        <w:t xml:space="preserve"> </w:t>
      </w:r>
      <w:r>
        <w:rPr>
          <w:rStyle w:val="VerbatimChar"/>
        </w:rPr>
        <w:t xml:space="preserve">qsdfjpmxvl</w:t>
      </w:r>
      <w:r>
        <w:t xml:space="preserve"> </w:t>
      </w:r>
      <w:r>
        <w:t xml:space="preserve">(Description: "The company operates an established product take-back program in key European markets, facilitating material recovery and refurbishment for a portion of returned products.")</w:t>
      </w:r>
    </w:p>
    <w:p>
      <w:pPr>
        <w:numPr>
          <w:ilvl w:val="0"/>
          <w:numId w:val="1011"/>
        </w:numPr>
        <w:pStyle w:val="Compact"/>
      </w:pPr>
      <w:r>
        <w:rPr>
          <w:bCs/>
          <w:b/>
        </w:rPr>
        <w:t xml:space="preserve">EoL Treatment Assumptions:</w:t>
      </w:r>
    </w:p>
    <w:p>
      <w:pPr>
        <w:numPr>
          <w:ilvl w:val="1"/>
          <w:numId w:val="1012"/>
        </w:numPr>
        <w:pStyle w:val="Compact"/>
      </w:pPr>
      <w:r>
        <w:t xml:space="preserve">70% of product materials are recycled (material credits applied).</w:t>
      </w:r>
    </w:p>
    <w:p>
      <w:pPr>
        <w:numPr>
          <w:ilvl w:val="1"/>
          <w:numId w:val="1012"/>
        </w:numPr>
        <w:pStyle w:val="Compact"/>
      </w:pPr>
      <w:r>
        <w:t xml:space="preserve">30% of product materials are sent to landfill (disposal emissions applied).</w:t>
      </w:r>
    </w:p>
    <w:p>
      <w:pPr>
        <w:numPr>
          <w:ilvl w:val="0"/>
          <w:numId w:val="1011"/>
        </w:numPr>
        <w:pStyle w:val="Compact"/>
      </w:pPr>
      <w:r>
        <w:rPr>
          <w:bCs/>
          <w:b/>
        </w:rPr>
        <w:t xml:space="preserve">Illustrative EoL Emission Factors:</w:t>
      </w:r>
    </w:p>
    <w:p>
      <w:pPr>
        <w:numPr>
          <w:ilvl w:val="1"/>
          <w:numId w:val="1013"/>
        </w:numPr>
        <w:pStyle w:val="Compact"/>
      </w:pPr>
      <w:r>
        <w:t xml:space="preserve">Recycling Credit (e.g., for metals/plastics): -1.0 kgCO</w:t>
      </w:r>
      <w:r>
        <w:rPr>
          <w:vertAlign w:val="subscript"/>
        </w:rPr>
        <w:t xml:space="preserve">2</w:t>
      </w:r>
      <w:r>
        <w:t xml:space="preserve">e/kg (simplified average)</w:t>
      </w:r>
    </w:p>
    <w:p>
      <w:pPr>
        <w:numPr>
          <w:ilvl w:val="1"/>
          <w:numId w:val="1013"/>
        </w:numPr>
        <w:pStyle w:val="Compact"/>
      </w:pPr>
      <w:r>
        <w:t xml:space="preserve">Landfill Emissions (e.g., for mixed waste): 0.1 kgCO</w:t>
      </w:r>
      <w:r>
        <w:rPr>
          <w:vertAlign w:val="subscript"/>
        </w:rPr>
        <w:t xml:space="preserve">2</w:t>
      </w:r>
      <w:r>
        <w:t xml:space="preserve">e/kg (simplified average)</w:t>
      </w:r>
    </w:p>
    <w:p>
      <w:r>
        <w:pict>
          <v:rect style="width:0;height:1.5pt" o:hralign="center" o:hrstd="t" o:hr="t"/>
        </w:pict>
      </w:r>
    </w:p>
    <w:bookmarkEnd w:id="28"/>
    <w:bookmarkEnd w:id="29"/>
    <w:bookmarkStart w:id="39" w:name="Xb404f6bea4a0013006ec7a9103609d9ea6643c1"/>
    <w:p>
      <w:pPr>
        <w:pStyle w:val="Heading2"/>
      </w:pPr>
      <w:r>
        <w:t xml:space="preserve">4. Calculate Emissions (Activity * Emission Factor = CO</w:t>
      </w:r>
      <w:r>
        <w:rPr>
          <w:vertAlign w:val="subscript"/>
        </w:rPr>
        <w:t xml:space="preserve">2</w:t>
      </w:r>
      <w:r>
        <w:t xml:space="preserve">e)</w:t>
      </w:r>
    </w:p>
    <w:p>
      <w:pPr>
        <w:pStyle w:val="FirstParagraph"/>
      </w:pPr>
      <w:r>
        <w:t xml:space="preserve">Emissions are calculated for each lifecycle stage, categorized according to the GHG Protocol\'s Scope 1, 2, and 3 definitions. Industry-standard emission factors (e.g., from Ecoinvent/DEFRA, with specific factors cited where applicable) are used for these calculations. All results are expressed in kgCO</w:t>
      </w:r>
      <w:r>
        <w:rPr>
          <w:vertAlign w:val="subscript"/>
        </w:rPr>
        <w:t xml:space="preserve">2</w:t>
      </w:r>
      <w:r>
        <w:t xml:space="preserve">e per functional unit (1.0 unit of zviwykulqo).</w:t>
      </w:r>
    </w:p>
    <w:bookmarkStart w:id="30" w:name="Xa5e05c0e793b2e3b8927cb1b228e81f97f2094b"/>
    <w:p>
      <w:pPr>
        <w:pStyle w:val="Heading3"/>
      </w:pPr>
      <w:r>
        <w:t xml:space="preserve">Scope 1 Emissions (Direct Emissions from Owned or Controlled Sources)</w:t>
      </w:r>
    </w:p>
    <w:p>
      <w:pPr>
        <w:pStyle w:val="FirstParagraph"/>
      </w:pPr>
      <w:r>
        <w:t xml:space="preserve">Given the "factory_gate" system boundary and typical product PCF focus, direct Scope 1 emissions from the manufacturing facility (e.g., owned vehicles, on-site fuel combustion not for electricity) are assumed to be negligible for the product unit, or captured upstream in material production if the factory is not owned by zupxksmxov. For the purpose of this PCF for zviwykulqo, significant direct operational emissions at the product manufacturing site by zupxksmxov are considered minimal or indirectly accounted for within Scope 3 if contract manufacturing.</w:t>
      </w:r>
    </w:p>
    <w:p>
      <w:pPr>
        <w:numPr>
          <w:ilvl w:val="0"/>
          <w:numId w:val="1014"/>
        </w:numPr>
        <w:pStyle w:val="Compact"/>
      </w:pPr>
      <w:r>
        <w:rPr>
          <w:bCs/>
          <w:b/>
        </w:rPr>
        <w:t xml:space="preserve">Total Scope 1 Emissions:</w:t>
      </w:r>
      <w:r>
        <w:t xml:space="preserve"> </w:t>
      </w:r>
      <w:r>
        <w:t xml:space="preserve">0.00 kgCO</w:t>
      </w:r>
      <w:r>
        <w:rPr>
          <w:vertAlign w:val="subscript"/>
        </w:rPr>
        <w:t xml:space="preserve">2</w:t>
      </w:r>
      <w:r>
        <w:t xml:space="preserve">e</w:t>
      </w:r>
    </w:p>
    <w:bookmarkEnd w:id="30"/>
    <w:bookmarkStart w:id="31" w:name="X1bd5ed5ba51603fe7fc5fd46de6dc3081dfffbb"/>
    <w:p>
      <w:pPr>
        <w:pStyle w:val="Heading3"/>
      </w:pPr>
      <w:r>
        <w:t xml:space="preserve">Scope 2 Emissions (Indirect Emissions from Purchased Energy)</w:t>
      </w:r>
    </w:p>
    <w:p>
      <w:pPr>
        <w:pStyle w:val="FirstParagraph"/>
      </w:pPr>
      <w:r>
        <w:t xml:space="preserve">These emissions arise from the generation of purchased electricity consumed during the manufacturing of zviwykulqo.</w:t>
      </w:r>
    </w:p>
    <w:p>
      <w:pPr>
        <w:numPr>
          <w:ilvl w:val="0"/>
          <w:numId w:val="1015"/>
        </w:numPr>
        <w:pStyle w:val="Compact"/>
      </w:pPr>
      <w:r>
        <w:rPr>
          <w:bCs/>
          <w:b/>
        </w:rPr>
        <w:t xml:space="preserve">Total Energy Consumption in Production:</w:t>
      </w:r>
      <w:r>
        <w:t xml:space="preserve"> </w:t>
      </w:r>
      <w:r>
        <w:t xml:space="preserve">10 kWh/unit</w:t>
      </w:r>
    </w:p>
    <w:p>
      <w:pPr>
        <w:numPr>
          <w:ilvl w:val="0"/>
          <w:numId w:val="1015"/>
        </w:numPr>
        <w:pStyle w:val="Compact"/>
      </w:pPr>
      <w:r>
        <w:rPr>
          <w:bCs/>
          <w:b/>
        </w:rPr>
        <w:t xml:space="preserve">Renewable Energy Share:</w:t>
      </w:r>
      <w:r>
        <w:t xml:space="preserve"> </w:t>
      </w:r>
      <w:r>
        <w:t xml:space="preserve">50%</w:t>
      </w:r>
    </w:p>
    <w:p>
      <w:pPr>
        <w:numPr>
          <w:ilvl w:val="0"/>
          <w:numId w:val="1015"/>
        </w:numPr>
        <w:pStyle w:val="Compact"/>
      </w:pPr>
      <w:r>
        <w:rPr>
          <w:bCs/>
          <w:b/>
        </w:rPr>
        <w:t xml:space="preserve">Non-Renewable Energy Consumption:</w:t>
      </w:r>
      <w:r>
        <w:t xml:space="preserve"> </w:t>
      </w:r>
      <w:r>
        <w:t xml:space="preserve">10 kWh/unit * 50% = 5 kWh/unit</w:t>
      </w:r>
    </w:p>
    <w:p>
      <w:pPr>
        <w:numPr>
          <w:ilvl w:val="0"/>
          <w:numId w:val="1015"/>
        </w:numPr>
        <w:pStyle w:val="Compact"/>
      </w:pPr>
      <w:r>
        <w:rPr>
          <w:bCs/>
          <w:b/>
        </w:rPr>
        <w:t xml:space="preserve">China Grid Emission Factor:</w:t>
      </w:r>
      <w:r>
        <w:t xml:space="preserve"> </w:t>
      </w:r>
      <w:r>
        <w:t xml:space="preserve">0.6205 kgCO</w:t>
      </w:r>
      <w:r>
        <w:rPr>
          <w:vertAlign w:val="subscript"/>
        </w:rPr>
        <w:t xml:space="preserve">2</w:t>
      </w:r>
      <w:r>
        <w:t xml:space="preserve">e/kWh</w:t>
      </w:r>
    </w:p>
    <w:p>
      <w:pPr>
        <w:numPr>
          <w:ilvl w:val="0"/>
          <w:numId w:val="1015"/>
        </w:numPr>
        <w:pStyle w:val="Compact"/>
      </w:pPr>
      <w:r>
        <w:rPr>
          <w:bCs/>
          <w:b/>
        </w:rPr>
        <w:t xml:space="preserve">Calculation:</w:t>
      </w:r>
      <w:r>
        <w:t xml:space="preserve"> </w:t>
      </w:r>
      <w:r>
        <w:t xml:space="preserve">5 kWh/unit * 0.6205 kgCO</w:t>
      </w:r>
      <w:r>
        <w:rPr>
          <w:vertAlign w:val="subscript"/>
        </w:rPr>
        <w:t xml:space="preserve">2</w:t>
      </w:r>
      <w:r>
        <w:t xml:space="preserve">e/kWh = 3.1025 kgCO</w:t>
      </w:r>
      <w:r>
        <w:rPr>
          <w:vertAlign w:val="subscript"/>
        </w:rPr>
        <w:t xml:space="preserve">2</w:t>
      </w:r>
      <w:r>
        <w:t xml:space="preserve">e</w:t>
      </w:r>
    </w:p>
    <w:p>
      <w:pPr>
        <w:numPr>
          <w:ilvl w:val="0"/>
          <w:numId w:val="1015"/>
        </w:numPr>
        <w:pStyle w:val="Compact"/>
      </w:pPr>
      <w:r>
        <w:rPr>
          <w:bCs/>
          <w:b/>
        </w:rPr>
        <w:t xml:space="preserve">Total Scope 2 Emissions:</w:t>
      </w:r>
      <w:r>
        <w:t xml:space="preserve"> </w:t>
      </w:r>
      <w:r>
        <w:t xml:space="preserve">3.10 kgCO</w:t>
      </w:r>
      <w:r>
        <w:rPr>
          <w:vertAlign w:val="subscript"/>
        </w:rPr>
        <w:t xml:space="preserve">2</w:t>
      </w:r>
      <w:r>
        <w:t xml:space="preserve">e</w:t>
      </w:r>
    </w:p>
    <w:bookmarkEnd w:id="31"/>
    <w:bookmarkStart w:id="37" w:name="Xfba9a0cf1430a71c12d1f705b4bd26e86bf0ddd"/>
    <w:p>
      <w:pPr>
        <w:pStyle w:val="Heading3"/>
      </w:pPr>
      <w:r>
        <w:t xml:space="preserve">Scope 3 Emissions (All Other Indirect Emissions in the Value Chain)</w:t>
      </w:r>
    </w:p>
    <w:p>
      <w:pPr>
        <w:pStyle w:val="FirstParagraph"/>
      </w:pPr>
      <w:r>
        <w:t xml:space="preserve">Scope 3 constitutes the majority of the product\'s footprint and is broken down by category, aiming for at least 95% coverage as per 2026 GHG Protocol requirements. Data disaggregation by source type is also a 2026 requirement, and where illustrative, these are considered secondary data.</w:t>
      </w:r>
    </w:p>
    <w:bookmarkStart w:id="32" w:name="X31c8a2c1b2a9c62ecfa333d940f611c669e9973"/>
    <w:p>
      <w:pPr>
        <w:pStyle w:val="Heading4"/>
      </w:pPr>
      <w:r>
        <w:t xml:space="preserve">Scope 3 Category 1: Purchased Goods and Services (Materials Production)</w:t>
      </w:r>
    </w:p>
    <w:p>
      <w:pPr>
        <w:pStyle w:val="FirstParagraph"/>
      </w:pPr>
      <w:r>
        <w:t xml:space="preserve">Emissions from the extraction, production, and manufacturing of upstream raw materials and components.</w:t>
      </w:r>
    </w:p>
    <w:p>
      <w:pPr>
        <w:numPr>
          <w:ilvl w:val="0"/>
          <w:numId w:val="1016"/>
        </w:numPr>
        <w:pStyle w:val="Compact"/>
      </w:pPr>
      <w:r>
        <w:t xml:space="preserve">Aluminium Casing: 0.8 kg * 15.0 kgCO</w:t>
      </w:r>
      <w:r>
        <w:rPr>
          <w:vertAlign w:val="subscript"/>
        </w:rPr>
        <w:t xml:space="preserve">2</w:t>
      </w:r>
      <w:r>
        <w:t xml:space="preserve">e/kg = 12.00 kgCO</w:t>
      </w:r>
      <w:r>
        <w:rPr>
          <w:vertAlign w:val="subscript"/>
        </w:rPr>
        <w:t xml:space="preserve">2</w:t>
      </w:r>
      <w:r>
        <w:t xml:space="preserve">e</w:t>
      </w:r>
    </w:p>
    <w:p>
      <w:pPr>
        <w:numPr>
          <w:ilvl w:val="0"/>
          <w:numId w:val="1016"/>
        </w:numPr>
        <w:pStyle w:val="Compact"/>
      </w:pPr>
      <w:r>
        <w:t xml:space="preserve">ABS Plastic Components: 0.5 kg * 3.5 kgCO</w:t>
      </w:r>
      <w:r>
        <w:rPr>
          <w:vertAlign w:val="subscript"/>
        </w:rPr>
        <w:t xml:space="preserve">2</w:t>
      </w:r>
      <w:r>
        <w:t xml:space="preserve">e/kg = 1.75 kgCO</w:t>
      </w:r>
      <w:r>
        <w:rPr>
          <w:vertAlign w:val="subscript"/>
        </w:rPr>
        <w:t xml:space="preserve">2</w:t>
      </w:r>
      <w:r>
        <w:t xml:space="preserve">e</w:t>
      </w:r>
    </w:p>
    <w:p>
      <w:pPr>
        <w:numPr>
          <w:ilvl w:val="0"/>
          <w:numId w:val="1016"/>
        </w:numPr>
        <w:pStyle w:val="Compact"/>
      </w:pPr>
      <w:r>
        <w:t xml:space="preserve">Electronic Circuit Board: 0.2 kg * 25.0 kgCO</w:t>
      </w:r>
      <w:r>
        <w:rPr>
          <w:vertAlign w:val="subscript"/>
        </w:rPr>
        <w:t xml:space="preserve">2</w:t>
      </w:r>
      <w:r>
        <w:t xml:space="preserve">e/kg = 5.00 kgCO</w:t>
      </w:r>
      <w:r>
        <w:rPr>
          <w:vertAlign w:val="subscript"/>
        </w:rPr>
        <w:t xml:space="preserve">2</w:t>
      </w:r>
      <w:r>
        <w:t xml:space="preserve">e</w:t>
      </w:r>
    </w:p>
    <w:p>
      <w:pPr>
        <w:numPr>
          <w:ilvl w:val="0"/>
          <w:numId w:val="1016"/>
        </w:numPr>
        <w:pStyle w:val="Compact"/>
      </w:pPr>
      <w:r>
        <w:t xml:space="preserve">Steel Fasteners: 0.1 kg * 2.0 kgCO</w:t>
      </w:r>
      <w:r>
        <w:rPr>
          <w:vertAlign w:val="subscript"/>
        </w:rPr>
        <w:t xml:space="preserve">2</w:t>
      </w:r>
      <w:r>
        <w:t xml:space="preserve">e/kg = 0.20 kgCO</w:t>
      </w:r>
      <w:r>
        <w:rPr>
          <w:vertAlign w:val="subscript"/>
        </w:rPr>
        <w:t xml:space="preserve">2</w:t>
      </w:r>
      <w:r>
        <w:t xml:space="preserve">e</w:t>
      </w:r>
    </w:p>
    <w:p>
      <w:pPr>
        <w:numPr>
          <w:ilvl w:val="0"/>
          <w:numId w:val="1016"/>
        </w:numPr>
        <w:pStyle w:val="Compact"/>
      </w:pPr>
      <w:r>
        <w:t xml:space="preserve">Internal Wiring (Copper): 0.05 kg * 8.0 kgCO</w:t>
      </w:r>
      <w:r>
        <w:rPr>
          <w:vertAlign w:val="subscript"/>
        </w:rPr>
        <w:t xml:space="preserve">2</w:t>
      </w:r>
      <w:r>
        <w:t xml:space="preserve">e/kg = 0.40 kgCO</w:t>
      </w:r>
      <w:r>
        <w:rPr>
          <w:vertAlign w:val="subscript"/>
        </w:rPr>
        <w:t xml:space="preserve">2</w:t>
      </w:r>
      <w:r>
        <w:t xml:space="preserve">e</w:t>
      </w:r>
    </w:p>
    <w:p>
      <w:pPr>
        <w:numPr>
          <w:ilvl w:val="0"/>
          <w:numId w:val="1016"/>
        </w:numPr>
        <w:pStyle w:val="Compact"/>
      </w:pPr>
      <w:r>
        <w:t xml:space="preserve">Cardboard Packaging: 0.3 kg * 0.5 kgCO</w:t>
      </w:r>
      <w:r>
        <w:rPr>
          <w:vertAlign w:val="subscript"/>
        </w:rPr>
        <w:t xml:space="preserve">2</w:t>
      </w:r>
      <w:r>
        <w:t xml:space="preserve">e/kg = 0.15 kgCO</w:t>
      </w:r>
      <w:r>
        <w:rPr>
          <w:vertAlign w:val="subscript"/>
        </w:rPr>
        <w:t xml:space="preserve">2</w:t>
      </w:r>
      <w:r>
        <w:t xml:space="preserve">e</w:t>
      </w:r>
    </w:p>
    <w:p>
      <w:pPr>
        <w:numPr>
          <w:ilvl w:val="0"/>
          <w:numId w:val="1016"/>
        </w:numPr>
        <w:pStyle w:val="Compact"/>
      </w:pPr>
      <w:r>
        <w:rPr>
          <w:bCs/>
          <w:b/>
        </w:rPr>
        <w:t xml:space="preserve">Total Scope 3, Category 1 Emissions:</w:t>
      </w:r>
      <w:r>
        <w:t xml:space="preserve"> </w:t>
      </w:r>
      <w:r>
        <w:t xml:space="preserve">19.50 kgCO</w:t>
      </w:r>
      <w:r>
        <w:rPr>
          <w:vertAlign w:val="subscript"/>
        </w:rPr>
        <w:t xml:space="preserve">2</w:t>
      </w:r>
      <w:r>
        <w:t xml:space="preserve">e</w:t>
      </w:r>
    </w:p>
    <w:bookmarkEnd w:id="32"/>
    <w:bookmarkStart w:id="33" w:name="X6cb59f469a923b69128fe7aa78706cbcd0c0907"/>
    <w:p>
      <w:pPr>
        <w:pStyle w:val="Heading4"/>
      </w:pPr>
      <w:r>
        <w:t xml:space="preserve">Scope 3 Category 4: Upstream Transportation and Distribution (Raw Materials)</w:t>
      </w:r>
    </w:p>
    <w:p>
      <w:pPr>
        <w:pStyle w:val="FirstParagraph"/>
      </w:pPr>
      <w:r>
        <w:t xml:space="preserve">Emissions from transporting raw materials from European suppliers to the China production facility.</w:t>
      </w:r>
    </w:p>
    <w:p>
      <w:pPr>
        <w:numPr>
          <w:ilvl w:val="0"/>
          <w:numId w:val="1017"/>
        </w:numPr>
        <w:pStyle w:val="Compact"/>
      </w:pPr>
      <w:r>
        <w:rPr>
          <w:bCs/>
          <w:b/>
        </w:rPr>
        <w:t xml:space="preserve">Total Freight Weight (BOM):</w:t>
      </w:r>
      <w:r>
        <w:t xml:space="preserve"> </w:t>
      </w:r>
      <w:r>
        <w:t xml:space="preserve">1.95 kg/unit = 0.00195 tonnes/unit</w:t>
      </w:r>
    </w:p>
    <w:p>
      <w:pPr>
        <w:numPr>
          <w:ilvl w:val="0"/>
          <w:numId w:val="1017"/>
        </w:numPr>
        <w:pStyle w:val="Compact"/>
      </w:pPr>
      <w:r>
        <w:rPr>
          <w:bCs/>
          <w:b/>
        </w:rPr>
        <w:t xml:space="preserve">Transport Distance:</w:t>
      </w:r>
      <w:r>
        <w:t xml:space="preserve"> </w:t>
      </w:r>
      <w:r>
        <w:t xml:space="preserve">15,000 km</w:t>
      </w:r>
    </w:p>
    <w:p>
      <w:pPr>
        <w:numPr>
          <w:ilvl w:val="0"/>
          <w:numId w:val="1017"/>
        </w:numPr>
        <w:pStyle w:val="Compact"/>
      </w:pPr>
      <w:r>
        <w:rPr>
          <w:bCs/>
          <w:b/>
        </w:rPr>
        <w:t xml:space="preserve">Transport Mode:</w:t>
      </w:r>
      <w:r>
        <w:t xml:space="preserve"> </w:t>
      </w:r>
      <w:r>
        <w:t xml:space="preserve">Ocean Freight (Container Ship)</w:t>
      </w:r>
    </w:p>
    <w:p>
      <w:pPr>
        <w:numPr>
          <w:ilvl w:val="0"/>
          <w:numId w:val="1017"/>
        </w:numPr>
        <w:pStyle w:val="Compact"/>
      </w:pPr>
      <w:r>
        <w:rPr>
          <w:bCs/>
          <w:b/>
        </w:rPr>
        <w:t xml:space="preserve">Emission Factor:</w:t>
      </w:r>
      <w:r>
        <w:t xml:space="preserve"> </w:t>
      </w:r>
      <w:r>
        <w:t xml:space="preserve">0.01 kgCO</w:t>
      </w:r>
      <w:r>
        <w:rPr>
          <w:vertAlign w:val="subscript"/>
        </w:rPr>
        <w:t xml:space="preserve">2</w:t>
      </w:r>
      <w:r>
        <w:t xml:space="preserve">e/tonne-km</w:t>
      </w:r>
    </w:p>
    <w:p>
      <w:pPr>
        <w:numPr>
          <w:ilvl w:val="0"/>
          <w:numId w:val="1017"/>
        </w:numPr>
        <w:pStyle w:val="Compact"/>
      </w:pPr>
      <w:r>
        <w:rPr>
          <w:bCs/>
          <w:b/>
        </w:rPr>
        <w:t xml:space="preserve">Calculation:</w:t>
      </w:r>
      <w:r>
        <w:t xml:space="preserve"> </w:t>
      </w:r>
      <w:r>
        <w:t xml:space="preserve">0.00195 tonnes/unit * 15,000 km * 0.01 kgCO</w:t>
      </w:r>
      <w:r>
        <w:rPr>
          <w:vertAlign w:val="subscript"/>
        </w:rPr>
        <w:t xml:space="preserve">2</w:t>
      </w:r>
      <w:r>
        <w:t xml:space="preserve">e/tonne-km = 0.2925 kgCO</w:t>
      </w:r>
      <w:r>
        <w:rPr>
          <w:vertAlign w:val="subscript"/>
        </w:rPr>
        <w:t xml:space="preserve">2</w:t>
      </w:r>
      <w:r>
        <w:t xml:space="preserve">e</w:t>
      </w:r>
    </w:p>
    <w:p>
      <w:pPr>
        <w:numPr>
          <w:ilvl w:val="0"/>
          <w:numId w:val="1017"/>
        </w:numPr>
        <w:pStyle w:val="Compact"/>
      </w:pPr>
      <w:r>
        <w:rPr>
          <w:bCs/>
          <w:b/>
        </w:rPr>
        <w:t xml:space="preserve">Total Scope 3, Category 4 (Upstream Transport) Emissions:</w:t>
      </w:r>
      <w:r>
        <w:t xml:space="preserve"> </w:t>
      </w:r>
      <w:r>
        <w:t xml:space="preserve">0.29 kgCO</w:t>
      </w:r>
      <w:r>
        <w:rPr>
          <w:vertAlign w:val="subscript"/>
        </w:rPr>
        <w:t xml:space="preserve">2</w:t>
      </w:r>
      <w:r>
        <w:t xml:space="preserve">e</w:t>
      </w:r>
    </w:p>
    <w:bookmarkEnd w:id="33"/>
    <w:bookmarkStart w:id="34" w:name="X942b21dbfdfbdba77fcfbf0717f55edde029bd9"/>
    <w:p>
      <w:pPr>
        <w:pStyle w:val="Heading4"/>
      </w:pPr>
      <w:r>
        <w:t xml:space="preserve">Scope 3 Category 9: Downstream Transportation and Distribution (Finished Product)</w:t>
      </w:r>
    </w:p>
    <w:p>
      <w:pPr>
        <w:pStyle w:val="FirstParagraph"/>
      </w:pPr>
      <w:r>
        <w:t xml:space="preserve">Emissions from transporting the finished product from the factory gate to the customer.</w:t>
      </w:r>
    </w:p>
    <w:p>
      <w:pPr>
        <w:numPr>
          <w:ilvl w:val="0"/>
          <w:numId w:val="1018"/>
        </w:numPr>
        <w:pStyle w:val="Compact"/>
      </w:pPr>
      <w:r>
        <w:rPr>
          <w:bCs/>
          <w:b/>
        </w:rPr>
        <w:t xml:space="preserve">Transport from China to European Distribution Center:</w:t>
      </w:r>
    </w:p>
    <w:p>
      <w:pPr>
        <w:numPr>
          <w:ilvl w:val="1"/>
          <w:numId w:val="1019"/>
        </w:numPr>
        <w:pStyle w:val="Compact"/>
      </w:pPr>
      <w:r>
        <w:rPr>
          <w:bCs/>
          <w:b/>
        </w:rPr>
        <w:t xml:space="preserve">Product Weight:</w:t>
      </w:r>
      <w:r>
        <w:t xml:space="preserve"> </w:t>
      </w:r>
      <w:r>
        <w:t xml:space="preserve">1.95 kg/unit = 0.00195 tonnes/unit</w:t>
      </w:r>
    </w:p>
    <w:p>
      <w:pPr>
        <w:numPr>
          <w:ilvl w:val="1"/>
          <w:numId w:val="1019"/>
        </w:numPr>
        <w:pStyle w:val="Compact"/>
      </w:pPr>
      <w:r>
        <w:rPr>
          <w:bCs/>
          <w:b/>
        </w:rPr>
        <w:t xml:space="preserve">Transport Distance:</w:t>
      </w:r>
      <w:r>
        <w:t xml:space="preserve"> </w:t>
      </w:r>
      <w:r>
        <w:t xml:space="preserve">15,000 km</w:t>
      </w:r>
    </w:p>
    <w:p>
      <w:pPr>
        <w:numPr>
          <w:ilvl w:val="1"/>
          <w:numId w:val="1019"/>
        </w:numPr>
        <w:pStyle w:val="Compact"/>
      </w:pPr>
      <w:r>
        <w:rPr>
          <w:bCs/>
          <w:b/>
        </w:rPr>
        <w:t xml:space="preserve">Transport Mode:</w:t>
      </w:r>
      <w:r>
        <w:t xml:space="preserve"> </w:t>
      </w:r>
      <w:r>
        <w:t xml:space="preserve">Ocean Freight (Container Ship)</w:t>
      </w:r>
    </w:p>
    <w:p>
      <w:pPr>
        <w:numPr>
          <w:ilvl w:val="1"/>
          <w:numId w:val="1019"/>
        </w:numPr>
        <w:pStyle w:val="Compact"/>
      </w:pPr>
      <w:r>
        <w:rPr>
          <w:bCs/>
          <w:b/>
        </w:rPr>
        <w:t xml:space="preserve">Emission Factor:</w:t>
      </w:r>
      <w:r>
        <w:t xml:space="preserve"> </w:t>
      </w:r>
      <w:r>
        <w:t xml:space="preserve">0.01 kgCO</w:t>
      </w:r>
      <w:r>
        <w:rPr>
          <w:vertAlign w:val="subscript"/>
        </w:rPr>
        <w:t xml:space="preserve">2</w:t>
      </w:r>
      <w:r>
        <w:t xml:space="preserve">e/tonne-km</w:t>
      </w:r>
    </w:p>
    <w:p>
      <w:pPr>
        <w:numPr>
          <w:ilvl w:val="1"/>
          <w:numId w:val="1019"/>
        </w:numPr>
        <w:pStyle w:val="Compact"/>
      </w:pPr>
      <w:r>
        <w:rPr>
          <w:bCs/>
          <w:b/>
        </w:rPr>
        <w:t xml:space="preserve">Calculation:</w:t>
      </w:r>
      <w:r>
        <w:t xml:space="preserve"> </w:t>
      </w:r>
      <w:r>
        <w:t xml:space="preserve">0.00195 tonnes/unit * 15,000 km * 0.01 kgCO</w:t>
      </w:r>
      <w:r>
        <w:rPr>
          <w:vertAlign w:val="subscript"/>
        </w:rPr>
        <w:t xml:space="preserve">2</w:t>
      </w:r>
      <w:r>
        <w:t xml:space="preserve">e/tonne-km = 0.2925 kgCO</w:t>
      </w:r>
      <w:r>
        <w:rPr>
          <w:vertAlign w:val="subscript"/>
        </w:rPr>
        <w:t xml:space="preserve">2</w:t>
      </w:r>
      <w:r>
        <w:t xml:space="preserve">e</w:t>
      </w:r>
    </w:p>
    <w:p>
      <w:pPr>
        <w:numPr>
          <w:ilvl w:val="0"/>
          <w:numId w:val="1018"/>
        </w:numPr>
        <w:pStyle w:val="Compact"/>
      </w:pPr>
      <w:r>
        <w:rPr>
          <w:bCs/>
          <w:b/>
        </w:rPr>
        <w:t xml:space="preserve">Last-Mile Delivery within Europe:</w:t>
      </w:r>
    </w:p>
    <w:p>
      <w:pPr>
        <w:numPr>
          <w:ilvl w:val="1"/>
          <w:numId w:val="1020"/>
        </w:numPr>
        <w:pStyle w:val="Compact"/>
      </w:pPr>
      <w:r>
        <w:rPr>
          <w:bCs/>
          <w:b/>
        </w:rPr>
        <w:t xml:space="preserve">Product Weight:</w:t>
      </w:r>
      <w:r>
        <w:t xml:space="preserve"> </w:t>
      </w:r>
      <w:r>
        <w:t xml:space="preserve">1.95 kg/unit = 0.00195 tonnes/unit</w:t>
      </w:r>
    </w:p>
    <w:p>
      <w:pPr>
        <w:numPr>
          <w:ilvl w:val="1"/>
          <w:numId w:val="1020"/>
        </w:numPr>
        <w:pStyle w:val="Compact"/>
      </w:pPr>
      <w:r>
        <w:rPr>
          <w:bCs/>
          <w:b/>
        </w:rPr>
        <w:t xml:space="preserve">Transport Distance:</w:t>
      </w:r>
      <w:r>
        <w:t xml:space="preserve"> </w:t>
      </w:r>
      <w:r>
        <w:t xml:space="preserve">500 km</w:t>
      </w:r>
    </w:p>
    <w:p>
      <w:pPr>
        <w:numPr>
          <w:ilvl w:val="1"/>
          <w:numId w:val="1020"/>
        </w:numPr>
        <w:pStyle w:val="Compact"/>
      </w:pPr>
      <w:r>
        <w:rPr>
          <w:bCs/>
          <w:b/>
        </w:rPr>
        <w:t xml:space="preserve">Transport Mode:</w:t>
      </w:r>
      <w:r>
        <w:t xml:space="preserve"> </w:t>
      </w:r>
      <w:r>
        <w:t xml:space="preserve">Road Freight (Light Commercial Van)</w:t>
      </w:r>
    </w:p>
    <w:p>
      <w:pPr>
        <w:numPr>
          <w:ilvl w:val="1"/>
          <w:numId w:val="1020"/>
        </w:numPr>
        <w:pStyle w:val="Compact"/>
      </w:pPr>
      <w:r>
        <w:rPr>
          <w:bCs/>
          <w:b/>
        </w:rPr>
        <w:t xml:space="preserve">Emission Factor:</w:t>
      </w:r>
      <w:r>
        <w:t xml:space="preserve"> </w:t>
      </w:r>
      <w:r>
        <w:t xml:space="preserve">0.30 kgCO</w:t>
      </w:r>
      <w:r>
        <w:rPr>
          <w:vertAlign w:val="subscript"/>
        </w:rPr>
        <w:t xml:space="preserve">2</w:t>
      </w:r>
      <w:r>
        <w:t xml:space="preserve">e/tonne-km</w:t>
      </w:r>
    </w:p>
    <w:p>
      <w:pPr>
        <w:numPr>
          <w:ilvl w:val="1"/>
          <w:numId w:val="1020"/>
        </w:numPr>
        <w:pStyle w:val="Compact"/>
      </w:pPr>
      <w:r>
        <w:rPr>
          <w:bCs/>
          <w:b/>
        </w:rPr>
        <w:t xml:space="preserve">Calculation:</w:t>
      </w:r>
      <w:r>
        <w:t xml:space="preserve"> </w:t>
      </w:r>
      <w:r>
        <w:t xml:space="preserve">0.00195 tonnes/unit * 500 km * 0.30 kgCO</w:t>
      </w:r>
      <w:r>
        <w:rPr>
          <w:vertAlign w:val="subscript"/>
        </w:rPr>
        <w:t xml:space="preserve">2</w:t>
      </w:r>
      <w:r>
        <w:t xml:space="preserve">e/tonne-km = 0.2925 kgCO</w:t>
      </w:r>
      <w:r>
        <w:rPr>
          <w:vertAlign w:val="subscript"/>
        </w:rPr>
        <w:t xml:space="preserve">2</w:t>
      </w:r>
      <w:r>
        <w:t xml:space="preserve">e</w:t>
      </w:r>
    </w:p>
    <w:p>
      <w:pPr>
        <w:numPr>
          <w:ilvl w:val="0"/>
          <w:numId w:val="1018"/>
        </w:numPr>
        <w:pStyle w:val="Compact"/>
      </w:pPr>
      <w:r>
        <w:rPr>
          <w:bCs/>
          <w:b/>
        </w:rPr>
        <w:t xml:space="preserve">Total Scope 3, Category 9 Emissions:</w:t>
      </w:r>
      <w:r>
        <w:t xml:space="preserve"> </w:t>
      </w:r>
      <w:r>
        <w:t xml:space="preserve">0.29 + 0.29 = 0.58 kgCO</w:t>
      </w:r>
      <w:r>
        <w:rPr>
          <w:vertAlign w:val="subscript"/>
        </w:rPr>
        <w:t xml:space="preserve">2</w:t>
      </w:r>
      <w:r>
        <w:t xml:space="preserve">e</w:t>
      </w:r>
    </w:p>
    <w:bookmarkEnd w:id="34"/>
    <w:bookmarkStart w:id="35" w:name="scope-3-category-11-use-of-sold-products"/>
    <w:p>
      <w:pPr>
        <w:pStyle w:val="Heading4"/>
      </w:pPr>
      <w:r>
        <w:t xml:space="preserve">Scope 3 Category 11: Use of Sold Products</w:t>
      </w:r>
    </w:p>
    <w:p>
      <w:pPr>
        <w:pStyle w:val="FirstParagraph"/>
      </w:pPr>
      <w:r>
        <w:t xml:space="preserve">Emissions from the energy consumption during the product\'s lifespan.</w:t>
      </w:r>
    </w:p>
    <w:p>
      <w:pPr>
        <w:numPr>
          <w:ilvl w:val="0"/>
          <w:numId w:val="1021"/>
        </w:numPr>
        <w:pStyle w:val="Compact"/>
      </w:pPr>
      <w:r>
        <w:rPr>
          <w:bCs/>
          <w:b/>
        </w:rPr>
        <w:t xml:space="preserve">Product Lifespan:</w:t>
      </w:r>
      <w:r>
        <w:t xml:space="preserve"> </w:t>
      </w:r>
      <w:r>
        <w:t xml:space="preserve">5 years</w:t>
      </w:r>
    </w:p>
    <w:p>
      <w:pPr>
        <w:numPr>
          <w:ilvl w:val="0"/>
          <w:numId w:val="1021"/>
        </w:numPr>
        <w:pStyle w:val="Compact"/>
      </w:pPr>
      <w:r>
        <w:rPr>
          <w:bCs/>
          <w:b/>
        </w:rPr>
        <w:t xml:space="preserve">Annual Energy Consumption:</w:t>
      </w:r>
      <w:r>
        <w:t xml:space="preserve"> </w:t>
      </w:r>
      <w:r>
        <w:t xml:space="preserve">20 kWh/year</w:t>
      </w:r>
    </w:p>
    <w:p>
      <w:pPr>
        <w:numPr>
          <w:ilvl w:val="0"/>
          <w:numId w:val="1021"/>
        </w:numPr>
        <w:pStyle w:val="Compact"/>
      </w:pPr>
      <w:r>
        <w:rPr>
          <w:bCs/>
          <w:b/>
        </w:rPr>
        <w:t xml:space="preserve">Total Energy Consumption over Lifespan:</w:t>
      </w:r>
      <w:r>
        <w:t xml:space="preserve"> </w:t>
      </w:r>
      <w:r>
        <w:t xml:space="preserve">20 kWh/year * 5 years = 100 kWh/unit</w:t>
      </w:r>
    </w:p>
    <w:p>
      <w:pPr>
        <w:numPr>
          <w:ilvl w:val="0"/>
          <w:numId w:val="1021"/>
        </w:numPr>
        <w:pStyle w:val="Compact"/>
      </w:pPr>
      <w:r>
        <w:rPr>
          <w:bCs/>
          <w:b/>
        </w:rPr>
        <w:t xml:space="preserve">European Grid Emission Factor (Use Phase):</w:t>
      </w:r>
      <w:r>
        <w:t xml:space="preserve"> </w:t>
      </w:r>
      <w:r>
        <w:t xml:space="preserve">0.181 kgCO</w:t>
      </w:r>
      <w:r>
        <w:rPr>
          <w:vertAlign w:val="subscript"/>
        </w:rPr>
        <w:t xml:space="preserve">2</w:t>
      </w:r>
      <w:r>
        <w:t xml:space="preserve">e/kWh</w:t>
      </w:r>
    </w:p>
    <w:p>
      <w:pPr>
        <w:numPr>
          <w:ilvl w:val="0"/>
          <w:numId w:val="1021"/>
        </w:numPr>
        <w:pStyle w:val="Compact"/>
      </w:pPr>
      <w:r>
        <w:rPr>
          <w:bCs/>
          <w:b/>
        </w:rPr>
        <w:t xml:space="preserve">Calculation:</w:t>
      </w:r>
      <w:r>
        <w:t xml:space="preserve"> </w:t>
      </w:r>
      <w:r>
        <w:t xml:space="preserve">100 kWh/unit * 0.181 kgCO</w:t>
      </w:r>
      <w:r>
        <w:rPr>
          <w:vertAlign w:val="subscript"/>
        </w:rPr>
        <w:t xml:space="preserve">2</w:t>
      </w:r>
      <w:r>
        <w:t xml:space="preserve">e/kWh = 18.10 kgCO</w:t>
      </w:r>
      <w:r>
        <w:rPr>
          <w:vertAlign w:val="subscript"/>
        </w:rPr>
        <w:t xml:space="preserve">2</w:t>
      </w:r>
      <w:r>
        <w:t xml:space="preserve">e</w:t>
      </w:r>
    </w:p>
    <w:p>
      <w:pPr>
        <w:numPr>
          <w:ilvl w:val="0"/>
          <w:numId w:val="1021"/>
        </w:numPr>
        <w:pStyle w:val="Compact"/>
      </w:pPr>
      <w:r>
        <w:rPr>
          <w:bCs/>
          <w:b/>
        </w:rPr>
        <w:t xml:space="preserve">Total Scope 3, Category 11 Emissions:</w:t>
      </w:r>
      <w:r>
        <w:t xml:space="preserve"> </w:t>
      </w:r>
      <w:r>
        <w:t xml:space="preserve">18.10 kgCO</w:t>
      </w:r>
      <w:r>
        <w:rPr>
          <w:vertAlign w:val="subscript"/>
        </w:rPr>
        <w:t xml:space="preserve">2</w:t>
      </w:r>
      <w:r>
        <w:t xml:space="preserve">e</w:t>
      </w:r>
    </w:p>
    <w:bookmarkEnd w:id="35"/>
    <w:bookmarkStart w:id="36" w:name="X8a83d50c0d89d142371b1cb2678444c0262a9c4"/>
    <w:p>
      <w:pPr>
        <w:pStyle w:val="Heading4"/>
      </w:pPr>
      <w:r>
        <w:t xml:space="preserve">Scope 3 Category 12: End-of-Life Treatment of Sold Products</w:t>
      </w:r>
    </w:p>
    <w:p>
      <w:pPr>
        <w:pStyle w:val="FirstParagraph"/>
      </w:pPr>
      <w:r>
        <w:t xml:space="preserve">Emissions and credits associated with the disposal and recycling of the product at the end of its life.</w:t>
      </w:r>
    </w:p>
    <w:p>
      <w:pPr>
        <w:numPr>
          <w:ilvl w:val="0"/>
          <w:numId w:val="1022"/>
        </w:numPr>
        <w:pStyle w:val="Compact"/>
      </w:pPr>
      <w:r>
        <w:rPr>
          <w:bCs/>
          <w:b/>
        </w:rPr>
        <w:t xml:space="preserve">Total Product Weight (materials only):</w:t>
      </w:r>
      <w:r>
        <w:t xml:space="preserve"> </w:t>
      </w:r>
      <w:r>
        <w:t xml:space="preserve">1.95 kg/unit</w:t>
      </w:r>
    </w:p>
    <w:p>
      <w:pPr>
        <w:numPr>
          <w:ilvl w:val="0"/>
          <w:numId w:val="1022"/>
        </w:numPr>
        <w:pStyle w:val="Compact"/>
      </w:pPr>
      <w:r>
        <w:rPr>
          <w:bCs/>
          <w:b/>
        </w:rPr>
        <w:t xml:space="preserve">Recycled Portion:</w:t>
      </w:r>
      <w:r>
        <w:t xml:space="preserve"> </w:t>
      </w:r>
      <w:r>
        <w:t xml:space="preserve">1.95 kg * 70% = 1.365 kg</w:t>
      </w:r>
    </w:p>
    <w:p>
      <w:pPr>
        <w:numPr>
          <w:ilvl w:val="0"/>
          <w:numId w:val="1022"/>
        </w:numPr>
        <w:pStyle w:val="Compact"/>
      </w:pPr>
      <w:r>
        <w:rPr>
          <w:bCs/>
          <w:b/>
        </w:rPr>
        <w:t xml:space="preserve">Landfilled Portion:</w:t>
      </w:r>
      <w:r>
        <w:t xml:space="preserve"> </w:t>
      </w:r>
      <w:r>
        <w:t xml:space="preserve">1.95 kg * 30% = 0.585 kg</w:t>
      </w:r>
    </w:p>
    <w:p>
      <w:pPr>
        <w:numPr>
          <w:ilvl w:val="0"/>
          <w:numId w:val="1022"/>
        </w:numPr>
        <w:pStyle w:val="Compact"/>
      </w:pPr>
      <w:r>
        <w:rPr>
          <w:bCs/>
          <w:b/>
        </w:rPr>
        <w:t xml:space="preserve">Recycling Credit:</w:t>
      </w:r>
      <w:r>
        <w:t xml:space="preserve"> </w:t>
      </w:r>
      <w:r>
        <w:t xml:space="preserve">1.365 kg * (-1.0 kgCO</w:t>
      </w:r>
      <w:r>
        <w:rPr>
          <w:vertAlign w:val="subscript"/>
        </w:rPr>
        <w:t xml:space="preserve">2</w:t>
      </w:r>
      <w:r>
        <w:t xml:space="preserve">e/kg) = -1.365 kgCO</w:t>
      </w:r>
      <w:r>
        <w:rPr>
          <w:vertAlign w:val="subscript"/>
        </w:rPr>
        <w:t xml:space="preserve">2</w:t>
      </w:r>
      <w:r>
        <w:t xml:space="preserve">e</w:t>
      </w:r>
    </w:p>
    <w:p>
      <w:pPr>
        <w:numPr>
          <w:ilvl w:val="0"/>
          <w:numId w:val="1022"/>
        </w:numPr>
        <w:pStyle w:val="Compact"/>
      </w:pPr>
      <w:r>
        <w:rPr>
          <w:bCs/>
          <w:b/>
        </w:rPr>
        <w:t xml:space="preserve">Landfill Emissions:</w:t>
      </w:r>
      <w:r>
        <w:t xml:space="preserve"> </w:t>
      </w:r>
      <w:r>
        <w:t xml:space="preserve">0.585 kg * 0.1 kgCO</w:t>
      </w:r>
      <w:r>
        <w:rPr>
          <w:vertAlign w:val="subscript"/>
        </w:rPr>
        <w:t xml:space="preserve">2</w:t>
      </w:r>
      <w:r>
        <w:t xml:space="preserve">e/kg = 0.0585 kgCO</w:t>
      </w:r>
      <w:r>
        <w:rPr>
          <w:vertAlign w:val="subscript"/>
        </w:rPr>
        <w:t xml:space="preserve">2</w:t>
      </w:r>
      <w:r>
        <w:t xml:space="preserve">e</w:t>
      </w:r>
    </w:p>
    <w:p>
      <w:pPr>
        <w:numPr>
          <w:ilvl w:val="0"/>
          <w:numId w:val="1022"/>
        </w:numPr>
        <w:pStyle w:val="Compact"/>
      </w:pPr>
      <w:r>
        <w:rPr>
          <w:bCs/>
          <w:b/>
        </w:rPr>
        <w:t xml:space="preserve">Net Total Scope 3, Category 12 Emissions:</w:t>
      </w:r>
      <w:r>
        <w:t xml:space="preserve"> </w:t>
      </w:r>
      <w:r>
        <w:t xml:space="preserve">-1.365 + 0.0585 = -1.31 kgCO</w:t>
      </w:r>
      <w:r>
        <w:rPr>
          <w:vertAlign w:val="subscript"/>
        </w:rPr>
        <w:t xml:space="preserve">2</w:t>
      </w:r>
      <w:r>
        <w:t xml:space="preserve">e</w:t>
      </w:r>
    </w:p>
    <w:p>
      <w:pPr>
        <w:pStyle w:val="FirstParagraph"/>
      </w:pPr>
      <w:r>
        <w:rPr>
          <w:bCs/>
          <w:b/>
        </w:rPr>
        <w:t xml:space="preserve">LSR Standard (2026 Update) Considerations:</w:t>
      </w:r>
      <w:r>
        <w:t xml:space="preserve"> </w:t>
      </w:r>
      <w:r>
        <w:t xml:space="preserve">The GHG Protocol\'s Land Sector and Removals (LSR) Standard, effective January 1, 2027, provides guidelines for accounting for land emissions, CO</w:t>
      </w:r>
      <w:r>
        <w:rPr>
          <w:vertAlign w:val="subscript"/>
        </w:rPr>
        <w:t xml:space="preserve">2</w:t>
      </w:r>
      <w:r>
        <w:t xml:space="preserve"> </w:t>
      </w:r>
      <w:r>
        <w:t xml:space="preserve">removals, and biogenic products. While specific land-use changes directly attributable to zviwykulqo\'s materials are not explicitly identified in the provided BOM, any future assessments involving bio-based materials or processes with direct land impacts would rigorously apply this standard to quantify and report associated emissions and removals. For this report, no direct LSR impacts beyond the assumed (simplified) material production and end-of-life are included, but its upcoming mandatory application is acknowledged. The guidance for the LSR Standard is expected in Q2 2026.</w:t>
      </w:r>
    </w:p>
    <w:bookmarkEnd w:id="36"/>
    <w:bookmarkEnd w:id="37"/>
    <w:bookmarkStart w:id="38"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w:t>
            </w:r>
            <w:r>
              <w:rPr>
                <w:vertAlign w:val="subscript"/>
              </w:rPr>
              <w:t xml:space="preserve">2</w:t>
            </w:r>
            <w:r>
              <w:t xml:space="preserve">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3.10</w:t>
            </w:r>
          </w:p>
        </w:tc>
      </w:tr>
      <w:tr>
        <w:tc>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19.50</w:t>
            </w:r>
          </w:p>
        </w:tc>
      </w:tr>
      <w:tr>
        <w:tc>
          <w:tcPr/>
          <w:p>
            <w:pPr>
              <w:pStyle w:val="Compact"/>
            </w:pPr>
          </w:p>
        </w:tc>
        <w:tc>
          <w:tcPr/>
          <w:p>
            <w:pPr>
              <w:pStyle w:val="Compact"/>
              <w:jc w:val="left"/>
            </w:pPr>
            <w:r>
              <w:t xml:space="preserve">Category 4: Upstream Transportation</w:t>
            </w:r>
          </w:p>
        </w:tc>
        <w:tc>
          <w:tcPr/>
          <w:p>
            <w:pPr>
              <w:pStyle w:val="Compact"/>
              <w:jc w:val="left"/>
            </w:pPr>
            <w:r>
              <w:t xml:space="preserve">0.29</w:t>
            </w:r>
          </w:p>
        </w:tc>
      </w:tr>
      <w:tr>
        <w:tc>
          <w:tcPr/>
          <w:p>
            <w:pPr>
              <w:pStyle w:val="Compact"/>
            </w:pPr>
          </w:p>
        </w:tc>
        <w:tc>
          <w:tcPr/>
          <w:p>
            <w:pPr>
              <w:pStyle w:val="Compact"/>
              <w:jc w:val="left"/>
            </w:pPr>
            <w:r>
              <w:t xml:space="preserve">Category 9: Downstream Transportation</w:t>
            </w:r>
          </w:p>
        </w:tc>
        <w:tc>
          <w:tcPr/>
          <w:p>
            <w:pPr>
              <w:pStyle w:val="Compact"/>
              <w:jc w:val="left"/>
            </w:pPr>
            <w:r>
              <w:t xml:space="preserve">0.58</w:t>
            </w:r>
          </w:p>
        </w:tc>
      </w:tr>
      <w:tr>
        <w:tc>
          <w:tcPr/>
          <w:p>
            <w:pPr>
              <w:pStyle w:val="Compact"/>
            </w:pPr>
          </w:p>
        </w:tc>
        <w:tc>
          <w:tcPr/>
          <w:p>
            <w:pPr>
              <w:pStyle w:val="Compact"/>
              <w:jc w:val="left"/>
            </w:pPr>
            <w:r>
              <w:t xml:space="preserve">Category 11: Use of Sold Products</w:t>
            </w:r>
          </w:p>
        </w:tc>
        <w:tc>
          <w:tcPr/>
          <w:p>
            <w:pPr>
              <w:pStyle w:val="Compact"/>
              <w:jc w:val="left"/>
            </w:pPr>
            <w:r>
              <w:t xml:space="preserve">18.10</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-1.31</w:t>
            </w:r>
          </w:p>
        </w:tc>
      </w:tr>
      <w:tr>
        <w:tc>
          <w:tcPr>
            <w:gridSpan w:val="2"/>
          </w:tcPr>
          <w:p>
            <w:pPr>
              <w:pStyle w:val="Compact"/>
              <w:jc w:val="left"/>
            </w:pPr>
            <w:r>
              <w:rPr>
                <w:bCs/>
                <w:b/>
              </w:rPr>
              <w:t xml:space="preserve">Total Product Carbon Footprint (zviwykulqo)</w:t>
            </w:r>
          </w:p>
        </w:tc>
        <w:tc>
          <w:tcPr/>
          <w:p>
            <w:pPr>
              <w:pStyle w:val="Compact"/>
              <w:jc w:val="left"/>
            </w:pPr>
            <w:r>
              <w:rPr>
                <w:bCs/>
                <w:b/>
              </w:rPr>
              <w:t xml:space="preserve">40.26</w:t>
            </w:r>
          </w:p>
        </w:tc>
      </w:tr>
    </w:tbl>
    <w:p>
      <w:r>
        <w:pict>
          <v:rect style="width:0;height:1.5pt" o:hralign="center" o:hrstd="t" o:hr="t"/>
        </w:pict>
      </w:r>
    </w:p>
    <w:bookmarkEnd w:id="38"/>
    <w:bookmarkEnd w:id="39"/>
    <w:bookmarkStart w:id="44" w:name="review-report"/>
    <w:p>
      <w:pPr>
        <w:pStyle w:val="Heading2"/>
      </w:pPr>
      <w:r>
        <w:t xml:space="preserve">5. Review &amp; Report</w:t>
      </w:r>
    </w:p>
    <w:bookmarkStart w:id="40" w:name="total-product-carbon-footprint"/>
    <w:p>
      <w:pPr>
        <w:pStyle w:val="Heading3"/>
      </w:pPr>
      <w:r>
        <w:t xml:space="preserve">Total Product Carbon Footprint</w:t>
      </w:r>
    </w:p>
    <w:p>
      <w:pPr>
        <w:pStyle w:val="FirstParagraph"/>
      </w:pPr>
      <w:r>
        <w:t xml:space="preserve">The total Product Carbon Footprint for one functional unit of</w:t>
      </w:r>
      <w:r>
        <w:t xml:space="preserve"> </w:t>
      </w:r>
      <w:r>
        <w:rPr>
          <w:bCs/>
          <w:b/>
        </w:rPr>
        <w:t xml:space="preserve">zviwykulqo</w:t>
      </w:r>
      <w:r>
        <w:t xml:space="preserve"> </w:t>
      </w:r>
      <w:r>
        <w:t xml:space="preserve">is calculated to be</w:t>
      </w:r>
      <w:r>
        <w:t xml:space="preserve"> </w:t>
      </w:r>
      <w:r>
        <w:rPr>
          <w:bCs/>
          <w:b/>
        </w:rPr>
        <w:t xml:space="preserve">40.26 kgCO</w:t>
      </w:r>
      <w:r>
        <w:rPr>
          <w:vertAlign w:val="subscript"/>
          <w:bCs/>
          <w:b/>
        </w:rPr>
        <w:t xml:space="preserve">2</w:t>
      </w:r>
      <w:r>
        <w:rPr>
          <w:bCs/>
          <w:b/>
        </w:rPr>
        <w:t xml:space="preserve">e</w:t>
      </w:r>
      <w:r>
        <w:t xml:space="preserve">.</w:t>
      </w:r>
    </w:p>
    <w:bookmarkEnd w:id="40"/>
    <w:bookmarkStart w:id="41" w:name="emission-hotspots"/>
    <w:p>
      <w:pPr>
        <w:pStyle w:val="Heading3"/>
      </w:pPr>
      <w:r>
        <w:t xml:space="preserve">Emission Hotspots</w:t>
      </w:r>
    </w:p>
    <w:p>
      <w:pPr>
        <w:pStyle w:val="FirstParagraph"/>
      </w:pPr>
      <w:r>
        <w:t xml:space="preserve">Based on this analysis, the primary emission hotspots for zviwykulqo are:</w:t>
      </w:r>
    </w:p>
    <w:p>
      <w:pPr>
        <w:numPr>
          <w:ilvl w:val="0"/>
          <w:numId w:val="1023"/>
        </w:numPr>
        <w:pStyle w:val="Compact"/>
      </w:pPr>
      <w:r>
        <w:rPr>
          <w:bCs/>
          <w:b/>
        </w:rPr>
        <w:t xml:space="preserve">Purchased Goods and Services (Scope 3, Category 1):</w:t>
      </w:r>
      <w:r>
        <w:t xml:space="preserve"> </w:t>
      </w:r>
      <w:r>
        <w:t xml:space="preserve">Material production, particularly the Aluminium Casing and Electronic Circuit Board, contributes significantly (approximately 48.4% of the total positive footprint). This highlights the importance of material selection and supply chain engagement for lower-carbon alternatives.</w:t>
      </w:r>
    </w:p>
    <w:p>
      <w:pPr>
        <w:numPr>
          <w:ilvl w:val="0"/>
          <w:numId w:val="1023"/>
        </w:numPr>
        <w:pStyle w:val="Compact"/>
      </w:pPr>
      <w:r>
        <w:rPr>
          <w:bCs/>
          <w:b/>
        </w:rPr>
        <w:t xml:space="preserve">Use of Sold Products (Scope 3, Category 11):</w:t>
      </w:r>
      <w:r>
        <w:t xml:space="preserve"> </w:t>
      </w:r>
      <w:r>
        <w:t xml:space="preserve">Energy consumption during the product\'s 5-year lifespan is another major contributor (approximately 44.9% of the total positive footprint). Improving energy efficiency and promoting renewable energy sources for end-users are key leverage points.</w:t>
      </w:r>
    </w:p>
    <w:p>
      <w:pPr>
        <w:numPr>
          <w:ilvl w:val="0"/>
          <w:numId w:val="1023"/>
        </w:numPr>
        <w:pStyle w:val="Compact"/>
      </w:pPr>
      <w:r>
        <w:rPr>
          <w:bCs/>
          <w:b/>
        </w:rPr>
        <w:t xml:space="preserve">Purchased Electricity (Scope 2):</w:t>
      </w:r>
      <w:r>
        <w:t xml:space="preserve"> </w:t>
      </w:r>
      <w:r>
        <w:t xml:space="preserve">Manufacturing energy, despite 50% renewable usage, still accounts for a notable portion (approximately 7.7% of the total positive footprint). Increasing renewable energy procurement at the production facility would further reduce this impact.</w:t>
      </w:r>
    </w:p>
    <w:bookmarkEnd w:id="41"/>
    <w:bookmarkStart w:id="42" w:name="reliability-and-scope-3-compliance"/>
    <w:p>
      <w:pPr>
        <w:pStyle w:val="Heading3"/>
      </w:pPr>
      <w:r>
        <w:t xml:space="preserve">Reliability and Scope 3 Compliance</w:t>
      </w:r>
    </w:p>
    <w:p>
      <w:pPr>
        <w:pStyle w:val="FirstParagraph"/>
      </w:pPr>
      <w:r>
        <w:t xml:space="preserve">This analysis leverages provided product-specific data and industry-average emission factors, aiming for high accuracy. In adherence to the GHG Protocol\'s 2026 Scope 3 requirements, efforts have been made to ensure at least 95% coverage of relevant Scope 3 emissions categories. For this illustrative report, the included Scope 3 categories cover the most significant contributors based on a typical product lifecycle. For a full commercial report, additional minor categories (e.g., business travel, employee commuting, capital goods, waste from operations) would be quantified or robustly justified as immaterial. Mandatory data disaggregation (primary vs. secondary) emphasizes the need for actual supplier-specific data for improved accuracy in future reporting.</w:t>
      </w:r>
    </w:p>
    <w:bookmarkEnd w:id="42"/>
    <w:bookmarkStart w:id="43" w:name="recommendations"/>
    <w:p>
      <w:pPr>
        <w:pStyle w:val="Heading3"/>
      </w:pPr>
      <w:r>
        <w:t xml:space="preserve">Recommendations</w:t>
      </w:r>
    </w:p>
    <w:p>
      <w:pPr>
        <w:numPr>
          <w:ilvl w:val="0"/>
          <w:numId w:val="1024"/>
        </w:numPr>
        <w:pStyle w:val="Compact"/>
      </w:pPr>
      <w:r>
        <w:rPr>
          <w:bCs/>
          <w:b/>
        </w:rPr>
        <w:t xml:space="preserve">Material Optimization:</w:t>
      </w:r>
      <w:r>
        <w:t xml:space="preserve"> </w:t>
      </w:r>
      <w:r>
        <w:t xml:space="preserve">Investigate opportunities for using lower-carbon materials, recycled content with lower associated virgin material credits, or materials with less energy-intensive production processes for the aluminium casing and electronic components. Engage with suppliers to obtain primary emission data for these critical materials.</w:t>
      </w:r>
    </w:p>
    <w:p>
      <w:pPr>
        <w:numPr>
          <w:ilvl w:val="0"/>
          <w:numId w:val="1024"/>
        </w:numPr>
        <w:pStyle w:val="Compact"/>
      </w:pPr>
      <w:r>
        <w:rPr>
          <w:bCs/>
          <w:b/>
        </w:rPr>
        <w:t xml:space="preserve">Energy Efficiency in Use:</w:t>
      </w:r>
      <w:r>
        <w:t xml:space="preserve"> </w:t>
      </w:r>
      <w:r>
        <w:t xml:space="preserve">Explore design improvements to reduce the energy consumption of zviwykulqo during its operational lifespan. Educate consumers on efficient product use.</w:t>
      </w:r>
    </w:p>
    <w:p>
      <w:pPr>
        <w:numPr>
          <w:ilvl w:val="0"/>
          <w:numId w:val="1024"/>
        </w:numPr>
        <w:pStyle w:val="Compact"/>
      </w:pPr>
      <w:r>
        <w:rPr>
          <w:bCs/>
          <w:b/>
        </w:rPr>
        <w:t xml:space="preserve">Renewable Energy Procurement:</w:t>
      </w:r>
      <w:r>
        <w:t xml:space="preserve"> </w:t>
      </w:r>
      <w:r>
        <w:t xml:space="preserve">Increase the percentage of renewable energy used in the manufacturing facility in China beyond the current</w:t>
      </w:r>
      <w:r>
        <w:t xml:space="preserve"> </w:t>
      </w:r>
      <w:r>
        <w:rPr>
          <w:rStyle w:val="VerbatimChar"/>
        </w:rPr>
        <w:t xml:space="preserve">hqxitfvhhs</w:t>
      </w:r>
      <w:r>
        <w:t xml:space="preserve"> </w:t>
      </w:r>
      <w:r>
        <w:t xml:space="preserve">(illustrative 50%) to further decarbonize Scope 2 emissions.</w:t>
      </w:r>
    </w:p>
    <w:p>
      <w:pPr>
        <w:numPr>
          <w:ilvl w:val="0"/>
          <w:numId w:val="1024"/>
        </w:numPr>
        <w:pStyle w:val="Compact"/>
      </w:pPr>
      <w:r>
        <w:rPr>
          <w:bCs/>
          <w:b/>
        </w:rPr>
        <w:t xml:space="preserve">Logistics Optimization:</w:t>
      </w:r>
      <w:r>
        <w:t xml:space="preserve"> </w:t>
      </w:r>
      <w:r>
        <w:t xml:space="preserve">While transport is a smaller hotspot, continuous optimization of logistics routes, modes, and load factors can contribute to incremental reductions.</w:t>
      </w:r>
    </w:p>
    <w:p>
      <w:pPr>
        <w:numPr>
          <w:ilvl w:val="0"/>
          <w:numId w:val="1024"/>
        </w:numPr>
        <w:pStyle w:val="Compact"/>
      </w:pPr>
      <w:r>
        <w:rPr>
          <w:bCs/>
          <w:b/>
        </w:rPr>
        <w:t xml:space="preserve">Circular Economy Integration:</w:t>
      </w:r>
      <w:r>
        <w:t xml:space="preserve"> </w:t>
      </w:r>
      <w:r>
        <w:t xml:space="preserve">Strengthen the existing circular/take-back programs (</w:t>
      </w:r>
      <w:r>
        <w:rPr>
          <w:rStyle w:val="VerbatimChar"/>
        </w:rPr>
        <w:t xml:space="preserve">qsdfjpmxvl</w:t>
      </w:r>
      <w:r>
        <w:t xml:space="preserve">) to maximize material recovery, reuse, and high-quality recycling, minimizing the portion sent to landfill.</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zviwykulqo</dc:title>
  <dc:creator/>
  <dc:description>High-detail Product Carbon Footprint (PCF) analysis report for zviwykulqo, prepared by guwwwuxhhi of zupxksmxov, adhering to GHG Protocol and 2026 requirements.</dc:description>
  <dc:language>en</dc:language>
  <cp:keywords/>
  <dcterms:created xsi:type="dcterms:W3CDTF">2026-05-30T22:59:11Z</dcterms:created>
  <dcterms:modified xsi:type="dcterms:W3CDTF">2026-05-30T22:59:11Z</dcterms:modified>
</cp:coreProperties>
</file>

<file path=docProps/custom.xml><?xml version="1.0" encoding="utf-8"?>
<Properties xmlns="http://schemas.openxmlformats.org/officeDocument/2006/custom-properties" xmlns:vt="http://schemas.openxmlformats.org/officeDocument/2006/docPropsVTypes"/>
</file>