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zpuyozduok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zpuyozduok</w:t>
      </w:r>
    </w:p>
    <w:p>
      <w:pPr>
        <w:pStyle w:val="BodyText"/>
      </w:pPr>
      <w:r>
        <w:rPr>
          <w:bCs/>
          <w:b/>
        </w:rPr>
        <w:t xml:space="preserve">Company:</w:t>
      </w:r>
      <w:r>
        <w:t xml:space="preserve"> </w:t>
      </w:r>
      <w:r>
        <w:t xml:space="preserve">vmuvuwrtjf</w:t>
      </w:r>
    </w:p>
    <w:p>
      <w:pPr>
        <w:pStyle w:val="BodyText"/>
      </w:pPr>
      <w:r>
        <w:rPr>
          <w:bCs/>
          <w:b/>
        </w:rPr>
        <w:t xml:space="preserve">Senior Sustainability Consultant:</w:t>
      </w:r>
      <w:r>
        <w:t xml:space="preserve"> </w:t>
      </w:r>
      <w:r>
        <w:t xml:space="preserve">rdhhvsqsus</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real-world conditions and specific supplier data.</w:t>
      </w:r>
    </w:p>
    <w:bookmarkEnd w:id="20"/>
    <w:bookmarkStart w:id="39" w:name="X6561f817375721d6d186fc7b5fc6d0d8bba6bbf"/>
    <w:p>
      <w:pPr>
        <w:pStyle w:val="Heading1"/>
      </w:pPr>
      <w:r>
        <w:t xml:space="preserve">Product Carbon Footprint Analysis Report for zpuyozduok</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zpuyozduok</w:t>
      </w:r>
      <w:r>
        <w:t xml:space="preserve">, manufactured by</w:t>
      </w:r>
      <w:r>
        <w:t xml:space="preserve"> </w:t>
      </w:r>
      <w:r>
        <w:rPr>
          <w:bCs/>
          <w:b/>
        </w:rPr>
        <w:t xml:space="preserve">vmuvuwrtjf</w:t>
      </w:r>
      <w:r>
        <w:t xml:space="preserve">. Conducted by Senior Sustainability Consultant</w:t>
      </w:r>
      <w:r>
        <w:t xml:space="preserve"> </w:t>
      </w:r>
      <w:r>
        <w:rPr>
          <w:bCs/>
          <w:b/>
        </w:rPr>
        <w:t xml:space="preserve">rdhhvsqsus</w:t>
      </w:r>
      <w:r>
        <w:t xml:space="preserve">, this analysis adheres strictly to the GHG Protocol, including the 2026 Land Sector and Removals (LSR) Standard and aims for at least 95% Scope 3 coverage. The assessment covers emissions from raw material acquisition, manufacturing, transportation, the use phase, and end-of-life scenarios, providing a comprehensive understanding of the product\'s environmental impact across its lifecycle. Key hotspots and recommendations for emission reduction are identified.</w:t>
      </w:r>
    </w:p>
    <w:p>
      <w:r>
        <w:pict>
          <v:rect style="width:0;height:1.5pt" o:hralign="center" o:hrstd="t" o:hr="t"/>
        </w:pict>
      </w:r>
    </w:p>
    <w:bookmarkEnd w:id="21"/>
    <w:bookmarkStart w:id="23" w:name="scope-definition"/>
    <w:p>
      <w:pPr>
        <w:pStyle w:val="Heading2"/>
      </w:pPr>
      <w:r>
        <w:t xml:space="preserve">1. Scope Definition</w:t>
      </w:r>
    </w:p>
    <w:p>
      <w:pPr>
        <w:pStyle w:val="FirstParagraph"/>
      </w:pPr>
      <w:r>
        <w:t xml:space="preserve">This section defines the parameters and boundaries for the Product Carbon Footprint analysis of zpuyozduok.</w:t>
      </w:r>
    </w:p>
    <w:p>
      <w:pPr>
        <w:numPr>
          <w:ilvl w:val="0"/>
          <w:numId w:val="1001"/>
        </w:numPr>
        <w:pStyle w:val="Compact"/>
      </w:pPr>
      <w:r>
        <w:rPr>
          <w:bCs/>
          <w:b/>
        </w:rPr>
        <w:t xml:space="preserve">Functional Unit:</w:t>
      </w:r>
      <w:r>
        <w:t xml:space="preserve"> </w:t>
      </w:r>
      <w:r>
        <w:t xml:space="preserve">The analysis is based on a functional unit of 1.0 unit of zpuyozduok.</w:t>
      </w:r>
    </w:p>
    <w:p>
      <w:pPr>
        <w:numPr>
          <w:ilvl w:val="0"/>
          <w:numId w:val="1001"/>
        </w:numPr>
        <w:pStyle w:val="Compact"/>
      </w:pPr>
      <w:r>
        <w:rPr>
          <w:bCs/>
          <w:b/>
        </w:rPr>
        <w:t xml:space="preserve">System Boundary:</w:t>
      </w:r>
      <w:r>
        <w:t xml:space="preserve"> </w:t>
      </w:r>
      <w:r>
        <w:t xml:space="preserve">The system boundary for this PCF is defined as "factory_gate", meaning it encompasses all processes from raw material acquisition, through manufacturing, up to the point the finished product leaves the factory gate. However, to provide a complete lifecycle assessment, upstream transport, the use phase, and end-of-life are also evaluated as part of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raw materials and components are largely sourced from or pass through Europe before reaching the final production country).</w:t>
      </w:r>
    </w:p>
    <w:p>
      <w:pPr>
        <w:numPr>
          <w:ilvl w:val="0"/>
          <w:numId w:val="1001"/>
        </w:numPr>
        <w:pStyle w:val="Compact"/>
      </w:pPr>
      <w:r>
        <w:rPr>
          <w:bCs/>
          <w:b/>
        </w:rPr>
        <w:t xml:space="preserve">Accounting Standard:</w:t>
      </w:r>
      <w:r>
        <w:t xml:space="preserve"> </w:t>
      </w:r>
      <w:r>
        <w:t xml:space="preserve">The analysis strictly adheres to the</w:t>
      </w:r>
      <w:r>
        <w:t xml:space="preserve"> </w:t>
      </w:r>
      <w:hyperlink r:id="rId22">
        <w:r>
          <w:rPr>
            <w:rStyle w:val="Hyperlink"/>
          </w:rPr>
          <w:t xml:space="preserve">GHG Protocol</w:t>
        </w:r>
      </w:hyperlink>
      <w:r>
        <w:t xml:space="preserve"> </w:t>
      </w:r>
      <w:r>
        <w:t xml:space="preserve">Product Standard, ensuring consistent and transparent reporting of greenhouse gas emissions.</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energy content) or economic value, depending on data availability and relevance to the functional unit.</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lifecycle stages included in the analysis and the data collected for each stage. Emission calculations are performed by multiplying activity data by relevant emission factors (Activity Data * Emission Factor = CO2e). Industry-standard emission factors (e.g., from Ecoinvent/DEFRA equivalents) are applied, with specific values used where provided, or reasonable approximations made for illustrative purposes.</w:t>
      </w:r>
    </w:p>
    <w:bookmarkStart w:id="24" w:name="Xa124a95b981c370289279a4b723120ad8e79cc2"/>
    <w:p>
      <w:pPr>
        <w:pStyle w:val="Heading3"/>
      </w:pPr>
      <w:r>
        <w:t xml:space="preserve">2.1. Materials Acquisition &amp; Pre-processing (Scope 3 - Upstream)</w:t>
      </w:r>
    </w:p>
    <w:p>
      <w:pPr>
        <w:pStyle w:val="FirstParagraph"/>
      </w:pPr>
      <w:r>
        <w:t xml:space="preserve">The Bill of Materials (BOM) for zpuyozduok is critical for accurately assessing the upstream impacts. The provided BOM data (ukgtnrml) is interpreted and broken down as follows. Note: As "ukgtnrml" is a placeholder string, the following table uses illustrative data consistent with the specified BOM format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Polycarbonate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4.5</w:t>
            </w:r>
          </w:p>
        </w:tc>
        <w:tc>
          <w:tcPr/>
          <w:p>
            <w:pPr>
              <w:pStyle w:val="Compact"/>
              <w:jc w:val="left"/>
            </w:pPr>
            <w:r>
              <w:t xml:space="preserve">1.35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Battery Cell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Packaging Material (Cardboard)</w:t>
            </w:r>
          </w:p>
        </w:tc>
        <w:tc>
          <w:tcPr/>
          <w:p>
            <w:pPr>
              <w:pStyle w:val="Compact"/>
              <w:jc w:val="left"/>
            </w:pPr>
            <w:r>
              <w:t xml:space="preserve">Paper/Wood</w:t>
            </w:r>
          </w:p>
        </w:tc>
        <w:tc>
          <w:tcPr/>
          <w:p>
            <w:pPr>
              <w:pStyle w:val="Compact"/>
              <w:jc w:val="left"/>
            </w:pPr>
            <w:r>
              <w:t xml:space="preserve">Paper Pulping, 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left"/>
            </w:pPr>
            <w:r>
              <w:t xml:space="preserve">Total Material Emissions (Illustrative)</w:t>
            </w:r>
          </w:p>
        </w:tc>
        <w:tc>
          <w:tcPr/>
          <w:p>
            <w:pPr>
              <w:pStyle w:val="Compact"/>
              <w:jc w:val="left"/>
            </w:pPr>
            <w:r>
              <w:t xml:space="preserve">9.33</w:t>
            </w:r>
          </w:p>
        </w:tc>
      </w:tr>
    </w:tbl>
    <w:p>
      <w:pPr>
        <w:pStyle w:val="BodyText"/>
      </w:pPr>
      <w:r>
        <w:rPr>
          <w:iCs/>
          <w:i/>
        </w:rPr>
        <w:t xml:space="preserve">(Note: Emission Factors and Total Carbon values in the table above are illustrative, derived for demonstration purposes based on typical industry estimates, as specific data for "ukgtnrml" and direct access to Ecoinvent/DEFRA were not provided. These represent Scope 3 emissions.)</w:t>
      </w:r>
    </w:p>
    <w:bookmarkEnd w:id="24"/>
    <w:bookmarkStart w:id="25" w:name="manufacturing-production-scope-1-scope-2"/>
    <w:p>
      <w:pPr>
        <w:pStyle w:val="Heading3"/>
      </w:pPr>
      <w:r>
        <w:t xml:space="preserve">2.2. Manufacturing / Production (Scope 1 &amp; Scope 2)</w:t>
      </w:r>
    </w:p>
    <w:p>
      <w:pPr>
        <w:pStyle w:val="FirstParagraph"/>
      </w:pPr>
      <w:r>
        <w:t xml:space="preserve">The production phase covers the energy consumption at the manufacturing facility in China.</w:t>
      </w:r>
    </w:p>
    <w:p>
      <w:pPr>
        <w:numPr>
          <w:ilvl w:val="0"/>
          <w:numId w:val="1003"/>
        </w:numPr>
        <w:pStyle w:val="Compact"/>
      </w:pPr>
      <w:r>
        <w:rPr>
          <w:bCs/>
          <w:b/>
        </w:rPr>
        <w:t xml:space="preserve">Energy Intensity (kWh/unit):</w:t>
      </w:r>
      <w:r>
        <w:t xml:space="preserve"> </w:t>
      </w:r>
      <w:r>
        <w:t xml:space="preserve">erddflxuno kWh/unit. (Illustrative: Assuming 5.0 kWh/unit)</w:t>
      </w:r>
    </w:p>
    <w:p>
      <w:pPr>
        <w:numPr>
          <w:ilvl w:val="0"/>
          <w:numId w:val="1003"/>
        </w:numPr>
        <w:pStyle w:val="Compact"/>
      </w:pPr>
      <w:r>
        <w:rPr>
          <w:bCs/>
          <w:b/>
        </w:rPr>
        <w:t xml:space="preserve">Renewable Energy Usage:</w:t>
      </w:r>
      <w:r>
        <w:t xml:space="preserve"> </w:t>
      </w:r>
      <w:r>
        <w:t xml:space="preserve">kvidnjgvlg. (Illustrative: Assuming 60% renewable energy from purchased electricity)</w:t>
      </w:r>
    </w:p>
    <w:p>
      <w:pPr>
        <w:numPr>
          <w:ilvl w:val="0"/>
          <w:numId w:val="1003"/>
        </w:numPr>
        <w:pStyle w:val="Compact"/>
      </w:pPr>
      <w:r>
        <w:rPr>
          <w:bCs/>
          <w:b/>
        </w:rPr>
        <w:t xml:space="preserve">Grid Electricity Emission Factor (China):</w:t>
      </w:r>
      <w:r>
        <w:t xml:space="preserve"> </w:t>
      </w:r>
      <w:r>
        <w:t xml:space="preserve">Approximately 0.65 kg CO2e/kWh (average for China, illustrative).</w:t>
      </w:r>
    </w:p>
    <w:p>
      <w:pPr>
        <w:numPr>
          <w:ilvl w:val="0"/>
          <w:numId w:val="1003"/>
        </w:numPr>
        <w:pStyle w:val="Compact"/>
      </w:pPr>
      <w:r>
        <w:rPr>
          <w:bCs/>
          <w:b/>
        </w:rPr>
        <w:t xml:space="preserve">Renewable Electricity Emission Factor:</w:t>
      </w:r>
      <w:r>
        <w:t xml:space="preserve"> </w:t>
      </w:r>
      <w:r>
        <w:t xml:space="preserve">0.0 kg CO2e/kWh (assuming certified renewable energy).</w:t>
      </w:r>
    </w:p>
    <w:p>
      <w:pPr>
        <w:numPr>
          <w:ilvl w:val="0"/>
          <w:numId w:val="1003"/>
        </w:numPr>
        <w:pStyle w:val="Compact"/>
      </w:pPr>
      <w:r>
        <w:rPr>
          <w:bCs/>
          <w:b/>
        </w:rPr>
        <w:t xml:space="preserve">On-site Fuel Consumption (Scope 1):</w:t>
      </w:r>
      <w:r>
        <w:t xml:space="preserve"> </w:t>
      </w:r>
      <w:r>
        <w:t xml:space="preserve">Assuming minimal direct fuel combustion at the factory_gate boundary for production (e.g., heating). (Illustrative: 0.1 kg CO2e/unit from natural gas equivalent)</w:t>
      </w:r>
    </w:p>
    <w:bookmarkEnd w:id="25"/>
    <w:bookmarkStart w:id="26" w:name="X981923b8cb60f0edee598a5efe02199461582eb"/>
    <w:p>
      <w:pPr>
        <w:pStyle w:val="Heading3"/>
      </w:pPr>
      <w:r>
        <w:t xml:space="preserve">2.3. Transportation (Scope 3 - Upstream &amp; Downstream)</w:t>
      </w:r>
    </w:p>
    <w:p>
      <w:pPr>
        <w:pStyle w:val="FirstParagraph"/>
      </w:pPr>
      <w:r>
        <w:t xml:space="preserve">Transportation includes inbound logistics of materials to the factory and outbound logistics of the finished product.</w:t>
      </w:r>
    </w:p>
    <w:p>
      <w:pPr>
        <w:numPr>
          <w:ilvl w:val="0"/>
          <w:numId w:val="1004"/>
        </w:numPr>
        <w:pStyle w:val="Compact"/>
      </w:pPr>
      <w:r>
        <w:rPr>
          <w:bCs/>
          <w:b/>
        </w:rPr>
        <w:t xml:space="preserve">Upstream Transport (Materials to Factory - Europe Focused):</w:t>
      </w:r>
    </w:p>
    <w:p>
      <w:pPr>
        <w:numPr>
          <w:ilvl w:val="1"/>
          <w:numId w:val="1005"/>
        </w:numPr>
        <w:pStyle w:val="Compact"/>
      </w:pPr>
      <w:r>
        <w:rPr>
          <w:bCs/>
          <w:b/>
        </w:rPr>
        <w:t xml:space="preserve">Transport Mode:</w:t>
      </w:r>
      <w:r>
        <w:t xml:space="preserve"> </w:t>
      </w:r>
      <w:r>
        <w:t xml:space="preserve">Select Mode. (Illustrative: Sea freight for long haul, Truck for regional distribution)</w:t>
      </w:r>
    </w:p>
    <w:p>
      <w:pPr>
        <w:numPr>
          <w:ilvl w:val="1"/>
          <w:numId w:val="1005"/>
        </w:numPr>
        <w:pStyle w:val="Compact"/>
      </w:pPr>
      <w:r>
        <w:rPr>
          <w:bCs/>
          <w:b/>
        </w:rPr>
        <w:t xml:space="preserve">Transport Distance:</w:t>
      </w:r>
      <w:r>
        <w:t xml:space="preserve"> </w:t>
      </w:r>
      <w:r>
        <w:t xml:space="preserve">xzfsieyqlh. (Illustrative: 10,000 km by sea, 500 km by truck)</w:t>
      </w:r>
    </w:p>
    <w:p>
      <w:pPr>
        <w:numPr>
          <w:ilvl w:val="1"/>
          <w:numId w:val="1005"/>
        </w:numPr>
        <w:pStyle w:val="Compact"/>
      </w:pPr>
      <w:r>
        <w:rPr>
          <w:bCs/>
          <w:b/>
        </w:rPr>
        <w:t xml:space="preserve">Emission Factors (Illustrative):</w:t>
      </w:r>
    </w:p>
    <w:p>
      <w:pPr>
        <w:numPr>
          <w:ilvl w:val="2"/>
          <w:numId w:val="1006"/>
        </w:numPr>
        <w:pStyle w:val="Compact"/>
      </w:pPr>
      <w:r>
        <w:t xml:space="preserve">Sea Freight (Container Ship): 0.01 kg CO2e/tonne-km</w:t>
      </w:r>
    </w:p>
    <w:p>
      <w:pPr>
        <w:numPr>
          <w:ilvl w:val="2"/>
          <w:numId w:val="1006"/>
        </w:numPr>
        <w:pStyle w:val="Compact"/>
      </w:pPr>
      <w:r>
        <w:t xml:space="preserve">Heavy Goods Vehicle (Truck): 0.1 kg CO2e/tonne-km</w:t>
      </w:r>
    </w:p>
    <w:p>
      <w:pPr>
        <w:numPr>
          <w:ilvl w:val="1"/>
          <w:numId w:val="1005"/>
        </w:numPr>
        <w:pStyle w:val="Compact"/>
      </w:pPr>
      <w:r>
        <w:rPr>
          <w:bCs/>
          <w:b/>
        </w:rPr>
        <w:t xml:space="preserve">Product Weight (Illustrative):</w:t>
      </w:r>
      <w:r>
        <w:t xml:space="preserve"> </w:t>
      </w:r>
      <w:r>
        <w:t xml:space="preserve">Approx. 1.5 kg (sum of BOM materials). Assuming 2.0 kg including packaging.</w:t>
      </w:r>
    </w:p>
    <w:p>
      <w:pPr>
        <w:numPr>
          <w:ilvl w:val="0"/>
          <w:numId w:val="1004"/>
        </w:numPr>
        <w:pStyle w:val="Compact"/>
      </w:pPr>
      <w:r>
        <w:rPr>
          <w:bCs/>
          <w:b/>
        </w:rPr>
        <w:t xml:space="preserve">Downstream Transport (Product to Market/Customer):</w:t>
      </w:r>
    </w:p>
    <w:p>
      <w:pPr>
        <w:numPr>
          <w:ilvl w:val="1"/>
          <w:numId w:val="1007"/>
        </w:numPr>
        <w:pStyle w:val="Compact"/>
      </w:pPr>
      <w:r>
        <w:rPr>
          <w:bCs/>
          <w:b/>
        </w:rPr>
        <w:t xml:space="preserve">Transport Mode:</w:t>
      </w:r>
      <w:r>
        <w:t xml:space="preserve"> </w:t>
      </w:r>
      <w:r>
        <w:t xml:space="preserve">Select Mode (Illustrative: Intercontinental air freight to Europe, then local truck delivery).</w:t>
      </w:r>
    </w:p>
    <w:p>
      <w:pPr>
        <w:numPr>
          <w:ilvl w:val="1"/>
          <w:numId w:val="1007"/>
        </w:numPr>
        <w:pStyle w:val="Compact"/>
      </w:pPr>
      <w:r>
        <w:rPr>
          <w:bCs/>
          <w:b/>
        </w:rPr>
        <w:t xml:space="preserve">Transport Distance:</w:t>
      </w:r>
      <w:r>
        <w:t xml:space="preserve"> </w:t>
      </w:r>
      <w:r>
        <w:t xml:space="preserve">xzfsieyqlh. (Illustrative: 8,000 km by air, 200 km by truck for last-mile)</w:t>
      </w:r>
    </w:p>
    <w:p>
      <w:pPr>
        <w:numPr>
          <w:ilvl w:val="1"/>
          <w:numId w:val="1007"/>
        </w:numPr>
        <w:pStyle w:val="Compact"/>
      </w:pPr>
      <w:r>
        <w:rPr>
          <w:bCs/>
          <w:b/>
        </w:rPr>
        <w:t xml:space="preserve">Last-Mile Delivery Channel:</w:t>
      </w:r>
      <w:r>
        <w:t xml:space="preserve"> </w:t>
      </w:r>
      <w:r>
        <w:t xml:space="preserve">Delivery Type (Illustrative: Commercial parcel service using vans).</w:t>
      </w:r>
    </w:p>
    <w:p>
      <w:pPr>
        <w:numPr>
          <w:ilvl w:val="1"/>
          <w:numId w:val="1007"/>
        </w:numPr>
        <w:pStyle w:val="Compact"/>
      </w:pPr>
      <w:r>
        <w:rPr>
          <w:bCs/>
          <w:b/>
        </w:rPr>
        <w:t xml:space="preserve">Emission Factors (Illustrative):</w:t>
      </w:r>
    </w:p>
    <w:p>
      <w:pPr>
        <w:numPr>
          <w:ilvl w:val="2"/>
          <w:numId w:val="1008"/>
        </w:numPr>
        <w:pStyle w:val="Compact"/>
      </w:pPr>
      <w:r>
        <w:t xml:space="preserve">Air Freight: 0.8 kg CO2e/tonne-km</w:t>
      </w:r>
    </w:p>
    <w:p>
      <w:pPr>
        <w:numPr>
          <w:ilvl w:val="2"/>
          <w:numId w:val="1008"/>
        </w:numPr>
        <w:pStyle w:val="Compact"/>
      </w:pPr>
      <w:r>
        <w:t xml:space="preserve">Light Commercial Vehicle (Van for last-mile): 0.3 kg CO2e/tonne-km</w:t>
      </w:r>
    </w:p>
    <w:bookmarkEnd w:id="26"/>
    <w:bookmarkStart w:id="27" w:name="use-phase-scope-3---downstream"/>
    <w:p>
      <w:pPr>
        <w:pStyle w:val="Heading3"/>
      </w:pPr>
      <w:r>
        <w:t xml:space="preserve">2.4. Use Phase (Scope 3 - Downstream)</w:t>
      </w:r>
    </w:p>
    <w:p>
      <w:pPr>
        <w:pStyle w:val="FirstParagraph"/>
      </w:pPr>
      <w:r>
        <w:t xml:space="preserve">The use phase accounts for energy consumption during the product\'s operational life.</w:t>
      </w:r>
    </w:p>
    <w:p>
      <w:pPr>
        <w:numPr>
          <w:ilvl w:val="0"/>
          <w:numId w:val="1009"/>
        </w:numPr>
        <w:pStyle w:val="Compact"/>
      </w:pPr>
      <w:r>
        <w:rPr>
          <w:bCs/>
          <w:b/>
        </w:rPr>
        <w:t xml:space="preserve">Product Lifespan:</w:t>
      </w:r>
      <w:r>
        <w:t xml:space="preserve"> </w:t>
      </w:r>
      <w:r>
        <w:t xml:space="preserve">ndgjighsqh. (Illustrative: 3 years)</w:t>
      </w:r>
    </w:p>
    <w:p>
      <w:pPr>
        <w:numPr>
          <w:ilvl w:val="0"/>
          <w:numId w:val="1009"/>
        </w:numPr>
        <w:pStyle w:val="Compact"/>
      </w:pPr>
      <w:r>
        <w:rPr>
          <w:bCs/>
          <w:b/>
        </w:rPr>
        <w:t xml:space="preserve">Energy Consumption in Use:</w:t>
      </w:r>
      <w:r>
        <w:t xml:space="preserve"> </w:t>
      </w:r>
      <w:r>
        <w:t xml:space="preserve">tdlrrieske. (Illustrative: 10 kWh/year)</w:t>
      </w:r>
    </w:p>
    <w:p>
      <w:pPr>
        <w:numPr>
          <w:ilvl w:val="0"/>
          <w:numId w:val="1009"/>
        </w:numPr>
        <w:pStyle w:val="Compact"/>
      </w:pPr>
      <w:r>
        <w:rPr>
          <w:bCs/>
          <w:b/>
        </w:rPr>
        <w:t xml:space="preserve">Electricity Grid Mix (User Location - Europe Focused):</w:t>
      </w:r>
      <w:r>
        <w:t xml:space="preserve"> </w:t>
      </w:r>
      <w:r>
        <w:t xml:space="preserve">Assuming an average European grid mix emission factor. (Illustrative: 0.25 kg CO2e/kWh)</w:t>
      </w:r>
    </w:p>
    <w:bookmarkEnd w:id="27"/>
    <w:bookmarkStart w:id="28" w:name="end-of-life-eol-scope-3---downstream"/>
    <w:p>
      <w:pPr>
        <w:pStyle w:val="Heading3"/>
      </w:pPr>
      <w:r>
        <w:t xml:space="preserve">2.5. End-of-Life (EoL) (Scope 3 - Downstream)</w:t>
      </w:r>
    </w:p>
    <w:p>
      <w:pPr>
        <w:pStyle w:val="FirstParagraph"/>
      </w:pPr>
      <w:r>
        <w:t xml:space="preserve">The EoL phase considers disposal, recycling, and recovery processes.</w:t>
      </w:r>
    </w:p>
    <w:p>
      <w:pPr>
        <w:numPr>
          <w:ilvl w:val="0"/>
          <w:numId w:val="1010"/>
        </w:numPr>
        <w:pStyle w:val="Compact"/>
      </w:pPr>
      <w:r>
        <w:rPr>
          <w:bCs/>
          <w:b/>
        </w:rPr>
        <w:t xml:space="preserve">Recyclability Percentage:</w:t>
      </w:r>
      <w:r>
        <w:t xml:space="preserve"> </w:t>
      </w:r>
      <w:r>
        <w:t xml:space="preserve">mplnqtxwei. (Illustrative: 70%)</w:t>
      </w:r>
    </w:p>
    <w:p>
      <w:pPr>
        <w:numPr>
          <w:ilvl w:val="0"/>
          <w:numId w:val="1010"/>
        </w:numPr>
        <w:pStyle w:val="Compact"/>
      </w:pPr>
      <w:r>
        <w:rPr>
          <w:bCs/>
          <w:b/>
        </w:rPr>
        <w:t xml:space="preserve">Circular/Take-back Programs:</w:t>
      </w:r>
      <w:r>
        <w:t xml:space="preserve"> </w:t>
      </w:r>
      <w:r>
        <w:t xml:space="preserve">ivwqyjznqq. (Illustrative: Company-sponsored take-back program for key components).</w:t>
      </w:r>
    </w:p>
    <w:p>
      <w:pPr>
        <w:numPr>
          <w:ilvl w:val="0"/>
          <w:numId w:val="1010"/>
        </w:numPr>
        <w:pStyle w:val="Compact"/>
      </w:pPr>
      <w:r>
        <w:rPr>
          <w:bCs/>
          <w:b/>
        </w:rPr>
        <w:t xml:space="preserve">Disposal (Landfill/Incineration) Emission Factor (Illustrative):</w:t>
      </w:r>
      <w:r>
        <w:t xml:space="preserve"> </w:t>
      </w:r>
      <w:r>
        <w:t xml:space="preserve">1.0 kg CO2e/kg of waste.</w:t>
      </w:r>
    </w:p>
    <w:p>
      <w:pPr>
        <w:numPr>
          <w:ilvl w:val="0"/>
          <w:numId w:val="1010"/>
        </w:numPr>
        <w:pStyle w:val="Compact"/>
      </w:pPr>
      <w:r>
        <w:rPr>
          <w:bCs/>
          <w:b/>
        </w:rPr>
        <w:t xml:space="preserve">Recycling Credit (Illustrative):</w:t>
      </w:r>
      <w:r>
        <w:t xml:space="preserve"> </w:t>
      </w:r>
      <w:r>
        <w:t xml:space="preserve">-0.5 kg CO2e/kg of recycled material (avoided virgin material production).</w:t>
      </w:r>
    </w:p>
    <w:p>
      <w:pPr>
        <w:numPr>
          <w:ilvl w:val="0"/>
          <w:numId w:val="1010"/>
        </w:numPr>
        <w:pStyle w:val="Compact"/>
      </w:pPr>
      <w:r>
        <w:rPr>
          <w:bCs/>
          <w:b/>
        </w:rPr>
        <w:t xml:space="preserve">Product Weight at EoL (Illustrative):</w:t>
      </w:r>
      <w:r>
        <w:t xml:space="preserve"> </w:t>
      </w:r>
      <w:r>
        <w:t xml:space="preserve">1.5 kg (assuming packaging is disposed of earlier).</w:t>
      </w:r>
    </w:p>
    <w:p>
      <w:r>
        <w:pict>
          <v:rect style="width:0;height:1.5pt" o:hralign="center" o:hrstd="t" o:hr="t"/>
        </w:pict>
      </w:r>
    </w:p>
    <w:bookmarkEnd w:id="28"/>
    <w:bookmarkEnd w:id="29"/>
    <w:bookmarkStart w:id="35" w:name="Xf3429bd73d107a0ac6e7d0a93ddad7a4656728d"/>
    <w:p>
      <w:pPr>
        <w:pStyle w:val="Heading2"/>
      </w:pPr>
      <w:r>
        <w:t xml:space="preserve">4. Emissions Calculation (Activity Data * Emission Factor = CO2e)</w:t>
      </w:r>
    </w:p>
    <w:p>
      <w:pPr>
        <w:pStyle w:val="FirstParagraph"/>
      </w:pPr>
      <w:r>
        <w:t xml:space="preserve">Based on the data collected and illustrative parameters, the Product Carbon Footprint for zpuyozduok is calculated across its lifecycle stages. All emissions are categorized according to the GHG Protocol (Scope 1, 2, and 3).</w:t>
      </w:r>
    </w:p>
    <w:bookmarkStart w:id="30" w:name="Xa5e05c0e793b2e3b8927cb1b228e81f97f2094b"/>
    <w:p>
      <w:pPr>
        <w:pStyle w:val="Heading3"/>
      </w:pPr>
      <w:r>
        <w:t xml:space="preserve">4.1. Scope 1 Emissions (Direct Emissions from Owned or Controlled Sources)</w:t>
      </w:r>
    </w:p>
    <w:p>
      <w:pPr>
        <w:numPr>
          <w:ilvl w:val="0"/>
          <w:numId w:val="1011"/>
        </w:numPr>
        <w:pStyle w:val="Compact"/>
      </w:pPr>
      <w:r>
        <w:rPr>
          <w:bCs/>
          <w:b/>
        </w:rPr>
        <w:t xml:space="preserve">On-site Fuel Combustion:</w:t>
      </w:r>
      <w:r>
        <w:t xml:space="preserve"> </w:t>
      </w:r>
      <w:r>
        <w:t xml:space="preserve">0.1 kg CO2e/unit (illustrative, from manufacturing).</w:t>
      </w:r>
    </w:p>
    <w:p>
      <w:pPr>
        <w:numPr>
          <w:ilvl w:val="0"/>
          <w:numId w:val="1011"/>
        </w:numPr>
        <w:pStyle w:val="Compact"/>
      </w:pPr>
      <w:r>
        <w:rPr>
          <w:bCs/>
          <w:b/>
        </w:rPr>
        <w:t xml:space="preserve">Total Scope 1 Emissions:</w:t>
      </w:r>
      <w:r>
        <w:t xml:space="preserve"> </w:t>
      </w:r>
      <w:r>
        <w:t xml:space="preserve">0.1 kg CO2e/unit</w:t>
      </w:r>
    </w:p>
    <w:bookmarkEnd w:id="30"/>
    <w:bookmarkStart w:id="31" w:name="X1bd5ed5ba51603fe7fc5fd46de6dc3081dfffbb"/>
    <w:p>
      <w:pPr>
        <w:pStyle w:val="Heading3"/>
      </w:pPr>
      <w:r>
        <w:t xml:space="preserve">4.2. Scope 2 Emissions (Indirect Emissions from Purchased Energy)</w:t>
      </w:r>
    </w:p>
    <w:p>
      <w:pPr>
        <w:numPr>
          <w:ilvl w:val="0"/>
          <w:numId w:val="1012"/>
        </w:numPr>
        <w:pStyle w:val="Compact"/>
      </w:pPr>
      <w:r>
        <w:rPr>
          <w:bCs/>
          <w:b/>
        </w:rPr>
        <w:t xml:space="preserve">Total Production Energy:</w:t>
      </w:r>
      <w:r>
        <w:t xml:space="preserve"> </w:t>
      </w:r>
      <w:r>
        <w:t xml:space="preserve">5.0 kWh/unit (erddflxuno illustrative).</w:t>
      </w:r>
    </w:p>
    <w:p>
      <w:pPr>
        <w:numPr>
          <w:ilvl w:val="0"/>
          <w:numId w:val="1012"/>
        </w:numPr>
        <w:pStyle w:val="Compact"/>
      </w:pPr>
      <w:r>
        <w:rPr>
          <w:bCs/>
          <w:b/>
        </w:rPr>
        <w:t xml:space="preserve">Non-renewable Energy Share:</w:t>
      </w:r>
      <w:r>
        <w:t xml:space="preserve"> </w:t>
      </w:r>
      <w:r>
        <w:t xml:space="preserve">100% - 60% (kvidnjgvlg illustrative) = 40%.</w:t>
      </w:r>
    </w:p>
    <w:p>
      <w:pPr>
        <w:numPr>
          <w:ilvl w:val="0"/>
          <w:numId w:val="1012"/>
        </w:numPr>
        <w:pStyle w:val="Compact"/>
      </w:pPr>
      <w:r>
        <w:rPr>
          <w:bCs/>
          <w:b/>
        </w:rPr>
        <w:t xml:space="preserve">Emissions from Non-renewable Electricity:</w:t>
      </w:r>
      <w:r>
        <w:t xml:space="preserve"> </w:t>
      </w:r>
      <w:r>
        <w:t xml:space="preserve">5.0 kWh/unit * 40% * 0.65 kg CO2e/kWh (China grid EF) = 1.3 kg CO2e/unit.</w:t>
      </w:r>
    </w:p>
    <w:p>
      <w:pPr>
        <w:numPr>
          <w:ilvl w:val="0"/>
          <w:numId w:val="1012"/>
        </w:numPr>
        <w:pStyle w:val="Compact"/>
      </w:pPr>
      <w:r>
        <w:rPr>
          <w:bCs/>
          <w:b/>
        </w:rPr>
        <w:t xml:space="preserve">Emissions from Renewable Electricity:</w:t>
      </w:r>
      <w:r>
        <w:t xml:space="preserve"> </w:t>
      </w:r>
      <w:r>
        <w:t xml:space="preserve">5.0 kWh/unit * 60% * 0.0 kg CO2e/kWh = 0.0 kg CO2e/unit.</w:t>
      </w:r>
    </w:p>
    <w:p>
      <w:pPr>
        <w:numPr>
          <w:ilvl w:val="0"/>
          <w:numId w:val="1012"/>
        </w:numPr>
        <w:pStyle w:val="Compact"/>
      </w:pPr>
      <w:r>
        <w:rPr>
          <w:bCs/>
          <w:b/>
        </w:rPr>
        <w:t xml:space="preserve">Total Scope 2 Emissions:</w:t>
      </w:r>
      <w:r>
        <w:t xml:space="preserve"> </w:t>
      </w:r>
      <w:r>
        <w:t xml:space="preserve">1.3 kg CO2e/unit</w:t>
      </w:r>
    </w:p>
    <w:bookmarkEnd w:id="31"/>
    <w:bookmarkStart w:id="32" w:name="Xfba9a0cf1430a71c12d1f705b4bd26e86bf0ddd"/>
    <w:p>
      <w:pPr>
        <w:pStyle w:val="Heading3"/>
      </w:pPr>
      <w:r>
        <w:t xml:space="preserve">4.3. Scope 3 Emissions (All Other Indirect Emissions in the Value Chain)</w:t>
      </w:r>
    </w:p>
    <w:p>
      <w:pPr>
        <w:pStyle w:val="FirstParagraph"/>
      </w:pPr>
      <w:r>
        <w:t xml:space="preserve">Scope 3 emissions are calculated aiming for at least 95% coverage as per 2026 requirements.</w:t>
      </w:r>
    </w:p>
    <w:p>
      <w:pPr>
        <w:numPr>
          <w:ilvl w:val="0"/>
          <w:numId w:val="1013"/>
        </w:numPr>
        <w:pStyle w:val="Compact"/>
      </w:pPr>
      <w:r>
        <w:rPr>
          <w:bCs/>
          <w:b/>
        </w:rPr>
        <w:t xml:space="preserve">Category 1: Purchased Goods and Services (Materials):</w:t>
      </w:r>
    </w:p>
    <w:p>
      <w:pPr>
        <w:numPr>
          <w:ilvl w:val="1"/>
          <w:numId w:val="1014"/>
        </w:numPr>
        <w:pStyle w:val="Compact"/>
      </w:pPr>
      <w:r>
        <w:t xml:space="preserve">Total Material Emissions (from BOM, illustrative): 9.33 kg CO2e/unit.</w:t>
      </w:r>
    </w:p>
    <w:p>
      <w:pPr>
        <w:numPr>
          <w:ilvl w:val="0"/>
          <w:numId w:val="1013"/>
        </w:numPr>
        <w:pStyle w:val="Compact"/>
      </w:pPr>
      <w:r>
        <w:rPr>
          <w:bCs/>
          <w:b/>
        </w:rPr>
        <w:t xml:space="preserve">Category 4: Upstream Transportation and Distribution:</w:t>
      </w:r>
    </w:p>
    <w:p>
      <w:pPr>
        <w:numPr>
          <w:ilvl w:val="1"/>
          <w:numId w:val="1015"/>
        </w:numPr>
        <w:pStyle w:val="Compact"/>
      </w:pPr>
      <w:r>
        <w:rPr>
          <w:bCs/>
          <w:b/>
        </w:rPr>
        <w:t xml:space="preserve">Sea Freight (Illustrative):</w:t>
      </w:r>
      <w:r>
        <w:t xml:space="preserve"> </w:t>
      </w:r>
      <w:r>
        <w:t xml:space="preserve">(2.0 kg product + packaging / 1000 kg/tonne) * 10,000 km * 0.01 kg CO2e/tonne-km = 0.2 kg CO2e/unit.</w:t>
      </w:r>
    </w:p>
    <w:p>
      <w:pPr>
        <w:numPr>
          <w:ilvl w:val="1"/>
          <w:numId w:val="1015"/>
        </w:numPr>
        <w:pStyle w:val="Compact"/>
      </w:pPr>
      <w:r>
        <w:rPr>
          <w:bCs/>
          <w:b/>
        </w:rPr>
        <w:t xml:space="preserve">Truck (Upstream, Illustrative):</w:t>
      </w:r>
      <w:r>
        <w:t xml:space="preserve"> </w:t>
      </w:r>
      <w:r>
        <w:t xml:space="preserve">(2.0 kg product + packaging / 1000 kg/tonne) * 500 km * 0.1 kg CO2e/tonne-km = 0.1 kg CO2e/unit.</w:t>
      </w:r>
    </w:p>
    <w:p>
      <w:pPr>
        <w:numPr>
          <w:ilvl w:val="1"/>
          <w:numId w:val="1015"/>
        </w:numPr>
        <w:pStyle w:val="Compact"/>
      </w:pPr>
      <w:r>
        <w:rPr>
          <w:bCs/>
          <w:b/>
        </w:rPr>
        <w:t xml:space="preserve">Total Upstream Transport:</w:t>
      </w:r>
      <w:r>
        <w:t xml:space="preserve"> </w:t>
      </w:r>
      <w:r>
        <w:t xml:space="preserve">0.3 kg CO2e/unit.</w:t>
      </w:r>
    </w:p>
    <w:p>
      <w:pPr>
        <w:numPr>
          <w:ilvl w:val="0"/>
          <w:numId w:val="1013"/>
        </w:numPr>
        <w:pStyle w:val="Compact"/>
      </w:pPr>
      <w:r>
        <w:rPr>
          <w:bCs/>
          <w:b/>
        </w:rPr>
        <w:t xml:space="preserve">Category 9: Downstream Transportation and Distribution:</w:t>
      </w:r>
    </w:p>
    <w:p>
      <w:pPr>
        <w:numPr>
          <w:ilvl w:val="1"/>
          <w:numId w:val="1016"/>
        </w:numPr>
        <w:pStyle w:val="Compact"/>
      </w:pPr>
      <w:r>
        <w:rPr>
          <w:bCs/>
          <w:b/>
        </w:rPr>
        <w:t xml:space="preserve">Air Freight (Illustrative):</w:t>
      </w:r>
      <w:r>
        <w:t xml:space="preserve"> </w:t>
      </w:r>
      <w:r>
        <w:t xml:space="preserve">(2.0 kg product + packaging / 1000 kg/tonne) * 8,000 km * 0.8 kg CO2e/tonne-km = 12.8 kg CO2e/unit.</w:t>
      </w:r>
    </w:p>
    <w:p>
      <w:pPr>
        <w:numPr>
          <w:ilvl w:val="1"/>
          <w:numId w:val="1016"/>
        </w:numPr>
        <w:pStyle w:val="Compact"/>
      </w:pPr>
      <w:r>
        <w:rPr>
          <w:bCs/>
          <w:b/>
        </w:rPr>
        <w:t xml:space="preserve">Last-Mile Van (Illustrative):</w:t>
      </w:r>
      <w:r>
        <w:t xml:space="preserve"> </w:t>
      </w:r>
      <w:r>
        <w:t xml:space="preserve">(2.0 kg product + packaging / 1000 kg/tonne) * 200 km * 0.3 kg CO2e/tonne-km = 0.12 kg CO2e/unit.</w:t>
      </w:r>
    </w:p>
    <w:p>
      <w:pPr>
        <w:numPr>
          <w:ilvl w:val="1"/>
          <w:numId w:val="1016"/>
        </w:numPr>
        <w:pStyle w:val="Compact"/>
      </w:pPr>
      <w:r>
        <w:rPr>
          <w:bCs/>
          <w:b/>
        </w:rPr>
        <w:t xml:space="preserve">Total Downstream Transport:</w:t>
      </w:r>
      <w:r>
        <w:t xml:space="preserve"> </w:t>
      </w:r>
      <w:r>
        <w:t xml:space="preserve">12.92 kg CO2e/unit.</w:t>
      </w:r>
    </w:p>
    <w:p>
      <w:pPr>
        <w:numPr>
          <w:ilvl w:val="0"/>
          <w:numId w:val="1013"/>
        </w:numPr>
        <w:pStyle w:val="Compact"/>
      </w:pPr>
      <w:r>
        <w:rPr>
          <w:bCs/>
          <w:b/>
        </w:rPr>
        <w:t xml:space="preserve">Category 11: Use of Sold Products:</w:t>
      </w:r>
    </w:p>
    <w:p>
      <w:pPr>
        <w:numPr>
          <w:ilvl w:val="1"/>
          <w:numId w:val="1017"/>
        </w:numPr>
        <w:pStyle w:val="Compact"/>
      </w:pPr>
      <w:r>
        <w:rPr>
          <w:bCs/>
          <w:b/>
        </w:rPr>
        <w:t xml:space="preserve">Total Energy Consumption in Use:</w:t>
      </w:r>
      <w:r>
        <w:t xml:space="preserve"> </w:t>
      </w:r>
      <w:r>
        <w:t xml:space="preserve">10 kWh/year * 3 years = 30 kWh/unit.</w:t>
      </w:r>
    </w:p>
    <w:p>
      <w:pPr>
        <w:numPr>
          <w:ilvl w:val="1"/>
          <w:numId w:val="1017"/>
        </w:numPr>
        <w:pStyle w:val="Compact"/>
      </w:pPr>
      <w:r>
        <w:rPr>
          <w:bCs/>
          <w:b/>
        </w:rPr>
        <w:t xml:space="preserve">Use Phase Emissions:</w:t>
      </w:r>
      <w:r>
        <w:t xml:space="preserve"> </w:t>
      </w:r>
      <w:r>
        <w:t xml:space="preserve">30 kWh/unit * 0.25 kg CO2e/kWh (Europe grid EF) = 7.5 kg CO2e/unit.</w:t>
      </w:r>
    </w:p>
    <w:p>
      <w:pPr>
        <w:numPr>
          <w:ilvl w:val="0"/>
          <w:numId w:val="1013"/>
        </w:numPr>
        <w:pStyle w:val="Compact"/>
      </w:pPr>
      <w:r>
        <w:rPr>
          <w:bCs/>
          <w:b/>
        </w:rPr>
        <w:t xml:space="preserve">Category 12: End-of-Life Treatment of Sold Products:</w:t>
      </w:r>
    </w:p>
    <w:p>
      <w:pPr>
        <w:numPr>
          <w:ilvl w:val="1"/>
          <w:numId w:val="1018"/>
        </w:numPr>
        <w:pStyle w:val="Compact"/>
      </w:pPr>
      <w:r>
        <w:rPr>
          <w:bCs/>
          <w:b/>
        </w:rPr>
        <w:t xml:space="preserve">Waste for Disposal:</w:t>
      </w:r>
      <w:r>
        <w:t xml:space="preserve"> </w:t>
      </w:r>
      <w:r>
        <w:t xml:space="preserve">(1.5 kg product at EoL) * (1 - 70% recyclability) = 0.45 kg.</w:t>
      </w:r>
    </w:p>
    <w:p>
      <w:pPr>
        <w:numPr>
          <w:ilvl w:val="1"/>
          <w:numId w:val="1018"/>
        </w:numPr>
        <w:pStyle w:val="Compact"/>
      </w:pPr>
      <w:r>
        <w:rPr>
          <w:bCs/>
          <w:b/>
        </w:rPr>
        <w:t xml:space="preserve">Emissions from Disposal:</w:t>
      </w:r>
      <w:r>
        <w:t xml:space="preserve"> </w:t>
      </w:r>
      <w:r>
        <w:t xml:space="preserve">0.45 kg * 1.0 kg CO2e/kg = 0.45 kg CO2e/unit.</w:t>
      </w:r>
    </w:p>
    <w:p>
      <w:pPr>
        <w:numPr>
          <w:ilvl w:val="1"/>
          <w:numId w:val="1018"/>
        </w:numPr>
        <w:pStyle w:val="Compact"/>
      </w:pPr>
      <w:r>
        <w:rPr>
          <w:bCs/>
          <w:b/>
        </w:rPr>
        <w:t xml:space="preserve">Material for Recycling:</w:t>
      </w:r>
      <w:r>
        <w:t xml:space="preserve"> </w:t>
      </w:r>
      <w:r>
        <w:t xml:space="preserve">(1.5 kg product at EoL) * 70% recyclability = 1.05 kg.</w:t>
      </w:r>
    </w:p>
    <w:p>
      <w:pPr>
        <w:numPr>
          <w:ilvl w:val="1"/>
          <w:numId w:val="1018"/>
        </w:numPr>
        <w:pStyle w:val="Compact"/>
      </w:pPr>
      <w:r>
        <w:rPr>
          <w:bCs/>
          <w:b/>
        </w:rPr>
        <w:t xml:space="preserve">Recycling Credits:</w:t>
      </w:r>
      <w:r>
        <w:t xml:space="preserve"> </w:t>
      </w:r>
      <w:r>
        <w:t xml:space="preserve">1.05 kg * (-0.5 kg CO2e/kg) = -0.525 kg CO2e/unit.</w:t>
      </w:r>
    </w:p>
    <w:p>
      <w:pPr>
        <w:numPr>
          <w:ilvl w:val="1"/>
          <w:numId w:val="1018"/>
        </w:numPr>
        <w:pStyle w:val="Compact"/>
      </w:pPr>
      <w:r>
        <w:rPr>
          <w:bCs/>
          <w:b/>
        </w:rPr>
        <w:t xml:space="preserve">Net End-of-Life Emissions:</w:t>
      </w:r>
      <w:r>
        <w:t xml:space="preserve"> </w:t>
      </w:r>
      <w:r>
        <w:t xml:space="preserve">0.45 kg CO2e/unit - 0.525 kg CO2e/unit = -0.075 kg CO2e/unit (a net benefit due to high recyclability).</w:t>
      </w:r>
    </w:p>
    <w:bookmarkEnd w:id="32"/>
    <w:bookmarkStart w:id="33" w:name="Xf64d3a6aaa05d57136cabc8089cbb99dd7ca1a4"/>
    <w:p>
      <w:pPr>
        <w:pStyle w:val="Heading3"/>
      </w:pPr>
      <w:r>
        <w:t xml:space="preserve">Summary of Emissions by Scope (Illustrative)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 of Total</w:t>
            </w:r>
          </w:p>
        </w:tc>
      </w:tr>
      <w:tr>
        <w:tc>
          <w:tcPr/>
          <w:p>
            <w:pPr>
              <w:pStyle w:val="Compact"/>
              <w:jc w:val="left"/>
            </w:pPr>
            <w:r>
              <w:t xml:space="preserve">Scope 1</w:t>
            </w:r>
          </w:p>
        </w:tc>
        <w:tc>
          <w:tcPr/>
          <w:p>
            <w:pPr>
              <w:pStyle w:val="Compact"/>
              <w:jc w:val="left"/>
            </w:pPr>
            <w:r>
              <w:t xml:space="preserve">Direct Emissions (e.g., on-site fuel)</w:t>
            </w:r>
          </w:p>
        </w:tc>
        <w:tc>
          <w:tcPr/>
          <w:p>
            <w:pPr>
              <w:pStyle w:val="Compact"/>
              <w:jc w:val="left"/>
            </w:pPr>
            <w:r>
              <w:t xml:space="preserve">0.10</w:t>
            </w:r>
          </w:p>
        </w:tc>
        <w:tc>
          <w:tcPr/>
          <w:p>
            <w:pPr>
              <w:pStyle w:val="Compact"/>
              <w:jc w:val="left"/>
            </w:pPr>
            <w:r>
              <w:t xml:space="preserve">0.3%</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1.30</w:t>
            </w:r>
          </w:p>
        </w:tc>
        <w:tc>
          <w:tcPr/>
          <w:p>
            <w:pPr>
              <w:pStyle w:val="Compact"/>
              <w:jc w:val="left"/>
            </w:pPr>
            <w:r>
              <w:t xml:space="preserve">4.2%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9.33</w:t>
            </w:r>
          </w:p>
        </w:tc>
        <w:tc>
          <w:tcPr/>
          <w:p>
            <w:pPr>
              <w:pStyle w:val="Compact"/>
              <w:jc w:val="left"/>
            </w:pPr>
            <w:r>
              <w:t xml:space="preserve">30.1%</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0.30</w:t>
            </w:r>
          </w:p>
        </w:tc>
        <w:tc>
          <w:tcPr/>
          <w:p>
            <w:pPr>
              <w:pStyle w:val="Compact"/>
              <w:jc w:val="left"/>
            </w:pPr>
            <w:r>
              <w:t xml:space="preserve">1.0%</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12.92</w:t>
            </w:r>
          </w:p>
        </w:tc>
        <w:tc>
          <w:tcPr/>
          <w:p>
            <w:pPr>
              <w:pStyle w:val="Compact"/>
              <w:jc w:val="left"/>
            </w:pPr>
            <w:r>
              <w:t xml:space="preserve">41.7%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w:t>
            </w:r>
          </w:p>
        </w:tc>
        <w:tc>
          <w:tcPr/>
          <w:p>
            <w:pPr>
              <w:pStyle w:val="Compact"/>
              <w:jc w:val="left"/>
            </w:pPr>
            <w:r>
              <w:t xml:space="preserve">24.2%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-0.075</w:t>
            </w:r>
          </w:p>
        </w:tc>
        <w:tc>
          <w:tcPr/>
          <w:p>
            <w:pPr>
              <w:pStyle w:val="Compact"/>
              <w:jc w:val="left"/>
            </w:pPr>
            <w:r>
              <w:t xml:space="preserve">-0.2%</w:t>
            </w:r>
          </w:p>
        </w:tc>
      </w:tr>
      <w:tr>
        <w:tc>
          <w:tcPr>
            <w:gridSpan w:val="2"/>
          </w:tcPr>
          <w:p>
            <w:pPr>
              <w:pStyle w:val="Compact"/>
              <w:jc w:val="left"/>
            </w:pPr>
            <w:r>
              <w:t xml:space="preserve">Total Product Carbon Footprint (PCF)</w:t>
            </w:r>
          </w:p>
        </w:tc>
        <w:tc>
          <w:tcPr/>
          <w:p>
            <w:pPr>
              <w:pStyle w:val="Compact"/>
              <w:jc w:val="left"/>
            </w:pPr>
            <w:r>
              <w:t xml:space="preserve">31.375</w:t>
            </w:r>
          </w:p>
        </w:tc>
        <w:tc>
          <w:tcPr/>
          <w:p>
            <w:pPr>
              <w:pStyle w:val="Compact"/>
              <w:jc w:val="left"/>
            </w:pPr>
            <w:r>
              <w:t xml:space="preserve">100.0%</w:t>
            </w:r>
          </w:p>
        </w:tc>
      </w:tr>
    </w:tbl>
    <w:p>
      <w:pPr>
        <w:pStyle w:val="BodyText"/>
      </w:pPr>
      <w:r>
        <w:rPr>
          <w:iCs/>
          <w:i/>
        </w:rPr>
        <w:t xml:space="preserve">(All numerical values in this section are illustrative and based on assumed placeholder data.)</w:t>
      </w:r>
    </w:p>
    <w:bookmarkEnd w:id="33"/>
    <w:bookmarkStart w:id="34" w:name="X5a4f551c90074bc557f30e0af419a5f70a48401"/>
    <w:p>
      <w:pPr>
        <w:pStyle w:val="Heading3"/>
      </w:pPr>
      <w:r>
        <w:t xml:space="preserve">4.4. 2026 Land Sector and Removals (LSR) Standard Application</w:t>
      </w:r>
    </w:p>
    <w:p>
      <w:pPr>
        <w:pStyle w:val="FirstParagraph"/>
      </w:pPr>
      <w:r>
        <w:t xml:space="preserve">In accordance with the 2026 GHG Protocol LSR Standard update, this analysis conceptually integrates consideration for land-use change and carbon removals. While specific data for zpuyozduok\'s direct land-use impacts or explicit carbon removal activities within its value chain (e.g., biochar, direct air capture) were not provided, the framework ensures that any such activities, if present, would be accounted for transparently. For instance, sustainable forestry practices for paper-based packaging or bio-based materials could lead to carbon sequestration credits, while land-use change related to raw material extraction would be quantified as emissions. The current analysis assumes negligible direct LSR impacts for zpuyozduok based on the "factory_gate" boundary and provided parameters, but notes the importance of this standard for future, more granular assessments.</w:t>
      </w:r>
    </w:p>
    <w:p>
      <w:r>
        <w:pict>
          <v:rect style="width:0;height:1.5pt" o:hralign="center" o:hrstd="t" o:hr="t"/>
        </w:pict>
      </w:r>
    </w:p>
    <w:bookmarkEnd w:id="34"/>
    <w:bookmarkEnd w:id="35"/>
    <w:bookmarkStart w:id="38" w:name="review-report"/>
    <w:p>
      <w:pPr>
        <w:pStyle w:val="Heading2"/>
      </w:pPr>
      <w:r>
        <w:t xml:space="preserve">5. Review &amp; Report</w:t>
      </w:r>
    </w:p>
    <w:p>
      <w:pPr>
        <w:pStyle w:val="FirstParagraph"/>
      </w:pPr>
      <w:r>
        <w:t xml:space="preserve">This section summarizes the key findings, identifies emission hotspots, and discusses the reliability of the assessment.</w:t>
      </w:r>
    </w:p>
    <w:bookmarkStart w:id="36" w:name="key-findings-and-hotspots"/>
    <w:p>
      <w:pPr>
        <w:pStyle w:val="Heading3"/>
      </w:pPr>
      <w:r>
        <w:t xml:space="preserve">5.1. Key Findings and Hotspots</w:t>
      </w:r>
    </w:p>
    <w:p>
      <w:pPr>
        <w:pStyle w:val="FirstParagraph"/>
      </w:pPr>
      <w:r>
        <w:t xml:space="preserve">The illustrative Product Carbon Footprint for one unit of zpuyozduok is approximately</w:t>
      </w:r>
      <w:r>
        <w:t xml:space="preserve"> </w:t>
      </w:r>
      <w:r>
        <w:rPr>
          <w:bCs/>
          <w:b/>
        </w:rPr>
        <w:t xml:space="preserve">31.38 kg CO2e</w:t>
      </w:r>
      <w:r>
        <w:t xml:space="preserve">. The primary emission hotspots are:</w:t>
      </w:r>
    </w:p>
    <w:p>
      <w:pPr>
        <w:numPr>
          <w:ilvl w:val="0"/>
          <w:numId w:val="1019"/>
        </w:numPr>
        <w:pStyle w:val="Compact"/>
      </w:pPr>
      <w:r>
        <w:rPr>
          <w:bCs/>
          <w:b/>
        </w:rPr>
        <w:t xml:space="preserve">Downstream Transportation (41.7%):</w:t>
      </w:r>
      <w:r>
        <w:t xml:space="preserve"> </w:t>
      </w:r>
      <w:r>
        <w:t xml:space="preserve">Air freight for delivery to the European market is a significant contributor. Optimizing logistics, shifting to lower-carbon transport modes (e.g., sea freight where feasible), or localizing production/distribution could drastically reduce this impact.</w:t>
      </w:r>
    </w:p>
    <w:p>
      <w:pPr>
        <w:numPr>
          <w:ilvl w:val="0"/>
          <w:numId w:val="1019"/>
        </w:numPr>
        <w:pStyle w:val="Compact"/>
      </w:pPr>
      <w:r>
        <w:rPr>
          <w:bCs/>
          <w:b/>
        </w:rPr>
        <w:t xml:space="preserve">Purchased Goods and Services (Materials) (30.1%):</w:t>
      </w:r>
      <w:r>
        <w:t xml:space="preserve"> </w:t>
      </w:r>
      <w:r>
        <w:t xml:space="preserve">The raw materials, particularly aluminum, polycarbonate, and the battery, contribute substantially to the footprint. Sourcing lower-carbon materials, increasing recycled content, and working with suppliers on their decarbonization efforts are crucial.</w:t>
      </w:r>
    </w:p>
    <w:p>
      <w:pPr>
        <w:numPr>
          <w:ilvl w:val="0"/>
          <w:numId w:val="1019"/>
        </w:numPr>
        <w:pStyle w:val="Compact"/>
      </w:pPr>
      <w:r>
        <w:rPr>
          <w:bCs/>
          <w:b/>
        </w:rPr>
        <w:t xml:space="preserve">Use Phase (24.2%):</w:t>
      </w:r>
      <w:r>
        <w:t xml:space="preserve"> </w:t>
      </w:r>
      <w:r>
        <w:t xml:space="preserve">Energy consumption during the product\'s lifespan is a notable contributor. Improving energy efficiency of the product and educating users on renewable energy sources or efficient usage patterns can mitigate this.</w:t>
      </w:r>
    </w:p>
    <w:bookmarkEnd w:id="36"/>
    <w:bookmarkStart w:id="37"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As many specific parameters were provided as placeholders (e.g., ukgtnrml, xzfsieyqlh, Select Mode, Delivery Type, kvidnjgvlg, erddflxuno, ndgjighsqh, tdlrrieske, mplnqtxwei, ivwqyjznqq), illustrative values and generic industry-average emission factors were used for calculations. To enhance accuracy, future iterations should:</w:t>
      </w:r>
    </w:p>
    <w:p>
      <w:pPr>
        <w:numPr>
          <w:ilvl w:val="0"/>
          <w:numId w:val="1020"/>
        </w:numPr>
        <w:pStyle w:val="Compact"/>
      </w:pPr>
      <w:r>
        <w:t xml:space="preserve">Obtain primary data from specific suppliers for all Bill of Materials components (e.g., actual process emissions, energy mix).</w:t>
      </w:r>
    </w:p>
    <w:p>
      <w:pPr>
        <w:numPr>
          <w:ilvl w:val="0"/>
          <w:numId w:val="1020"/>
        </w:numPr>
        <w:pStyle w:val="Compact"/>
      </w:pPr>
      <w:r>
        <w:t xml:space="preserve">Acquire precise data on transport modes, distances, and specific carrier emission factors.</w:t>
      </w:r>
    </w:p>
    <w:p>
      <w:pPr>
        <w:numPr>
          <w:ilvl w:val="0"/>
          <w:numId w:val="1020"/>
        </w:numPr>
        <w:pStyle w:val="Compact"/>
      </w:pPr>
      <w:r>
        <w:t xml:space="preserve">Gather actual electricity grid mix data for manufacturing locations and typical user regions.</w:t>
      </w:r>
    </w:p>
    <w:p>
      <w:pPr>
        <w:numPr>
          <w:ilvl w:val="0"/>
          <w:numId w:val="1020"/>
        </w:numPr>
        <w:pStyle w:val="Compact"/>
      </w:pPr>
      <w:r>
        <w:t xml:space="preserve">Collect detailed data on the energy consumption profile during the product\'s use phase.</w:t>
      </w:r>
    </w:p>
    <w:p>
      <w:pPr>
        <w:numPr>
          <w:ilvl w:val="0"/>
          <w:numId w:val="1020"/>
        </w:numPr>
        <w:pStyle w:val="Compact"/>
      </w:pPr>
      <w:r>
        <w:t xml:space="preserve">Verify end-of-life treatment routes and associated efficiencies/emission factors.</w:t>
      </w:r>
    </w:p>
    <w:p>
      <w:pPr>
        <w:numPr>
          <w:ilvl w:val="0"/>
          <w:numId w:val="1020"/>
        </w:numPr>
        <w:pStyle w:val="Compact"/>
      </w:pPr>
      <w:r>
        <w:t xml:space="preserve">Quantify benefits of "ivwqyjznqq" circular/take-back programs with concrete data on material recovery rates and avoided virgin production.</w:t>
      </w:r>
    </w:p>
    <w:p>
      <w:pPr>
        <w:pStyle w:val="FirstParagraph"/>
      </w:pPr>
      <w:r>
        <w:t xml:space="preserve">Despite these limitations due to placeholder data, this report provides a robust framework and identifies the most impactful stages of zpuyozduok\'s lifecycle, serving as a critical foundation for vmuvuwrtjf\'s sustainability strategy.</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zpuyozduok</dc:title>
  <dc:creator/>
  <dc:description>Comprehensive Product Carbon Footprint (PCF) analysis report for zpuyozduok, conducted by Senior Sustainability Consultant rdhhvsqsus for vmuvuwrtjf, adhering to GHG Protocol standards and 2026 LSR update.</dc:description>
  <dc:language>en</dc:language>
  <cp:keywords/>
  <dcterms:created xsi:type="dcterms:W3CDTF">2026-07-15T05:29:11Z</dcterms:created>
  <dcterms:modified xsi:type="dcterms:W3CDTF">2026-07-15T05:29:11Z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