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zpmthjtngr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zpmthjtngr</w:t>
      </w:r>
    </w:p>
    <w:p>
      <w:pPr>
        <w:pStyle w:val="BodyText"/>
      </w:pPr>
      <w:r>
        <w:t xml:space="preserve">**Company Name:** uqnntgjrxw</w:t>
      </w:r>
    </w:p>
    <w:p>
      <w:pPr>
        <w:pStyle w:val="BodyText"/>
      </w:pPr>
      <w:r>
        <w:t xml:space="preserve">**Protocol Data (Accounting Standard):** GHG Protocol</w:t>
      </w:r>
    </w:p>
    <w:p>
      <w:pPr>
        <w:pStyle w:val="BodyText"/>
      </w:pPr>
      <w:r>
        <w:t xml:space="preserve">**Senior Sustainability Consultant:** xersmrdzry</w:t>
      </w:r>
    </w:p>
    <w:p>
      <w:pPr>
        <w:pStyle w:val="BodyText"/>
      </w:pPr>
      <w:r>
        <w:t xml:space="preserve">This report is generated based on available data and industry standards, providing an estimate of the product\'s carbon footprint. Actual emissions may vary based on specific operational conditions and data accuracy.</w:t>
      </w:r>
    </w:p>
    <w:p>
      <w:pPr>
        <w:pStyle w:val="BodyText"/>
      </w:pPr>
      <w:r>
        <w:t xml:space="preserve">Generated Date: May 18, 2026</w:t>
      </w:r>
    </w:p>
    <w:bookmarkEnd w:id="20"/>
    <w:bookmarkStart w:id="50" w:name="X1ba1f4260875aa7186b7e76b661b3cde5a83a31"/>
    <w:p>
      <w:pPr>
        <w:pStyle w:val="Heading1"/>
      </w:pPr>
      <w:r>
        <w:t xml:space="preserve">Product Carbon Footprint Analysis for zpmthjtngr</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zpmthjtngr</w:t>
      </w:r>
      <w:r>
        <w:t xml:space="preserve"> </w:t>
      </w:r>
      <w:r>
        <w:t xml:space="preserve">manufactured by</w:t>
      </w:r>
      <w:r>
        <w:t xml:space="preserve"> </w:t>
      </w:r>
      <w:r>
        <w:rPr>
          <w:bCs/>
          <w:b/>
        </w:rPr>
        <w:t xml:space="preserve">uqnntgjrxw</w:t>
      </w:r>
      <w:r>
        <w:t xml:space="preserve">. The analysis, conducted by Senior Sustainability Consultant</w:t>
      </w:r>
      <w:r>
        <w:t xml:space="preserve"> </w:t>
      </w:r>
      <w:r>
        <w:rPr>
          <w:bCs/>
          <w:b/>
        </w:rPr>
        <w:t xml:space="preserve">xersmrdzry</w:t>
      </w:r>
      <w:r>
        <w:t xml:space="preserve">, adheres to the GHG Protocol standards, ensuring comprehensive coverage of Scope 1, Scope 2, and Scope 3 emissions. The system boundary for the primary calculation is "factory-gate", with expanded analysis for the \'Use Phase\' and \'End-of-Life\' scenarios to provide a holistic view. A key focus has been placed on achieving at least 95% coverage for Scope 3 emissions, in line with 2026 requirements, and conceptually integrating the Land Sector and Removals (LSR) Standard where applicable with current data availability. The findings highlight emission hotspots across the product lifecycle, informing strategic recommendations for emissions reduction.</w:t>
      </w:r>
    </w:p>
    <w:p>
      <w:r>
        <w:pict>
          <v:rect style="width:0;height:1.5pt" o:hralign="center" o:hrstd="t" o:hr="t"/>
        </w:pict>
      </w:r>
    </w:p>
    <w:bookmarkEnd w:id="21"/>
    <w:bookmarkStart w:id="27" w:name="scope-definition"/>
    <w:p>
      <w:pPr>
        <w:pStyle w:val="Heading2"/>
      </w:pPr>
      <w:r>
        <w:t xml:space="preserve">2. Scope Definition</w:t>
      </w:r>
    </w:p>
    <w:bookmarkStart w:id="22"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zpmthjtngr</w:t>
      </w:r>
      <w:r>
        <w:t xml:space="preserve">.</w:t>
      </w:r>
    </w:p>
    <w:bookmarkEnd w:id="22"/>
    <w:bookmarkStart w:id="23" w:name="system-boundary"/>
    <w:p>
      <w:pPr>
        <w:pStyle w:val="Heading3"/>
      </w:pPr>
      <w:r>
        <w:t xml:space="preserve">2.2. System Boundary</w:t>
      </w:r>
    </w:p>
    <w:p>
      <w:pPr>
        <w:pStyle w:val="FirstParagraph"/>
      </w:pPr>
      <w:r>
        <w:t xml:space="preserve">The primary system boundary for the Product Carbon Footprint calculation is</w:t>
      </w:r>
      <w:r>
        <w:t xml:space="preserve"> </w:t>
      </w:r>
      <w:r>
        <w:rPr>
          <w:bCs/>
          <w:b/>
        </w:rPr>
        <w:t xml:space="preserve">Cradle-to-Gate (factory_gate)</w:t>
      </w:r>
      <w:r>
        <w:t xml:space="preserve">, encompassing raw material acquisition, manufacturing processes, and transportation to the factory gate. In alignment with the comprehensive analysis requirement, this report also includes expanded calculations for the \'Use Phase\' and \'End-of-Life\' (EoL) scenarios to provide a more complete understanding of the product\'s full lifecycle impact. This extended boundary covers upstream (raw material extraction and processing, upstream transportation), core (manufacturing), and downstream (product distribution, use, and end-of-life) activities.</w:t>
      </w:r>
    </w:p>
    <w:bookmarkEnd w:id="23"/>
    <w:bookmarkStart w:id="24" w:name="geographic-scope"/>
    <w:p>
      <w:pPr>
        <w:pStyle w:val="Heading3"/>
      </w:pPr>
      <w:r>
        <w:t xml:space="preserve">2.3. Geographic Scope</w:t>
      </w:r>
    </w:p>
    <w:p>
      <w:pPr>
        <w:pStyle w:val="FirstParagraph"/>
      </w:pPr>
      <w:r>
        <w:t xml:space="preserve">The final production country for zpmthjtngr is</w:t>
      </w:r>
      <w:r>
        <w:t xml:space="preserve"> </w:t>
      </w:r>
      <w:r>
        <w:rPr>
          <w:bCs/>
          <w:b/>
        </w:rPr>
        <w:t xml:space="preserve">China</w:t>
      </w:r>
      <w:r>
        <w:t xml:space="preserve">. The supply chain focus, particularly for raw material sourcing and initial distribution, is concentrated on</w:t>
      </w:r>
      <w:r>
        <w:t xml:space="preserve"> </w:t>
      </w:r>
      <w:r>
        <w:rPr>
          <w:bCs/>
          <w:b/>
        </w:rPr>
        <w:t xml:space="preserve">Europe</w:t>
      </w:r>
      <w:r>
        <w:t xml:space="preserve">, before reaching the manufacturing facility in China. The product is primarily sold to markets in Europe for its use phase and end-of-life treatment.</w:t>
      </w:r>
    </w:p>
    <w:bookmarkEnd w:id="24"/>
    <w:bookmarkStart w:id="25" w:name="accounting-standard"/>
    <w:p>
      <w:pPr>
        <w:pStyle w:val="Heading3"/>
      </w:pPr>
      <w:r>
        <w:t xml:space="preserve">2.4. Accounting Standard</w:t>
      </w:r>
    </w:p>
    <w:p>
      <w:pPr>
        <w:pStyle w:val="FirstParagraph"/>
      </w:pPr>
      <w:r>
        <w:t xml:space="preserve">This Product Carbon Footprint analysis is conducted in strict adherence to the</w:t>
      </w:r>
      <w:r>
        <w:t xml:space="preserve"> </w:t>
      </w:r>
      <w:r>
        <w:rPr>
          <w:bCs/>
          <w:b/>
        </w:rPr>
        <w:t xml:space="preserve">GHG Protocol</w:t>
      </w:r>
      <w:r>
        <w:t xml:space="preserve"> </w:t>
      </w:r>
      <w:r>
        <w:t xml:space="preserve">standards, including the Corporate Accounting and Reporting Standard and the Corporate Value Chain (Scope 3) Accounting and Reporting Standard. Emissions are categorized into Scope 1 (direct), Scope 2 (purchased energy), and Scope 3 (value chain) to ensure transparency and comparability. The 2026 Land Sector and Removals (LSR) Standard has been acknowledged and its principles are considered, though detailed product-level LSR data for all components is not yet universally standardized or fully integrated into all existing emission factor databases. The analysis aims for at least 95% coverage for Scope 3 reporting, as per the 2026 requirements.</w:t>
      </w:r>
    </w:p>
    <w:bookmarkEnd w:id="25"/>
    <w:bookmarkStart w:id="26" w:name="allocation"/>
    <w:p>
      <w:pPr>
        <w:pStyle w:val="Heading3"/>
      </w:pPr>
      <w:r>
        <w:t xml:space="preserve">2.5. Allocation</w:t>
      </w:r>
    </w:p>
    <w:p>
      <w:pPr>
        <w:pStyle w:val="FirstParagraph"/>
      </w:pPr>
      <w:r>
        <w:t xml:space="preserve">Allocation of emissions for co-products or multi-functional processes is based on a mass-based approach where primary data is unavailable, following GHG Protocol guidance. Recycling benefits are accounted for using the "recycled content" approach for upstream materials and the "avoided burden" approach for end-of-life recycling.</w:t>
      </w:r>
    </w:p>
    <w:p>
      <w:r>
        <w:pict>
          <v:rect style="width:0;height:1.5pt" o:hralign="center" o:hrstd="t" o:hr="t"/>
        </w:pict>
      </w:r>
    </w:p>
    <w:bookmarkEnd w:id="26"/>
    <w:bookmarkEnd w:id="27"/>
    <w:bookmarkStart w:id="33" w:name="Xc585fdfe0923a8f252274274152083ce38b4723"/>
    <w:p>
      <w:pPr>
        <w:pStyle w:val="Heading2"/>
      </w:pPr>
      <w:r>
        <w:t xml:space="preserve">3. Lifecycle Inventory Mapping &amp; Data Collection</w:t>
      </w:r>
    </w:p>
    <w:p>
      <w:pPr>
        <w:pStyle w:val="FirstParagraph"/>
      </w:pPr>
      <w:r>
        <w:t xml:space="preserve">The lifecycle of zpmthjtngr is mapped across several stages, including raw material acquisition, manufacturing, transportation, use, and end-of-life. Data collection involved a combination of primary data (company-specific energy usage, renewable energy mix, and detailed Bill of Materials) and secondary data (industry-standard emission factors from reputable databases like Ecoinvent and DEFRA).</w:t>
      </w:r>
    </w:p>
    <w:bookmarkStart w:id="28" w:name="X982c326fb93613d4d5b2ea0769a7e370cfc78fa"/>
    <w:p>
      <w:pPr>
        <w:pStyle w:val="Heading3"/>
      </w:pPr>
      <w:r>
        <w:t xml:space="preserve">3.1. Detailed Bill of Materials (BOM) &amp; Material Inputs</w:t>
      </w:r>
    </w:p>
    <w:p>
      <w:pPr>
        <w:pStyle w:val="FirstParagraph"/>
      </w:pPr>
      <w:r>
        <w:t xml:space="preserve">The following detailed Bill of Materials (BOM), provided as</w:t>
      </w:r>
      <w:r>
        <w:t xml:space="preserve"> </w:t>
      </w:r>
      <w:r>
        <w:rPr>
          <w:bCs/>
          <w:b/>
        </w:rPr>
        <w:t xml:space="preserve">wvwlprwt</w:t>
      </w:r>
      <w:r>
        <w:t xml:space="preserve">, was used for high-accuracy material impact calculation. Emission factors are representative industry averages. Total product mass (excluding packaging but including all BOM items) is estimated at 0.45 kg. Total packaging mass is estimated at 0.05 kg, making the full product package 0.5 kg for transport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(unit/product)</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2.80</w:t>
            </w:r>
          </w:p>
        </w:tc>
        <w:tc>
          <w:tcPr/>
          <w:p>
            <w:pPr>
              <w:pStyle w:val="Compact"/>
              <w:jc w:val="left"/>
            </w:pPr>
            <w:r>
              <w:t xml:space="preserve">0.700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41.80</w:t>
            </w:r>
          </w:p>
        </w:tc>
        <w:tc>
          <w:tcPr/>
          <w:p>
            <w:pPr>
              <w:pStyle w:val="Compact"/>
              <w:jc w:val="left"/>
            </w:pPr>
            <w:r>
              <w:t xml:space="preserve">2.090</w:t>
            </w:r>
          </w:p>
        </w:tc>
      </w:tr>
      <w:tr>
        <w:tc>
          <w:tcPr/>
          <w:p>
            <w:pPr>
              <w:pStyle w:val="Compact"/>
              <w:jc w:val="left"/>
            </w:pPr>
            <w:r>
              <w:t xml:space="preserve">M-004</w:t>
            </w:r>
          </w:p>
        </w:tc>
        <w:tc>
          <w:tcPr/>
          <w:p>
            <w:pPr>
              <w:pStyle w:val="Compact"/>
              <w:jc w:val="left"/>
            </w:pPr>
            <w:r>
              <w:t xml:space="preserve">Silicon Microchips</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50.00 (estimate based on high energy intensity)</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Casting/Machining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8.50 (primary aluminum average)</w:t>
            </w:r>
          </w:p>
        </w:tc>
        <w:tc>
          <w:tcPr/>
          <w:p>
            <w:pPr>
              <w:pStyle w:val="Compact"/>
              <w:jc w:val="left"/>
            </w:pPr>
            <w:r>
              <w:t xml:space="preserve">0.255</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Material Production</w:t>
            </w:r>
          </w:p>
        </w:tc>
        <w:tc>
          <w:tcPr/>
          <w:p>
            <w:pPr>
              <w:pStyle w:val="Compact"/>
              <w:jc w:val="left"/>
            </w:pPr>
            <w:r>
              <w:t xml:space="preserve">0.04</w:t>
            </w:r>
          </w:p>
        </w:tc>
        <w:tc>
          <w:tcPr/>
          <w:p>
            <w:pPr>
              <w:pStyle w:val="Compact"/>
              <w:jc w:val="left"/>
            </w:pPr>
            <w:r>
              <w:t xml:space="preserve">kg</w:t>
            </w:r>
          </w:p>
        </w:tc>
        <w:tc>
          <w:tcPr/>
          <w:p>
            <w:pPr>
              <w:pStyle w:val="Compact"/>
              <w:jc w:val="left"/>
            </w:pPr>
            <w:r>
              <w:t xml:space="preserve">0.71</w:t>
            </w:r>
          </w:p>
        </w:tc>
        <w:tc>
          <w:tcPr/>
          <w:p>
            <w:pPr>
              <w:pStyle w:val="Compact"/>
              <w:jc w:val="left"/>
            </w:pPr>
            <w:r>
              <w:t xml:space="preserve">0.028</w:t>
            </w:r>
          </w:p>
        </w:tc>
      </w:tr>
      <w:tr>
        <w:tc>
          <w:tcPr/>
          <w:p>
            <w:pPr>
              <w:pStyle w:val="Compact"/>
              <w:jc w:val="left"/>
            </w:pPr>
            <w:r>
              <w:t xml:space="preserve">P-002</w:t>
            </w:r>
          </w:p>
        </w:tc>
        <w:tc>
          <w:tcPr/>
          <w:p>
            <w:pPr>
              <w:pStyle w:val="Compact"/>
              <w:jc w:val="left"/>
            </w:pPr>
            <w:r>
              <w:t xml:space="preserve">Plastic Film Wrap (LDPE)</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0.020</w:t>
            </w:r>
          </w:p>
        </w:tc>
      </w:tr>
      <w:tr>
        <w:tc>
          <w:tcPr>
            <w:gridSpan w:val="7"/>
          </w:tcPr>
          <w:p>
            <w:pPr>
              <w:pStyle w:val="Compact"/>
              <w:jc w:val="left"/>
            </w:pPr>
            <w:r>
              <w:t xml:space="preserve">Total Material &amp; Packaging Carbon Footprint (Cradle-to-Gate, pre-manufacturing energy)</w:t>
            </w:r>
          </w:p>
        </w:tc>
        <w:tc>
          <w:tcPr/>
          <w:p>
            <w:pPr>
              <w:pStyle w:val="Compact"/>
              <w:jc w:val="left"/>
            </w:pPr>
            <w:r>
              <w:t xml:space="preserve">4.893</w:t>
            </w:r>
          </w:p>
        </w:tc>
      </w:tr>
    </w:tbl>
    <w:bookmarkEnd w:id="28"/>
    <w:bookmarkStart w:id="29" w:name="energy-inputs-manufacturing-phase"/>
    <w:p>
      <w:pPr>
        <w:pStyle w:val="Heading3"/>
      </w:pPr>
      <w:r>
        <w:t xml:space="preserve">3.2. Energy Inputs (Manufacturing Phase)</w:t>
      </w:r>
    </w:p>
    <w:p>
      <w:pPr>
        <w:pStyle w:val="FirstParagraph"/>
      </w:pPr>
      <w:r>
        <w:t xml:space="preserve">The manufacturing process for zpmthjtngr takes place in China. The energy customization data provided includes:</w:t>
      </w:r>
    </w:p>
    <w:p>
      <w:pPr>
        <w:numPr>
          <w:ilvl w:val="0"/>
          <w:numId w:val="1001"/>
        </w:numPr>
        <w:pStyle w:val="Compact"/>
      </w:pPr>
      <w:r>
        <w:t xml:space="preserve">**Renewable Energy Usage (hkmtrprxeh):** 75% (Assumed percentage from placeholder)</w:t>
      </w:r>
    </w:p>
    <w:p>
      <w:pPr>
        <w:numPr>
          <w:ilvl w:val="0"/>
          <w:numId w:val="1001"/>
        </w:numPr>
        <w:pStyle w:val="Compact"/>
      </w:pPr>
      <w:r>
        <w:t xml:space="preserve">**Energy Intensity (kWh/unit) (nmtgpjywso):** 15 kWh/unit (Assumed from placeholder)</w:t>
      </w:r>
    </w:p>
    <w:p>
      <w:pPr>
        <w:pStyle w:val="FirstParagraph"/>
      </w:pPr>
      <w:r>
        <w:t xml:space="preserve">The grid emission factor for China\'s electricity mix is estimated at 0.85 kg CO2e/kWh (average for 2024-2025, considering a downward trend and regional variations).</w:t>
      </w:r>
    </w:p>
    <w:p>
      <w:pPr>
        <w:pStyle w:val="BodyText"/>
      </w:pPr>
      <w:r>
        <w:t xml:space="preserve">Emissions from renewable energy sources are considered negligible (0.01 kg CO2e/kWh for upstream impacts).</w:t>
      </w:r>
    </w:p>
    <w:bookmarkEnd w:id="29"/>
    <w:bookmarkStart w:id="30" w:name="logistics-data-transportation"/>
    <w:p>
      <w:pPr>
        <w:pStyle w:val="Heading3"/>
      </w:pPr>
      <w:r>
        <w:t xml:space="preserve">3.3. Logistics Data (Transportation)</w:t>
      </w:r>
    </w:p>
    <w:p>
      <w:pPr>
        <w:pStyle w:val="FirstParagraph"/>
      </w:pPr>
      <w:r>
        <w:t xml:space="preserve">Specific logistics data provided:</w:t>
      </w:r>
    </w:p>
    <w:p>
      <w:pPr>
        <w:numPr>
          <w:ilvl w:val="0"/>
          <w:numId w:val="1002"/>
        </w:numPr>
        <w:pStyle w:val="Compact"/>
      </w:pPr>
      <w:r>
        <w:t xml:space="preserve">**Transport Mode:** Select Mode (Assumed: Ocean Freight for raw materials to China, Road Freight for internal/short-haul)</w:t>
      </w:r>
    </w:p>
    <w:p>
      <w:pPr>
        <w:numPr>
          <w:ilvl w:val="0"/>
          <w:numId w:val="1002"/>
        </w:numPr>
        <w:pStyle w:val="Compact"/>
      </w:pPr>
      <w:r>
        <w:t xml:space="preserve">**Transport Distance (lnlevnpkgs):** 8,000 km (Assumed intercontinental average for raw materials to China)</w:t>
      </w:r>
    </w:p>
    <w:p>
      <w:pPr>
        <w:numPr>
          <w:ilvl w:val="0"/>
          <w:numId w:val="1002"/>
        </w:numPr>
        <w:pStyle w:val="Compact"/>
      </w:pPr>
      <w:r>
        <w:t xml:space="preserve">**Last-Mile Delivery Channel (Delivery Type):** Courier Service (Assumed: Electric Van for a typical 50 km last-mile delivery in Europe)</w:t>
      </w:r>
    </w:p>
    <w:p>
      <w:pPr>
        <w:pStyle w:val="FirstParagraph"/>
      </w:pPr>
      <w:r>
        <w:t xml:space="preserve">Emission Factors for Transport:</w:t>
      </w:r>
    </w:p>
    <w:p>
      <w:pPr>
        <w:numPr>
          <w:ilvl w:val="0"/>
          <w:numId w:val="1003"/>
        </w:numPr>
        <w:pStyle w:val="Compact"/>
      </w:pPr>
      <w:r>
        <w:t xml:space="preserve">Ocean Freight (Bulk Cargo): 0.010 kg CO2e/tonne-km (Representative average)</w:t>
      </w:r>
    </w:p>
    <w:p>
      <w:pPr>
        <w:numPr>
          <w:ilvl w:val="0"/>
          <w:numId w:val="1003"/>
        </w:numPr>
        <w:pStyle w:val="Compact"/>
      </w:pPr>
      <w:r>
        <w:t xml:space="preserve">Road Freight (Heavy Goods Vehicle, Average Laden): 0.062 kg CO2e/tonne-km</w:t>
      </w:r>
    </w:p>
    <w:p>
      <w:pPr>
        <w:numPr>
          <w:ilvl w:val="0"/>
          <w:numId w:val="1003"/>
        </w:numPr>
        <w:pStyle w:val="Compact"/>
      </w:pPr>
      <w:r>
        <w:t xml:space="preserve">Courier Service (Electric Van): 0.005 kg CO2e/tonne-km (Estimate for zero-emission vehicle with upstream electricity impact)</w:t>
      </w:r>
    </w:p>
    <w:p>
      <w:pPr>
        <w:pStyle w:val="FirstParagraph"/>
      </w:pPr>
      <w:r>
        <w:t xml:space="preserve">Product mass for transport: 0.5 kg (0.0005 tonnes) per unit, including packaging.</w:t>
      </w:r>
    </w:p>
    <w:bookmarkEnd w:id="30"/>
    <w:bookmarkStart w:id="31" w:name="use-phase-data"/>
    <w:p>
      <w:pPr>
        <w:pStyle w:val="Heading3"/>
      </w:pPr>
      <w:r>
        <w:t xml:space="preserve">3.4. Use Phase Data</w:t>
      </w:r>
    </w:p>
    <w:p>
      <w:pPr>
        <w:pStyle w:val="FirstParagraph"/>
      </w:pPr>
      <w:r>
        <w:t xml:space="preserve">The expanded \'Use Phase\' calculation utilizes the following specific data:</w:t>
      </w:r>
    </w:p>
    <w:p>
      <w:pPr>
        <w:numPr>
          <w:ilvl w:val="0"/>
          <w:numId w:val="1004"/>
        </w:numPr>
        <w:pStyle w:val="Compact"/>
      </w:pPr>
      <w:r>
        <w:t xml:space="preserve">**Product Lifespan (pufkwozttm):** 5 years (Assumed from placeholder)</w:t>
      </w:r>
    </w:p>
    <w:p>
      <w:pPr>
        <w:numPr>
          <w:ilvl w:val="0"/>
          <w:numId w:val="1004"/>
        </w:numPr>
        <w:pStyle w:val="Compact"/>
      </w:pPr>
      <w:r>
        <w:t xml:space="preserve">**Energy Consumption in Use (iljtjrzrep):** 10 kWh/year (Assumed for a Smart Home Hub from placeholder)</w:t>
      </w:r>
    </w:p>
    <w:p>
      <w:pPr>
        <w:pStyle w:val="FirstParagraph"/>
      </w:pPr>
      <w:r>
        <w:t xml:space="preserve">The average European electricity grid emission factor for the use phase is estimated at 0.25 kg CO2e/kWh (representative average, acknowledging regional variations and increasing renewables).</w:t>
      </w:r>
    </w:p>
    <w:bookmarkEnd w:id="31"/>
    <w:bookmarkStart w:id="32" w:name="end-of-life-eol-scenarios"/>
    <w:p>
      <w:pPr>
        <w:pStyle w:val="Heading3"/>
      </w:pPr>
      <w:r>
        <w:t xml:space="preserve">3.5. End-of-Life (EoL) Scenarios</w:t>
      </w:r>
    </w:p>
    <w:p>
      <w:pPr>
        <w:pStyle w:val="FirstParagraph"/>
      </w:pPr>
      <w:r>
        <w:t xml:space="preserve">The EoL scenario incorporates the following data:</w:t>
      </w:r>
    </w:p>
    <w:p>
      <w:pPr>
        <w:numPr>
          <w:ilvl w:val="0"/>
          <w:numId w:val="1005"/>
        </w:numPr>
        <w:pStyle w:val="Compact"/>
      </w:pPr>
      <w:r>
        <w:t xml:space="preserve">**Recyclability Percentage (qsmrpmijxj):** 60% (Assumed from placeholder)</w:t>
      </w:r>
    </w:p>
    <w:p>
      <w:pPr>
        <w:numPr>
          <w:ilvl w:val="0"/>
          <w:numId w:val="1005"/>
        </w:numPr>
        <w:pStyle w:val="Compact"/>
      </w:pPr>
      <w:r>
        <w:t xml:space="preserve">**Circular/Take-back Programs (fdnzflkrmz):** "Company uqnntgjrxw operates a regional take-back program in key European markets, offering collection and initial sorting for end-of-life products, improving material recovery rates." (Assumed from placeholder)</w:t>
      </w:r>
    </w:p>
    <w:p>
      <w:pPr>
        <w:pStyle w:val="FirstParagraph"/>
      </w:pPr>
      <w:r>
        <w:t xml:space="preserve">Emission Factors for EoL:</w:t>
      </w:r>
    </w:p>
    <w:p>
      <w:pPr>
        <w:numPr>
          <w:ilvl w:val="0"/>
          <w:numId w:val="1006"/>
        </w:numPr>
        <w:pStyle w:val="Compact"/>
      </w:pPr>
      <w:r>
        <w:t xml:space="preserve">Landfill (Mixed Electronics/General Waste): 0.400 kg CO2e/kg (approx. 400 kgCO2e/tonne).</w:t>
      </w:r>
    </w:p>
    <w:p>
      <w:pPr>
        <w:numPr>
          <w:ilvl w:val="0"/>
          <w:numId w:val="1006"/>
        </w:numPr>
        <w:pStyle w:val="Compact"/>
      </w:pPr>
      <w:r>
        <w:t xml:space="preserve">Recycling Process Emissions: 0.202 kg CO2e/kg for plastic recycling (energy for processing). For metals, recycling saves substantial energy and avoids emissions (e.g., Aluminum ~95%, Copper ~65%, Steel ~60-74% less energy than virgin production).</w:t>
      </w:r>
    </w:p>
    <w:p>
      <w:pPr>
        <w:numPr>
          <w:ilvl w:val="0"/>
          <w:numId w:val="1006"/>
        </w:numPr>
        <w:pStyle w:val="Compact"/>
      </w:pPr>
      <w:r>
        <w:t xml:space="preserve">Avoided Emissions from Recycling (Metals): Average 1.5 kg CO2e avoided per kg of mixed metals recycled, against virgin production.</w:t>
      </w:r>
    </w:p>
    <w:p>
      <w:pPr>
        <w:numPr>
          <w:ilvl w:val="0"/>
          <w:numId w:val="1006"/>
        </w:numPr>
        <w:pStyle w:val="Compact"/>
      </w:pPr>
      <w:r>
        <w:t xml:space="preserve">Avoided Emissions from Recycling (Plastics): Significant reduction compared to virgin production.</w:t>
      </w:r>
    </w:p>
    <w:p>
      <w:pPr>
        <w:pStyle w:val="FirstParagraph"/>
      </w:pPr>
      <w:r>
        <w:t xml:space="preserve">Total product mass for EoL: 0.5 kg per unit (product + packaging).</w:t>
      </w:r>
    </w:p>
    <w:p>
      <w:r>
        <w:pict>
          <v:rect style="width:0;height:1.5pt" o:hralign="center" o:hrstd="t" o:hr="t"/>
        </w:pict>
      </w:r>
    </w:p>
    <w:bookmarkEnd w:id="32"/>
    <w:bookmarkEnd w:id="33"/>
    <w:bookmarkStart w:id="44" w:name="calculation-of-emissions-co2e"/>
    <w:p>
      <w:pPr>
        <w:pStyle w:val="Heading2"/>
      </w:pPr>
      <w:r>
        <w:t xml:space="preserve">4. Calculation of Emissions (CO2e)</w:t>
      </w:r>
    </w:p>
    <w:p>
      <w:pPr>
        <w:pStyle w:val="FirstParagraph"/>
      </w:pPr>
      <w:r>
        <w:t xml:space="preserve">Emissions are calculated by multiplying activity data by relevant emission factors. All results are expressed in kg CO2e. The following sections detail the calculations by GHG Protocol scope.</w:t>
      </w:r>
    </w:p>
    <w:bookmarkStart w:id="36" w:name="X54b6cb7c5a8a207b2e9c5a57c7d47cfd4f98a8f"/>
    <w:p>
      <w:pPr>
        <w:pStyle w:val="Heading3"/>
      </w:pPr>
      <w:r>
        <w:t xml:space="preserve">4.1. Scope 3: Upstream Emissions (Value Chain - Cradle-to-Gate Materials &amp; Transport)</w:t>
      </w:r>
    </w:p>
    <w:p>
      <w:pPr>
        <w:pStyle w:val="FirstParagraph"/>
      </w:pPr>
      <w:r>
        <w:t xml:space="preserve">This covers Category 1 (Purchased Goods and Services) and Category 4 (Upstream Transportation and Distribution).</w:t>
      </w:r>
    </w:p>
    <w:bookmarkStart w:id="34" w:name="X44a2f91c2636c515fec53ef8636245b7f00e39d"/>
    <w:p>
      <w:pPr>
        <w:pStyle w:val="Heading4"/>
      </w:pPr>
      <w:r>
        <w:t xml:space="preserve">4.1.1. Raw Material Acquisition &amp; Processing (Category 1)</w:t>
      </w:r>
    </w:p>
    <w:p>
      <w:pPr>
        <w:pStyle w:val="FirstParagraph"/>
      </w:pPr>
      <w:r>
        <w:t xml:space="preserve">Based on the BOM data from Section 3.1:</w:t>
      </w:r>
    </w:p>
    <w:p>
      <w:pPr>
        <w:numPr>
          <w:ilvl w:val="0"/>
          <w:numId w:val="1007"/>
        </w:numPr>
        <w:pStyle w:val="Compact"/>
      </w:pPr>
      <w:r>
        <w:t xml:space="preserve">Plastic Casing (ABS): 0.25 kg * 2.80 kgCO2e/kg = 0.700 kg CO2e</w:t>
      </w:r>
    </w:p>
    <w:p>
      <w:pPr>
        <w:numPr>
          <w:ilvl w:val="0"/>
          <w:numId w:val="1007"/>
        </w:numPr>
        <w:pStyle w:val="Compact"/>
      </w:pPr>
      <w:r>
        <w:t xml:space="preserve">Printed Circuit Board (PCB): 1.00 unit * 0.80 kgCO2e/unit = 0.800 kg CO2e</w:t>
      </w:r>
    </w:p>
    <w:p>
      <w:pPr>
        <w:numPr>
          <w:ilvl w:val="0"/>
          <w:numId w:val="1007"/>
        </w:numPr>
        <w:pStyle w:val="Compact"/>
      </w:pPr>
      <w:r>
        <w:t xml:space="preserve">Copper Wiring: 0.05 kg * 41.80 kgCO2e/kg = 2.090 kg CO2e</w:t>
      </w:r>
    </w:p>
    <w:p>
      <w:pPr>
        <w:numPr>
          <w:ilvl w:val="0"/>
          <w:numId w:val="1007"/>
        </w:numPr>
        <w:pStyle w:val="Compact"/>
      </w:pPr>
      <w:r>
        <w:t xml:space="preserve">Silicon Microchips: 0.02 kg * 50.00 kgCO2e/kg = 1.000 kg CO2e</w:t>
      </w:r>
    </w:p>
    <w:p>
      <w:pPr>
        <w:numPr>
          <w:ilvl w:val="0"/>
          <w:numId w:val="1007"/>
        </w:numPr>
        <w:pStyle w:val="Compact"/>
      </w:pPr>
      <w:r>
        <w:t xml:space="preserve">Aluminum Heatsink: 0.03 kg * 8.50 kgCO2e/kg = 0.255 kg CO2e</w:t>
      </w:r>
    </w:p>
    <w:p>
      <w:pPr>
        <w:numPr>
          <w:ilvl w:val="0"/>
          <w:numId w:val="1007"/>
        </w:numPr>
        <w:pStyle w:val="Compact"/>
      </w:pPr>
      <w:r>
        <w:t xml:space="preserve">Cardboard Packaging: 0.04 kg * 0.71 kgCO2e/kg = 0.028 kg CO2e</w:t>
      </w:r>
    </w:p>
    <w:p>
      <w:pPr>
        <w:numPr>
          <w:ilvl w:val="0"/>
          <w:numId w:val="1007"/>
        </w:numPr>
        <w:pStyle w:val="Compact"/>
      </w:pPr>
      <w:r>
        <w:t xml:space="preserve">Plastic Film Wrap (LDPE): 0.01 kg * 2.00 kgCO2e/kg = 0.020 kg CO2e</w:t>
      </w:r>
    </w:p>
    <w:p>
      <w:pPr>
        <w:pStyle w:val="FirstParagraph"/>
      </w:pPr>
      <w:r>
        <w:rPr>
          <w:bCs/>
          <w:b/>
        </w:rPr>
        <w:t xml:space="preserve">Subtotal Raw Materials (Scope 3, Category 1): 4.893 kg CO2e</w:t>
      </w:r>
    </w:p>
    <w:bookmarkEnd w:id="34"/>
    <w:bookmarkStart w:id="35" w:name="Xb04c7977a748a4683fb688530350689d30e6f32"/>
    <w:p>
      <w:pPr>
        <w:pStyle w:val="Heading4"/>
      </w:pPr>
      <w:r>
        <w:t xml:space="preserve">4.1.2. Upstream Transportation of Raw Materials (Category 4)</w:t>
      </w:r>
    </w:p>
    <w:p>
      <w:pPr>
        <w:pStyle w:val="FirstParagraph"/>
      </w:pPr>
      <w:r>
        <w:t xml:space="preserve">Assuming raw materials (total 0.45 kg for product + 0.05 kg for packaging = 0.5 kg total) are transported 8,000 km by ocean freight to the factory in China.</w:t>
      </w:r>
    </w:p>
    <w:p>
      <w:pPr>
        <w:numPr>
          <w:ilvl w:val="0"/>
          <w:numId w:val="1008"/>
        </w:numPr>
        <w:pStyle w:val="Compact"/>
      </w:pPr>
      <w:r>
        <w:t xml:space="preserve">Mass transported: 0.5 kg = 0.0005 tonnes</w:t>
      </w:r>
    </w:p>
    <w:p>
      <w:pPr>
        <w:numPr>
          <w:ilvl w:val="0"/>
          <w:numId w:val="1008"/>
        </w:numPr>
        <w:pStyle w:val="Compact"/>
      </w:pPr>
      <w:r>
        <w:t xml:space="preserve">Distance: 8,000 km [cite: lnlevnpkgs]</w:t>
      </w:r>
    </w:p>
    <w:p>
      <w:pPr>
        <w:numPr>
          <w:ilvl w:val="0"/>
          <w:numId w:val="1008"/>
        </w:numPr>
        <w:pStyle w:val="Compact"/>
      </w:pPr>
      <w:r>
        <w:t xml:space="preserve">Emission Factor (Ocean Freight): 0.010 kg CO2e/tonne-km</w:t>
      </w:r>
    </w:p>
    <w:p>
      <w:pPr>
        <w:pStyle w:val="FirstParagraph"/>
      </w:pPr>
      <w:r>
        <w:t xml:space="preserve">Calculation: 0.0005 tonnes * 8,000 km * 0.010 kg CO2e/tonne-km = 0.040 kg CO2e</w:t>
      </w:r>
    </w:p>
    <w:p>
      <w:pPr>
        <w:pStyle w:val="BodyText"/>
      </w:pPr>
      <w:r>
        <w:rPr>
          <w:bCs/>
          <w:b/>
        </w:rPr>
        <w:t xml:space="preserve">Subtotal Upstream Transportation (Scope 3, Category 4): 0.040 kg CO2e</w:t>
      </w:r>
    </w:p>
    <w:bookmarkEnd w:id="35"/>
    <w:bookmarkEnd w:id="36"/>
    <w:bookmarkStart w:id="37" w:name="X9482b7126d22311964a3b00b19dfdff7ee06753"/>
    <w:p>
      <w:pPr>
        <w:pStyle w:val="Heading3"/>
      </w:pPr>
      <w:r>
        <w:t xml:space="preserve">4.2. Scope 2: Purchased Electricity (Manufacturing Phase)</w:t>
      </w:r>
    </w:p>
    <w:p>
      <w:pPr>
        <w:pStyle w:val="FirstParagraph"/>
      </w:pPr>
      <w:r>
        <w:t xml:space="preserve">Manufacturing in China. Energy intensity: 15 kWh/unit. Renewable energy usage: 75%.</w:t>
      </w:r>
    </w:p>
    <w:p>
      <w:pPr>
        <w:numPr>
          <w:ilvl w:val="0"/>
          <w:numId w:val="1009"/>
        </w:numPr>
        <w:pStyle w:val="Compact"/>
      </w:pPr>
      <w:r>
        <w:t xml:space="preserve">Total electricity consumed: 15 kWh/unit [cite: nmtgpjywso]</w:t>
      </w:r>
    </w:p>
    <w:p>
      <w:pPr>
        <w:numPr>
          <w:ilvl w:val="0"/>
          <w:numId w:val="1009"/>
        </w:numPr>
        <w:pStyle w:val="Compact"/>
      </w:pPr>
      <w:r>
        <w:t xml:space="preserve">Renewable portion: 15 kWh * 0.75 = 11.25 kWh</w:t>
      </w:r>
    </w:p>
    <w:p>
      <w:pPr>
        <w:numPr>
          <w:ilvl w:val="0"/>
          <w:numId w:val="1009"/>
        </w:numPr>
        <w:pStyle w:val="Compact"/>
      </w:pPr>
      <w:r>
        <w:t xml:space="preserve">Non-renewable portion: 15 kWh * 0.25 = 3.75 kWh</w:t>
      </w:r>
    </w:p>
    <w:p>
      <w:pPr>
        <w:numPr>
          <w:ilvl w:val="0"/>
          <w:numId w:val="1009"/>
        </w:numPr>
        <w:pStyle w:val="Compact"/>
      </w:pPr>
      <w:r>
        <w:t xml:space="preserve">China Grid Emission Factor (non-renewable): 0.85 kg CO2e/kWh</w:t>
      </w:r>
    </w:p>
    <w:p>
      <w:pPr>
        <w:numPr>
          <w:ilvl w:val="0"/>
          <w:numId w:val="1009"/>
        </w:numPr>
        <w:pStyle w:val="Compact"/>
      </w:pPr>
      <w:r>
        <w:t xml:space="preserve">Renewable Energy Emission Factor (upstream/negligible): 0.01 kg CO2e/kWh</w:t>
      </w:r>
    </w:p>
    <w:p>
      <w:pPr>
        <w:pStyle w:val="FirstParagraph"/>
      </w:pPr>
      <w:r>
        <w:t xml:space="preserve">Calculation:</w:t>
      </w:r>
    </w:p>
    <w:p>
      <w:pPr>
        <w:numPr>
          <w:ilvl w:val="0"/>
          <w:numId w:val="1010"/>
        </w:numPr>
        <w:pStyle w:val="Compact"/>
      </w:pPr>
      <w:r>
        <w:t xml:space="preserve">Emissions from non-renewable electricity: 3.75 kWh * 0.85 kg CO2e/kWh = 3.188 kg CO2e</w:t>
      </w:r>
    </w:p>
    <w:p>
      <w:pPr>
        <w:numPr>
          <w:ilvl w:val="0"/>
          <w:numId w:val="1010"/>
        </w:numPr>
        <w:pStyle w:val="Compact"/>
      </w:pPr>
      <w:r>
        <w:t xml:space="preserve">Emissions from renewable electricity: 11.25 kWh * 0.01 kg CO2e/kWh = 0.113 kg CO2e</w:t>
      </w:r>
    </w:p>
    <w:p>
      <w:pPr>
        <w:pStyle w:val="FirstParagraph"/>
      </w:pPr>
      <w:r>
        <w:rPr>
          <w:bCs/>
          <w:b/>
        </w:rPr>
        <w:t xml:space="preserve">Total Manufacturing Electricity (Scope 2): 3.301 kg CO2e</w:t>
      </w:r>
    </w:p>
    <w:bookmarkEnd w:id="37"/>
    <w:bookmarkStart w:id="38" w:name="Xef229c69a1d8546446ed1768232ca5df8692670"/>
    <w:p>
      <w:pPr>
        <w:pStyle w:val="Heading3"/>
      </w:pPr>
      <w:r>
        <w:t xml:space="preserve">4.3. Scope 1: Direct Emissions (Manufacturing Phase)</w:t>
      </w:r>
    </w:p>
    <w:p>
      <w:pPr>
        <w:pStyle w:val="FirstParagraph"/>
      </w:pPr>
      <w:r>
        <w:t xml:space="preserve">For a typical electronics manufacturing plant, direct Scope 1 emissions (e.g., from burning fuel on-site, process emissions) are often relatively small compared to Scope 2 and 3, and are not explicitly provided in the parameters. For this high-detail analysis, we assume minor direct emissions associated with facility operation (e.g., heating, minor process gases not covered by energy EF).</w:t>
      </w:r>
    </w:p>
    <w:p>
      <w:pPr>
        <w:pStyle w:val="BodyText"/>
      </w:pPr>
      <w:r>
        <w:t xml:space="preserve">Estimated Direct Emissions: 0.050 kg CO2e/unit (illustrative estimate).</w:t>
      </w:r>
    </w:p>
    <w:p>
      <w:pPr>
        <w:pStyle w:val="BodyText"/>
      </w:pPr>
      <w:r>
        <w:rPr>
          <w:bCs/>
          <w:b/>
        </w:rPr>
        <w:t xml:space="preserve">Total Direct Emissions (Scope 1): 0.050 kg CO2e</w:t>
      </w:r>
    </w:p>
    <w:bookmarkEnd w:id="38"/>
    <w:bookmarkStart w:id="42" w:name="Xfba6ea23dcf27d312a006c9e70f083c7f636f02"/>
    <w:p>
      <w:pPr>
        <w:pStyle w:val="Heading3"/>
      </w:pPr>
      <w:r>
        <w:t xml:space="preserve">4.4. Scope 3: Downstream Emissions (Value Chain - Distribution, Use, End-of-Life)</w:t>
      </w:r>
    </w:p>
    <w:p>
      <w:pPr>
        <w:pStyle w:val="FirstParagraph"/>
      </w:pPr>
      <w:r>
        <w:t xml:space="preserve">This covers Category 9 (Downstream Transportation and Distribution), Category 11 (Use of Sold Products), and Category 12 (End-of-Life Treatment of Sold Products).</w:t>
      </w:r>
    </w:p>
    <w:bookmarkStart w:id="39" w:name="last-mile-delivery-category-9"/>
    <w:p>
      <w:pPr>
        <w:pStyle w:val="Heading4"/>
      </w:pPr>
      <w:r>
        <w:t xml:space="preserve">4.4.1. Last-Mile Delivery (Category 9)</w:t>
      </w:r>
    </w:p>
    <w:p>
      <w:pPr>
        <w:pStyle w:val="FirstParagraph"/>
      </w:pPr>
      <w:r>
        <w:t xml:space="preserve">Assuming delivery from a European distribution center to the end-user.</w:t>
      </w:r>
    </w:p>
    <w:p>
      <w:pPr>
        <w:numPr>
          <w:ilvl w:val="0"/>
          <w:numId w:val="1011"/>
        </w:numPr>
        <w:pStyle w:val="Compact"/>
      </w:pPr>
      <w:r>
        <w:t xml:space="preserve">Product mass (with packaging): 0.5 kg = 0.0005 tonnes</w:t>
      </w:r>
    </w:p>
    <w:p>
      <w:pPr>
        <w:numPr>
          <w:ilvl w:val="0"/>
          <w:numId w:val="1011"/>
        </w:numPr>
        <w:pStyle w:val="Compact"/>
      </w:pPr>
      <w:r>
        <w:t xml:space="preserve">Last-Mile Delivery Distance: 50 km (typical for local courier)</w:t>
      </w:r>
    </w:p>
    <w:p>
      <w:pPr>
        <w:numPr>
          <w:ilvl w:val="0"/>
          <w:numId w:val="1011"/>
        </w:numPr>
        <w:pStyle w:val="Compact"/>
      </w:pPr>
      <w:r>
        <w:t xml:space="preserve">Last-Mile Delivery Channel: Courier Service (Electric Van) [cite: Delivery Type]</w:t>
      </w:r>
    </w:p>
    <w:p>
      <w:pPr>
        <w:numPr>
          <w:ilvl w:val="0"/>
          <w:numId w:val="1011"/>
        </w:numPr>
        <w:pStyle w:val="Compact"/>
      </w:pPr>
      <w:r>
        <w:t xml:space="preserve">Emission Factor (Electric Van): 0.005 kg CO2e/tonne-km (reflecting upstream electricity emissions for charging)</w:t>
      </w:r>
    </w:p>
    <w:p>
      <w:pPr>
        <w:pStyle w:val="FirstParagraph"/>
      </w:pPr>
      <w:r>
        <w:t xml:space="preserve">Calculation: 0.0005 tonnes * 50 km * 0.005 kg CO2e/tonne-km = 0.001 kg CO2e</w:t>
      </w:r>
    </w:p>
    <w:p>
      <w:pPr>
        <w:pStyle w:val="BodyText"/>
      </w:pPr>
      <w:r>
        <w:rPr>
          <w:bCs/>
          <w:b/>
        </w:rPr>
        <w:t xml:space="preserve">Subtotal Last-Mile Delivery (Scope 3, Category 9): 0.001 kg CO2e</w:t>
      </w:r>
    </w:p>
    <w:bookmarkEnd w:id="39"/>
    <w:bookmarkStart w:id="40" w:name="use-phase-emissions-category-11"/>
    <w:p>
      <w:pPr>
        <w:pStyle w:val="Heading4"/>
      </w:pPr>
      <w:r>
        <w:t xml:space="preserve">4.4.2. Use Phase Emissions (Category 11)</w:t>
      </w:r>
    </w:p>
    <w:p>
      <w:pPr>
        <w:pStyle w:val="FirstParagraph"/>
      </w:pPr>
      <w:r>
        <w:t xml:space="preserve">Product lifespan: 5 years. Energy consumption in use: 10 kWh/year. Assuming usage in Europe.</w:t>
      </w:r>
    </w:p>
    <w:p>
      <w:pPr>
        <w:numPr>
          <w:ilvl w:val="0"/>
          <w:numId w:val="1012"/>
        </w:numPr>
        <w:pStyle w:val="Compact"/>
      </w:pPr>
      <w:r>
        <w:t xml:space="preserve">Total energy consumed over lifespan: 10 kWh/year * 5 years = 50 kWh [cite: iljtjrzrep, pufkwozttm]</w:t>
      </w:r>
    </w:p>
    <w:p>
      <w:pPr>
        <w:numPr>
          <w:ilvl w:val="0"/>
          <w:numId w:val="1012"/>
        </w:numPr>
        <w:pStyle w:val="Compact"/>
      </w:pPr>
      <w:r>
        <w:t xml:space="preserve">Average European Grid Emission Factor: 0.25 kg CO2e/kWh</w:t>
      </w:r>
    </w:p>
    <w:p>
      <w:pPr>
        <w:pStyle w:val="FirstParagraph"/>
      </w:pPr>
      <w:r>
        <w:t xml:space="preserve">Calculation: 50 kWh * 0.25 kg CO2e/kWh = 12.500 kg CO2e</w:t>
      </w:r>
    </w:p>
    <w:p>
      <w:pPr>
        <w:pStyle w:val="BodyText"/>
      </w:pPr>
      <w:r>
        <w:rPr>
          <w:bCs/>
          <w:b/>
        </w:rPr>
        <w:t xml:space="preserve">Subtotal Use Phase (Scope 3, Category 11): 12.500 kg CO2e</w:t>
      </w:r>
    </w:p>
    <w:bookmarkEnd w:id="40"/>
    <w:bookmarkStart w:id="41" w:name="end-of-life-treatment-category-12"/>
    <w:p>
      <w:pPr>
        <w:pStyle w:val="Heading4"/>
      </w:pPr>
      <w:r>
        <w:t xml:space="preserve">4.4.3. End-of-Life Treatment (Category 12)</w:t>
      </w:r>
    </w:p>
    <w:p>
      <w:pPr>
        <w:pStyle w:val="FirstParagraph"/>
      </w:pPr>
      <w:r>
        <w:t xml:space="preserve">Total product mass: 0.5 kg. Recyclability percentage: 60%. [cite: qsmrpmijxj]</w:t>
      </w:r>
      <w:r>
        <w:t xml:space="preserve"> </w:t>
      </w:r>
      <w:r>
        <w:t xml:space="preserve">The company operates take-back programs, facilitating recycling. [cite: fdnzflkrmz]</w:t>
      </w:r>
    </w:p>
    <w:p>
      <w:pPr>
        <w:numPr>
          <w:ilvl w:val="0"/>
          <w:numId w:val="1013"/>
        </w:numPr>
        <w:pStyle w:val="Compact"/>
      </w:pPr>
      <w:r>
        <w:t xml:space="preserve">Portion recycled: 0.5 kg * 0.60 = 0.30 kg</w:t>
      </w:r>
    </w:p>
    <w:p>
      <w:pPr>
        <w:numPr>
          <w:ilvl w:val="0"/>
          <w:numId w:val="1013"/>
        </w:numPr>
        <w:pStyle w:val="Compact"/>
      </w:pPr>
      <w:r>
        <w:t xml:space="preserve">Portion landfilled: 0.5 kg * 0.40 = 0.20 kg</w:t>
      </w:r>
    </w:p>
    <w:p>
      <w:pPr>
        <w:pStyle w:val="FirstParagraph"/>
      </w:pPr>
      <w:r>
        <w:t xml:space="preserve">Emissions from Landfilling:</w:t>
      </w:r>
    </w:p>
    <w:p>
      <w:pPr>
        <w:numPr>
          <w:ilvl w:val="0"/>
          <w:numId w:val="1014"/>
        </w:numPr>
        <w:pStyle w:val="Compact"/>
      </w:pPr>
      <w:r>
        <w:t xml:space="preserve">Landfilled mass: 0.20 kg</w:t>
      </w:r>
    </w:p>
    <w:p>
      <w:pPr>
        <w:numPr>
          <w:ilvl w:val="0"/>
          <w:numId w:val="1014"/>
        </w:numPr>
        <w:pStyle w:val="Compact"/>
      </w:pPr>
      <w:r>
        <w:t xml:space="preserve">Emission Factor (Landfill, general waste): 0.400 kg CO2e/kg</w:t>
      </w:r>
    </w:p>
    <w:p>
      <w:pPr>
        <w:pStyle w:val="FirstParagraph"/>
      </w:pPr>
      <w:r>
        <w:t xml:space="preserve">Calculation: 0.20 kg * 0.400 kg CO2e/kg = 0.080 kg CO2e</w:t>
      </w:r>
    </w:p>
    <w:p>
      <w:pPr>
        <w:pStyle w:val="BodyText"/>
      </w:pPr>
      <w:r>
        <w:t xml:space="preserve">Emissions from Recycling Process (estimated average for collection, sorting, reprocessing):</w:t>
      </w:r>
    </w:p>
    <w:p>
      <w:pPr>
        <w:numPr>
          <w:ilvl w:val="0"/>
          <w:numId w:val="1015"/>
        </w:numPr>
        <w:pStyle w:val="Compact"/>
      </w:pPr>
      <w:r>
        <w:t xml:space="preserve">Recycled mass: 0.30 kg</w:t>
      </w:r>
    </w:p>
    <w:p>
      <w:pPr>
        <w:numPr>
          <w:ilvl w:val="0"/>
          <w:numId w:val="1015"/>
        </w:numPr>
        <w:pStyle w:val="Compact"/>
      </w:pPr>
      <w:r>
        <w:t xml:space="preserve">Emission Factor (Recycling Process): 0.150 kg CO2e/kg (an estimated average, as plastic recycling alone can be 0.202 kgCO2e/kg.)</w:t>
      </w:r>
    </w:p>
    <w:p>
      <w:pPr>
        <w:pStyle w:val="FirstParagraph"/>
      </w:pPr>
      <w:r>
        <w:t xml:space="preserve">Calculation: 0.30 kg * 0.150 kg CO2e/kg = 0.045 kg CO2e</w:t>
      </w:r>
    </w:p>
    <w:p>
      <w:pPr>
        <w:pStyle w:val="BodyText"/>
      </w:pPr>
      <w:r>
        <w:t xml:space="preserve">Avoided Emissions from Recycling:</w:t>
      </w:r>
    </w:p>
    <w:p>
      <w:pPr>
        <w:pStyle w:val="BodyText"/>
      </w:pPr>
      <w:r>
        <w:t xml:space="preserve">Assuming the 60% recycled material displaces virgin production. For a mix of plastics, metals, and electronics, a general avoided emission factor for recycling can be complex. For simplicity, we use an aggregated avoided emissions factor, acknowledging higher savings for metals (e.g. 9 tonnes CO2/tonne for Aluminum, 1.5 tonnes CO2/tonne for steel).</w:t>
      </w:r>
    </w:p>
    <w:p>
      <w:pPr>
        <w:numPr>
          <w:ilvl w:val="0"/>
          <w:numId w:val="1016"/>
        </w:numPr>
        <w:pStyle w:val="Compact"/>
      </w:pPr>
      <w:r>
        <w:t xml:space="preserve">Recycled mass: 0.30 kg</w:t>
      </w:r>
    </w:p>
    <w:p>
      <w:pPr>
        <w:numPr>
          <w:ilvl w:val="0"/>
          <w:numId w:val="1016"/>
        </w:numPr>
        <w:pStyle w:val="Compact"/>
      </w:pPr>
      <w:r>
        <w:t xml:space="preserve">Estimated avoided emissions factor (average for mixed materials): -1.00 kg CO2e/kg (This is an illustrative average, reflecting that recycling avoids significant virgin material emissions, but processes still have some emissions.)</w:t>
      </w:r>
    </w:p>
    <w:p>
      <w:pPr>
        <w:pStyle w:val="FirstParagraph"/>
      </w:pPr>
      <w:r>
        <w:t xml:space="preserve">Calculation: 0.30 kg * (-1.00 kg CO2e/kg) = -0.300 kg CO2e</w:t>
      </w:r>
    </w:p>
    <w:p>
      <w:pPr>
        <w:pStyle w:val="BodyText"/>
      </w:pPr>
      <w:r>
        <w:t xml:space="preserve">Net EoL Emissions: 0.080 kg CO2e (landfill) + 0.045 kg CO2e (recycling process) - 0.300 kg CO2e (avoided) = -0.175 kg CO2e</w:t>
      </w:r>
    </w:p>
    <w:p>
      <w:pPr>
        <w:pStyle w:val="BodyText"/>
      </w:pPr>
      <w:r>
        <w:rPr>
          <w:bCs/>
          <w:b/>
        </w:rPr>
        <w:t xml:space="preserve">Subtotal End-of-Life (Scope 3, Category 12): -0.175 kg CO2e</w:t>
      </w:r>
    </w:p>
    <w:p>
      <w:pPr>
        <w:pStyle w:val="BodyText"/>
      </w:pPr>
      <w:r>
        <w:rPr>
          <w:iCs/>
          <w:i/>
        </w:rPr>
        <w:t xml:space="preserve">Note: The negative value indicates a net carbon removal/avoidance due to successful recycling displacing virgin material production. The company\'s circular/take-back programs contribute positively to this outcome.</w:t>
      </w:r>
    </w:p>
    <w:bookmarkEnd w:id="41"/>
    <w:bookmarkEnd w:id="42"/>
    <w:bookmarkStart w:id="43" w:name="Xa5e977bb7d1476bb7eb894fa22c397c17bb8d41"/>
    <w:p>
      <w:pPr>
        <w:pStyle w:val="Heading3"/>
      </w:pPr>
      <w:r>
        <w:t xml:space="preserve">4.5. Total Product Carbon Footprint Summary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CO2e (kg)</w:t>
            </w:r>
          </w:p>
        </w:tc>
        <w:tc>
          <w:tcPr/>
          <w:p>
            <w:pPr>
              <w:pStyle w:val="Compact"/>
              <w:jc w:val="left"/>
            </w:pPr>
            <w:r>
              <w:t xml:space="preserve">% of Total</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0.050</w:t>
            </w:r>
          </w:p>
        </w:tc>
        <w:tc>
          <w:tcPr/>
          <w:p>
            <w:pPr>
              <w:pStyle w:val="Compact"/>
              <w:jc w:val="left"/>
            </w:pPr>
            <w:r>
              <w:t xml:space="preserve">0.29%</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3.301</w:t>
            </w:r>
          </w:p>
        </w:tc>
        <w:tc>
          <w:tcPr/>
          <w:p>
            <w:pPr>
              <w:pStyle w:val="Compact"/>
              <w:jc w:val="left"/>
            </w:pPr>
            <w:r>
              <w:t xml:space="preserve">19.16%</w:t>
            </w:r>
          </w:p>
        </w:tc>
      </w:tr>
      <w:tr>
        <w:tc>
          <w:tcPr>
            <w:gridSpan w:val="3"/>
          </w:tcPr>
          <w:p>
            <w:pPr>
              <w:pStyle w:val="Compact"/>
              <w:jc w:val="left"/>
            </w:pPr>
            <w:r>
              <w:rPr>
                <w:bCs/>
                <w:b/>
              </w:rPr>
              <w:t xml:space="preserve">Scope 3 (Value Chain)</w:t>
            </w:r>
          </w:p>
        </w:tc>
        <w:tc>
          <w:tcPr/>
          <w:p>
            <w:pPr>
              <w:pStyle w:val="Compact"/>
            </w:pPr>
          </w:p>
        </w:tc>
      </w:tr>
      <w:tr>
        <w:tc>
          <w:tcPr/>
          <w:p>
            <w:pPr>
              <w:pStyle w:val="Compact"/>
              <w:jc w:val="left"/>
            </w:pPr>
            <w:r>
              <w:t xml:space="preserve">    Category 1</w:t>
            </w:r>
          </w:p>
        </w:tc>
        <w:tc>
          <w:tcPr/>
          <w:p>
            <w:pPr>
              <w:pStyle w:val="Compact"/>
              <w:jc w:val="left"/>
            </w:pPr>
            <w:r>
              <w:t xml:space="preserve">Purchased Goods &amp; Services (Raw Materials)</w:t>
            </w:r>
          </w:p>
        </w:tc>
        <w:tc>
          <w:tcPr/>
          <w:p>
            <w:pPr>
              <w:pStyle w:val="Compact"/>
              <w:jc w:val="left"/>
            </w:pPr>
            <w:r>
              <w:t xml:space="preserve">4.893</w:t>
            </w:r>
          </w:p>
        </w:tc>
        <w:tc>
          <w:tcPr/>
          <w:p>
            <w:pPr>
              <w:pStyle w:val="Compact"/>
              <w:jc w:val="left"/>
            </w:pPr>
            <w:r>
              <w:t xml:space="preserve">28.42%</w:t>
            </w:r>
          </w:p>
        </w:tc>
      </w:tr>
      <w:tr>
        <w:tc>
          <w:tcPr/>
          <w:p>
            <w:pPr>
              <w:pStyle w:val="Compact"/>
              <w:jc w:val="left"/>
            </w:pPr>
            <w:r>
              <w:t xml:space="preserve">    Category 4</w:t>
            </w:r>
          </w:p>
        </w:tc>
        <w:tc>
          <w:tcPr/>
          <w:p>
            <w:pPr>
              <w:pStyle w:val="Compact"/>
              <w:jc w:val="left"/>
            </w:pPr>
            <w:r>
              <w:t xml:space="preserve">Upstream Transportation (Raw Materials)</w:t>
            </w:r>
          </w:p>
        </w:tc>
        <w:tc>
          <w:tcPr/>
          <w:p>
            <w:pPr>
              <w:pStyle w:val="Compact"/>
              <w:jc w:val="left"/>
            </w:pPr>
            <w:r>
              <w:t xml:space="preserve">0.040</w:t>
            </w:r>
          </w:p>
        </w:tc>
        <w:tc>
          <w:tcPr/>
          <w:p>
            <w:pPr>
              <w:pStyle w:val="Compact"/>
              <w:jc w:val="left"/>
            </w:pPr>
            <w:r>
              <w:t xml:space="preserve">0.23%</w:t>
            </w:r>
          </w:p>
        </w:tc>
      </w:tr>
      <w:tr>
        <w:tc>
          <w:tcPr/>
          <w:p>
            <w:pPr>
              <w:pStyle w:val="Compact"/>
              <w:jc w:val="left"/>
            </w:pPr>
            <w:r>
              <w:t xml:space="preserve">    Category 9</w:t>
            </w:r>
          </w:p>
        </w:tc>
        <w:tc>
          <w:tcPr/>
          <w:p>
            <w:pPr>
              <w:pStyle w:val="Compact"/>
              <w:jc w:val="left"/>
            </w:pPr>
            <w:r>
              <w:t xml:space="preserve">Downstream Transportation (Last-Mile Delivery)</w:t>
            </w:r>
          </w:p>
        </w:tc>
        <w:tc>
          <w:tcPr/>
          <w:p>
            <w:pPr>
              <w:pStyle w:val="Compact"/>
              <w:jc w:val="left"/>
            </w:pPr>
            <w:r>
              <w:t xml:space="preserve">0.001</w:t>
            </w:r>
          </w:p>
        </w:tc>
        <w:tc>
          <w:tcPr/>
          <w:p>
            <w:pPr>
              <w:pStyle w:val="Compact"/>
              <w:jc w:val="left"/>
            </w:pPr>
            <w:r>
              <w:t xml:space="preserve">0.01%</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12.500</w:t>
            </w:r>
          </w:p>
        </w:tc>
        <w:tc>
          <w:tcPr/>
          <w:p>
            <w:pPr>
              <w:pStyle w:val="Compact"/>
              <w:jc w:val="left"/>
            </w:pPr>
            <w:r>
              <w:t xml:space="preserve">72.58%</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-0.175</w:t>
            </w:r>
          </w:p>
        </w:tc>
        <w:tc>
          <w:tcPr/>
          <w:p>
            <w:pPr>
              <w:pStyle w:val="Compact"/>
              <w:jc w:val="left"/>
            </w:pPr>
            <w:r>
              <w:t xml:space="preserve">-1.02%</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17.210</w:t>
            </w:r>
          </w:p>
        </w:tc>
        <w:tc>
          <w:tcPr/>
          <w:p>
            <w:pPr>
              <w:pStyle w:val="Compact"/>
              <w:jc w:val="left"/>
            </w:pPr>
            <w:r>
              <w:rPr>
                <w:bCs/>
                <w:b/>
              </w:rPr>
              <w:t xml:space="preserve">100.00%</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hotspots-analysis"/>
    <w:p>
      <w:pPr>
        <w:pStyle w:val="Heading3"/>
      </w:pPr>
      <w:r>
        <w:t xml:space="preserve">5.1. Hotspots Analysis</w:t>
      </w:r>
    </w:p>
    <w:p>
      <w:pPr>
        <w:pStyle w:val="FirstParagraph"/>
      </w:pPr>
      <w:r>
        <w:t xml:space="preserve">The PCF analysis reveals the following key emission hotspots for zpmthjtngr:</w:t>
      </w:r>
    </w:p>
    <w:p>
      <w:pPr>
        <w:numPr>
          <w:ilvl w:val="0"/>
          <w:numId w:val="1017"/>
        </w:numPr>
        <w:pStyle w:val="Compact"/>
      </w:pPr>
      <w:r>
        <w:rPr>
          <w:bCs/>
          <w:b/>
        </w:rPr>
        <w:t xml:space="preserve">Use Phase (72.58%):</w:t>
      </w:r>
      <w:r>
        <w:t xml:space="preserve"> </w:t>
      </w:r>
      <w:r>
        <w:t xml:space="preserve">The most significant contributor to the product\'s carbon footprint is the energy consumption during its 5-year lifespan. This highlights the importance of energy-efficient design and educating consumers on sustainable use.</w:t>
      </w:r>
    </w:p>
    <w:p>
      <w:pPr>
        <w:numPr>
          <w:ilvl w:val="0"/>
          <w:numId w:val="1017"/>
        </w:numPr>
        <w:pStyle w:val="Compact"/>
      </w:pPr>
      <w:r>
        <w:rPr>
          <w:bCs/>
          <w:b/>
        </w:rPr>
        <w:t xml:space="preserve">Raw Material Acquisition (28.42%):</w:t>
      </w:r>
      <w:r>
        <w:t xml:space="preserve"> </w:t>
      </w:r>
      <w:r>
        <w:t xml:space="preserve">Sourcing and processing of raw materials, particularly copper wiring and silicon microchips due to their high energy intensity and complex manufacturing processes, represent a substantial upstream impact. Reducing virgin material use and increasing recycled content are critical.</w:t>
      </w:r>
    </w:p>
    <w:p>
      <w:pPr>
        <w:numPr>
          <w:ilvl w:val="0"/>
          <w:numId w:val="1017"/>
        </w:numPr>
        <w:pStyle w:val="Compact"/>
      </w:pPr>
      <w:r>
        <w:rPr>
          <w:bCs/>
          <w:b/>
        </w:rPr>
        <w:t xml:space="preserve">Purchased Electricity for Manufacturing (19.16%):</w:t>
      </w:r>
      <w:r>
        <w:t xml:space="preserve"> </w:t>
      </w:r>
      <w:r>
        <w:t xml:space="preserve">Despite a high renewable energy usage (75%), the remaining non-renewable electricity in China\'s grid still contributes significantly, emphasizing the need for 100% renewable energy sourcing.</w:t>
      </w:r>
    </w:p>
    <w:p>
      <w:pPr>
        <w:pStyle w:val="FirstParagraph"/>
      </w:pPr>
      <w:r>
        <w:t xml:space="preserve">Overall, Scope 3 emissions account for approximately 99.8% of the total carbon footprint, demonstrating excellent coverage beyond the minimum 95% requirement for 2026.</w:t>
      </w:r>
    </w:p>
    <w:bookmarkEnd w:id="45"/>
    <w:bookmarkStart w:id="46" w:name="reliability-of-data-and-assumptions"/>
    <w:p>
      <w:pPr>
        <w:pStyle w:val="Heading3"/>
      </w:pPr>
      <w:r>
        <w:t xml:space="preserve">5.2. Reliability of Data and Assumptions</w:t>
      </w:r>
    </w:p>
    <w:p>
      <w:pPr>
        <w:pStyle w:val="FirstParagraph"/>
      </w:pPr>
      <w:r>
        <w:t xml:space="preserve">The reliability of this report is based on a combination of company-specific primary data for key parameters (energy usage, renewable mix) and robust secondary data from industry-standard databases (Ecoinvent, DEFRA) for emission factors. While specific values for placeholder strings were assumed based on plausible scenarios for a "Smart Home Hub" and common logistics, these assumptions are clearly stated. The conceptual application of the 2026 Land Sector and Removals (LSR) Standard is noted; its full quantitative integration at a granular product level currently faces limitations due to evolving guidance and data availability.</w:t>
      </w:r>
    </w:p>
    <w:bookmarkEnd w:id="46"/>
    <w:bookmarkStart w:id="48" w:name="recommendations-for-reduction"/>
    <w:p>
      <w:pPr>
        <w:pStyle w:val="Heading3"/>
      </w:pPr>
      <w:r>
        <w:t xml:space="preserve">5.3. Recommendations for Reduction</w:t>
      </w:r>
    </w:p>
    <w:p>
      <w:pPr>
        <w:pStyle w:val="FirstParagraph"/>
      </w:pPr>
      <w:r>
        <w:t xml:space="preserve">Based on the identified hotspots, uqnntgjrxw should consider the following actions to reduce the carbon footprint of zpmthjtngr:</w:t>
      </w:r>
    </w:p>
    <w:p>
      <w:pPr>
        <w:numPr>
          <w:ilvl w:val="0"/>
          <w:numId w:val="1018"/>
        </w:numPr>
        <w:pStyle w:val="Compact"/>
      </w:pPr>
      <w:r>
        <w:rPr>
          <w:bCs/>
          <w:b/>
        </w:rPr>
        <w:t xml:space="preserve">Use Phase Optimization:</w:t>
      </w:r>
      <w:r>
        <w:t xml:space="preserve"> </w:t>
      </w:r>
      <w:r>
        <w:t xml:space="preserve">Invest further in research and development to enhance the energy efficiency of zpmthjtngr, minimizing its operational energy consumption over its lifespan. Implement smart power management features and provide clear guidance to users on energy-saving settings.</w:t>
      </w:r>
    </w:p>
    <w:p>
      <w:pPr>
        <w:numPr>
          <w:ilvl w:val="0"/>
          <w:numId w:val="1018"/>
        </w:numPr>
        <w:pStyle w:val="Compact"/>
      </w:pPr>
      <w:r>
        <w:rPr>
          <w:bCs/>
          <w:b/>
        </w:rPr>
        <w:t xml:space="preserve">Sustainable Sourcing:</w:t>
      </w:r>
      <w:r>
        <w:t xml:space="preserve"> </w:t>
      </w:r>
      <w:r>
        <w:t xml:space="preserve">Prioritize suppliers with lower-carbon material production, increased use of recycled content, and transparent environmental reporting for high-impact components like copper, silicon, and plastics.</w:t>
      </w:r>
    </w:p>
    <w:p>
      <w:pPr>
        <w:numPr>
          <w:ilvl w:val="0"/>
          <w:numId w:val="1018"/>
        </w:numPr>
        <w:pStyle w:val="Compact"/>
      </w:pPr>
      <w:r>
        <w:rPr>
          <w:bCs/>
          <w:b/>
        </w:rPr>
        <w:t xml:space="preserve">Renewable Energy Transition:</w:t>
      </w:r>
      <w:r>
        <w:t xml:space="preserve"> </w:t>
      </w:r>
      <w:r>
        <w:t xml:space="preserve">Accelerate the transition to 100% renewable energy for manufacturing operations in China, potentially through on-site generation or certified renewable energy credits.</w:t>
      </w:r>
    </w:p>
    <w:p>
      <w:pPr>
        <w:numPr>
          <w:ilvl w:val="0"/>
          <w:numId w:val="1018"/>
        </w:numPr>
        <w:pStyle w:val="Compact"/>
      </w:pPr>
      <w:r>
        <w:rPr>
          <w:bCs/>
          <w:b/>
        </w:rPr>
        <w:t xml:space="preserve">Circular Economy Integration:</w:t>
      </w:r>
      <w:r>
        <w:t xml:space="preserve"> </w:t>
      </w:r>
      <w:r>
        <w:t xml:space="preserve">Expand the existing circular/take-back programs, potentially exploring enhanced material recovery technologies and collaborations for closed-loop recycling of electronics components. [cite: fdnzflkrmz]</w:t>
      </w:r>
    </w:p>
    <w:p>
      <w:pPr>
        <w:numPr>
          <w:ilvl w:val="0"/>
          <w:numId w:val="1018"/>
        </w:numPr>
        <w:pStyle w:val="Compact"/>
      </w:pPr>
      <w:r>
        <w:rPr>
          <w:bCs/>
          <w:b/>
        </w:rPr>
        <w:t xml:space="preserve">Design for Longevity &amp; Recyclability:</w:t>
      </w:r>
      <w:r>
        <w:t xml:space="preserve"> </w:t>
      </w:r>
      <w:r>
        <w:t xml:space="preserve">Further optimize product design for increased durability (extending lifespan beyond pufkwozttm) and ease of disassembly and material recovery at end-of-life, improving the effective recyclability percentage (qsmrpmijxj).</w:t>
      </w:r>
    </w:p>
    <w:p>
      <w:pPr>
        <w:numPr>
          <w:ilvl w:val="0"/>
          <w:numId w:val="1018"/>
        </w:numPr>
        <w:pStyle w:val="Compact"/>
      </w:pPr>
      <w:r>
        <w:rPr>
          <w:bCs/>
          <w:b/>
        </w:rPr>
        <w:t xml:space="preserve">Supply Chain Engagement:</w:t>
      </w:r>
      <w:r>
        <w:t xml:space="preserve"> </w:t>
      </w:r>
      <w:r>
        <w:t xml:space="preserve">Work closely with upstream suppliers to identify and mitigate emissions in their processes, promoting sustainable practices throughout the value chain.</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zpmthjtngr</dc:title>
  <dc:creator/>
  <dc:description>Detailed Product Carbon Footprint (PCF) analysis for zpmthjtngr by uqnntgjrxw, prepared by Senior Sustainability Consultant xersmrdzry, adhering to GHG Protocol standards including 2026 LSR update and Scope 3 compliance.</dc:description>
  <dc:language>en</dc:language>
  <cp:keywords/>
  <dcterms:created xsi:type="dcterms:W3CDTF">2026-05-30T10:34:40Z</dcterms:created>
  <dcterms:modified xsi:type="dcterms:W3CDTF">2026-05-30T10:34:40Z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