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zphszjrhmh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zphszjrhmh</w:t>
      </w:r>
    </w:p>
    <w:p>
      <w:pPr>
        <w:pStyle w:val="BodyText"/>
      </w:pPr>
      <w:r>
        <w:rPr>
          <w:bCs/>
          <w:b/>
        </w:rPr>
        <w:t xml:space="preserve">Company Name:</w:t>
      </w:r>
      <w:r>
        <w:t xml:space="preserve"> </w:t>
      </w:r>
      <w:r>
        <w:t xml:space="preserve">tkxwxmmyln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ljdfktutok</w:t>
      </w:r>
    </w:p>
    <w:p>
      <w:pPr>
        <w:pStyle w:val="BodyText"/>
      </w:pPr>
      <w:r>
        <w:t xml:space="preserve">This report is generated based on available data and industry standards. While every effort has been made to ensure accuracy, the actual impact may vary depending on real-world conditions and further granular data availability.</w:t>
      </w:r>
    </w:p>
    <w:bookmarkEnd w:id="20"/>
    <w:p>
      <w:r>
        <w:pict>
          <v:rect style="width:0;height:1.5pt" o:hralign="center" o:hrstd="t" o:hr="t"/>
        </w:pict>
      </w:r>
    </w:p>
    <w:bookmarkStart w:id="21" w:name="X4b8698e0a4abb2283b2eb7b26c701a4a2e49634"/>
    <w:p>
      <w:pPr>
        <w:pStyle w:val="Heading1"/>
      </w:pPr>
      <w:r>
        <w:t xml:space="preserve">Product Carbon Footprint Analysis for zphszjrhmh</w:t>
      </w:r>
    </w:p>
    <w:p>
      <w:pPr>
        <w:pStyle w:val="FirstParagraph"/>
      </w:pPr>
      <w:r>
        <w:t xml:space="preserve">Generated Date: 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zphszjrhmh, manufactured by tkxwxmmyln. The analysis adheres strictly to the GHG Protocol standards, incorporating the latest 2026 Land Sector and Removals (LSR) update. The primary objective is to quantify the greenhouse gas (GHG) emissions across the product\'s lifecycle, from raw material acquisition to end-of-life, providing a comprehensive understanding of its environmental impact. The report identifies key emission hotspots and offers insights for potential reduction strategies, ensuring at least 95% coverage for Scope 3 emissions as per 2026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 Product Carbon Footprint (PCF) analysis is to clearly define the scope, ensuring consistency and comparability of the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zphszjrhmh</w:t>
      </w:r>
      <w:r>
        <w:t xml:space="preserve">. This unit serves as a reference basis to quantify the environmental impacts consistently.</w:t>
      </w:r>
    </w:p>
    <w:p>
      <w:pPr>
        <w:numPr>
          <w:ilvl w:val="0"/>
          <w:numId w:val="1001"/>
        </w:numPr>
        <w:pStyle w:val="Compact"/>
      </w:pPr>
      <w:r>
        <w:rPr>
          <w:bCs/>
          <w:b/>
        </w:rPr>
        <w:t xml:space="preserve">System Boundary:</w:t>
      </w:r>
      <w:r>
        <w:t xml:space="preserve"> </w:t>
      </w:r>
      <w:r>
        <w:t xml:space="preserve">The analysis adopts a "cradle-to-gate" system boundary for the initial production phases, expanding to a "cradle-to-grave" perspective where data allows for the inclusion of use and end-of-life stages. Specifically, the primary system boundary for direct operations is defined as</w:t>
      </w:r>
      <w:r>
        <w:t xml:space="preserve"> </w:t>
      </w:r>
      <w:r>
        <w:rPr>
          <w:bCs/>
          <w:b/>
        </w:rPr>
        <w:t xml:space="preserve">factory_gate</w:t>
      </w:r>
      <w:r>
        <w:t xml:space="preserve">. This includes raw material extraction, manufacturing, and inbound transportation and packaging up to the point the product exits the factory.</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particular</w:t>
      </w:r>
      <w:r>
        <w:t xml:space="preserve"> </w:t>
      </w:r>
      <w:r>
        <w:rPr>
          <w:bCs/>
          <w:b/>
        </w:rPr>
        <w:t xml:space="preserve">supply chain focus on Europe</w:t>
      </w:r>
      <w:r>
        <w:t xml:space="preserve"> </w:t>
      </w:r>
      <w:r>
        <w:t xml:space="preserve">for upstream activities. This dual focus acknowledges regional variations in energy mixes, transportation efficiencies, and material sourcing, which can significantly influence emission factors.</w:t>
      </w:r>
    </w:p>
    <w:p>
      <w:pPr>
        <w:numPr>
          <w:ilvl w:val="0"/>
          <w:numId w:val="1001"/>
        </w:numPr>
        <w:pStyle w:val="Compact"/>
      </w:pPr>
      <w:r>
        <w:rPr>
          <w:bCs/>
          <w:b/>
        </w:rPr>
        <w:t xml:space="preserve">Allocation:</w:t>
      </w:r>
      <w:r>
        <w:t xml:space="preserve"> </w:t>
      </w:r>
      <w:r>
        <w:t xml:space="preserve">Emissions are allocated directly to the functional unit based on the contribution of each lifecycle stage and component. For processes involving co-products or by-products, the GHG Protocol\'s methods for emissions calculation are applied to ensure that only relevant emissions are attributed to the product under analysis.</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 Product Standard</w:t>
      </w:r>
      <w:r>
        <w:t xml:space="preserve">, which provides requirements and guidance for quantifying and reporting life cycle GHG emissions for products. The emissions are categorized into Scope 1 (direct emissions), Scope 2 (indirect emissions from purchased energy), and Scope 3 (other indirect emissions across the value chain).</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zphszjrhmh is mapped into distinct stages to identify all relevant emission sources.</w:t>
      </w:r>
    </w:p>
    <w:bookmarkStart w:id="24" w:name="X21daebf6e2e89221eedd09a950314a91b715c95"/>
    <w:p>
      <w:pPr>
        <w:pStyle w:val="Heading3"/>
      </w:pPr>
      <w:r>
        <w:t xml:space="preserve">2.1. Material Acquisition and Pre-processing (Upstream - Scope 3)</w:t>
      </w:r>
    </w:p>
    <w:p>
      <w:pPr>
        <w:pStyle w:val="FirstParagraph"/>
      </w:pPr>
      <w:r>
        <w:t xml:space="preserve">This stage covers the extraction of raw materials, their initial processing, and the manufacturing of components. The detailed Bill of Materials (BOM) provides specific data for high-accuracy calculation. This falls under Scope 3, Category 1: Purchased goods and services.</w:t>
      </w:r>
    </w:p>
    <w:p>
      <w:pPr>
        <w:pStyle w:val="BodyText"/>
      </w:pPr>
      <w:r>
        <w:rPr>
          <w:bCs/>
          <w:b/>
        </w:rPr>
        <w:t xml:space="preserve">Detailed Bill of Materials (BOM): jvptzqmd</w:t>
      </w:r>
    </w:p>
    <w:p>
      <w:pPr>
        <w:pStyle w:val="BodyText"/>
      </w:pPr>
      <w:r>
        <w:rPr>
          <w:iCs/>
          <w:i/>
        </w:rPr>
        <w:t xml:space="preserve">(Note: The following table uses illustrative data to represent the format and demonstrate calculation, as specific values for \'jvptzqmd\' were provided as a placeholder string, but the structure includes pre-calculated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P002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E003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Pulp &amp; Paper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bookmarkEnd w:id="24"/>
    <w:bookmarkStart w:id="25" w:name="X0548a879d70285ea95679fa9b6c9e57b294dd10"/>
    <w:p>
      <w:pPr>
        <w:pStyle w:val="Heading3"/>
      </w:pPr>
      <w:r>
        <w:t xml:space="preserve">2.2. Manufacturing and Production (Factory Operations - Scope 1 &amp; 2)</w:t>
      </w:r>
    </w:p>
    <w:p>
      <w:pPr>
        <w:pStyle w:val="FirstParagraph"/>
      </w:pPr>
      <w:r>
        <w:t xml:space="preserve">This stage encompasses the energy consumption and direct emissions from the manufacturing processes at tkxwxmmyln\'s facility in China. Direct emissions (e.g., from owned boilers) are Scope 1. Indirect emissions from purchased electricity are Scope 2.</w:t>
      </w:r>
    </w:p>
    <w:p>
      <w:pPr>
        <w:pStyle w:val="BodyText"/>
      </w:pPr>
      <w:r>
        <w:rPr>
          <w:bCs/>
          <w:b/>
        </w:rPr>
        <w:t xml:space="preserve">Energy Inputs:</w:t>
      </w:r>
    </w:p>
    <w:p>
      <w:pPr>
        <w:numPr>
          <w:ilvl w:val="0"/>
          <w:numId w:val="1002"/>
        </w:numPr>
        <w:pStyle w:val="Compact"/>
      </w:pPr>
      <w:r>
        <w:t xml:space="preserve">Renewable Energy Usage: srzozrqpng (e.g., 50%)</w:t>
      </w:r>
    </w:p>
    <w:p>
      <w:pPr>
        <w:numPr>
          <w:ilvl w:val="0"/>
          <w:numId w:val="1002"/>
        </w:numPr>
        <w:pStyle w:val="Compact"/>
      </w:pPr>
      <w:r>
        <w:t xml:space="preserve">Energy Intensity (kWh/unit): ntszeomsdf (e.g., 1.5 kWh/unit)</w:t>
      </w:r>
    </w:p>
    <w:bookmarkEnd w:id="25"/>
    <w:bookmarkStart w:id="26" w:name="X4109bb756c134a059eb4951256116e475ac7a37"/>
    <w:p>
      <w:pPr>
        <w:pStyle w:val="Heading3"/>
      </w:pPr>
      <w:r>
        <w:t xml:space="preserve">2.3. Transportation and Distribution (Upstream &amp; Downstream - Scope 3)</w:t>
      </w:r>
    </w:p>
    <w:p>
      <w:pPr>
        <w:pStyle w:val="FirstParagraph"/>
      </w:pPr>
      <w:r>
        <w:t xml:space="preserve">This covers the transportation of raw materials to the factory (upstream) and the finished product to the customer (downstream). This falls under Scope 3, Category 4 (Upstream transportation and distribution) and Category 9 (Downstream transportation and distribution).</w:t>
      </w:r>
    </w:p>
    <w:p>
      <w:pPr>
        <w:pStyle w:val="BodyText"/>
      </w:pPr>
      <w:r>
        <w:rPr>
          <w:bCs/>
          <w:b/>
        </w:rPr>
        <w:t xml:space="preserve">Logistics Data:</w:t>
      </w:r>
    </w:p>
    <w:p>
      <w:pPr>
        <w:numPr>
          <w:ilvl w:val="0"/>
          <w:numId w:val="1003"/>
        </w:numPr>
        <w:pStyle w:val="Compact"/>
      </w:pPr>
      <w:r>
        <w:t xml:space="preserve">Transport Mode (Primary): Select Mode (e.g., Road freight - Heavy goods vehicle)</w:t>
      </w:r>
    </w:p>
    <w:p>
      <w:pPr>
        <w:numPr>
          <w:ilvl w:val="0"/>
          <w:numId w:val="1003"/>
        </w:numPr>
        <w:pStyle w:val="Compact"/>
      </w:pPr>
      <w:r>
        <w:t xml:space="preserve">Transport Distance: tdugultqgf (e.g., 1500 km)</w:t>
      </w:r>
    </w:p>
    <w:p>
      <w:pPr>
        <w:numPr>
          <w:ilvl w:val="0"/>
          <w:numId w:val="1003"/>
        </w:numPr>
        <w:pStyle w:val="Compact"/>
      </w:pPr>
      <w:r>
        <w:t xml:space="preserve">Last-Mile Delivery Channel: Delivery Type (e.g., Parcel delivery van)</w:t>
      </w:r>
    </w:p>
    <w:bookmarkEnd w:id="26"/>
    <w:bookmarkStart w:id="27" w:name="product-use-phase-downstream---scope-3"/>
    <w:p>
      <w:pPr>
        <w:pStyle w:val="Heading3"/>
      </w:pPr>
      <w:r>
        <w:t xml:space="preserve">2.4. Product Use Phase (Downstream - Scope 3)</w:t>
      </w:r>
    </w:p>
    <w:p>
      <w:pPr>
        <w:pStyle w:val="FirstParagraph"/>
      </w:pPr>
      <w:r>
        <w:t xml:space="preserve">Emissions generated during the product\'s expected lifespan due to its energy consumption. This falls under Scope 3, Category 11: Use of sold products.</w:t>
      </w:r>
    </w:p>
    <w:p>
      <w:pPr>
        <w:pStyle w:val="BodyText"/>
      </w:pPr>
      <w:r>
        <w:rPr>
          <w:bCs/>
          <w:b/>
        </w:rPr>
        <w:t xml:space="preserve">Durability &amp; Consumption Data:</w:t>
      </w:r>
    </w:p>
    <w:p>
      <w:pPr>
        <w:numPr>
          <w:ilvl w:val="0"/>
          <w:numId w:val="1004"/>
        </w:numPr>
        <w:pStyle w:val="Compact"/>
      </w:pPr>
      <w:r>
        <w:t xml:space="preserve">Product Lifespan: uwyrrtjgod (e.g., 5 years)</w:t>
      </w:r>
    </w:p>
    <w:p>
      <w:pPr>
        <w:numPr>
          <w:ilvl w:val="0"/>
          <w:numId w:val="1004"/>
        </w:numPr>
        <w:pStyle w:val="Compact"/>
      </w:pPr>
      <w:r>
        <w:t xml:space="preserve">Energy Consumption in Use: yvxxqyoxtq (e.g., 10 kWh/year)</w:t>
      </w:r>
    </w:p>
    <w:bookmarkEnd w:id="27"/>
    <w:bookmarkStart w:id="28" w:name="end-of-life-downstream---scope-3"/>
    <w:p>
      <w:pPr>
        <w:pStyle w:val="Heading3"/>
      </w:pPr>
      <w:r>
        <w:t xml:space="preserve">2.5. End-of-Life (Downstream - Scope 3)</w:t>
      </w:r>
    </w:p>
    <w:p>
      <w:pPr>
        <w:pStyle w:val="FirstParagraph"/>
      </w:pPr>
      <w:r>
        <w:t xml:space="preserve">This stage accounts for emissions associated with the disposal, recycling, or recovery of the product at the end of its life. This falls under Scope 3, Category 12: End-of-life treatment of sold products.</w:t>
      </w:r>
    </w:p>
    <w:p>
      <w:pPr>
        <w:pStyle w:val="BodyText"/>
      </w:pPr>
      <w:r>
        <w:rPr>
          <w:bCs/>
          <w:b/>
        </w:rPr>
        <w:t xml:space="preserve">EoL Scenarios:</w:t>
      </w:r>
    </w:p>
    <w:p>
      <w:pPr>
        <w:numPr>
          <w:ilvl w:val="0"/>
          <w:numId w:val="1005"/>
        </w:numPr>
        <w:pStyle w:val="Compact"/>
      </w:pPr>
      <w:r>
        <w:t xml:space="preserve">Recyclability Percentage: pxvmnvirso (e.g., 70%)</w:t>
      </w:r>
    </w:p>
    <w:p>
      <w:pPr>
        <w:numPr>
          <w:ilvl w:val="0"/>
          <w:numId w:val="1005"/>
        </w:numPr>
        <w:pStyle w:val="Compact"/>
      </w:pPr>
      <w:r>
        <w:t xml:space="preserve">Circular/Take-back Programs: piokskxmju (e.g., Company-operated take-back scheme)</w:t>
      </w:r>
    </w:p>
    <w:p>
      <w:r>
        <w:pict>
          <v:rect style="width:0;height:1.5pt" o:hralign="center" o:hrstd="t" o:hr="t"/>
        </w:pict>
      </w:r>
    </w:p>
    <w:bookmarkEnd w:id="28"/>
    <w:bookmarkEnd w:id="29"/>
    <w:bookmarkStart w:id="30" w:name="Xb57f50a89bf1f3f1837369be949d9d60d6c1272"/>
    <w:p>
      <w:pPr>
        <w:pStyle w:val="Heading2"/>
      </w:pPr>
      <w:r>
        <w:t xml:space="preserve">3. Collect Data (Primary/Secondary Data Points)</w:t>
      </w:r>
    </w:p>
    <w:p>
      <w:pPr>
        <w:pStyle w:val="FirstParagraph"/>
      </w:pPr>
      <w:r>
        <w:t xml:space="preserve">Data collection involves gathering both primary data specific to tkxwxmmyln\'s operations and secondary data from reputable databases for generic processes and emission factors.</w:t>
      </w:r>
    </w:p>
    <w:p>
      <w:pPr>
        <w:numPr>
          <w:ilvl w:val="0"/>
          <w:numId w:val="1006"/>
        </w:numPr>
        <w:pStyle w:val="Compact"/>
      </w:pPr>
      <w:r>
        <w:rPr>
          <w:bCs/>
          <w:b/>
        </w:rPr>
        <w:t xml:space="preserve">Primary Data:</w:t>
      </w:r>
    </w:p>
    <w:p>
      <w:pPr>
        <w:numPr>
          <w:ilvl w:val="1"/>
          <w:numId w:val="1007"/>
        </w:numPr>
        <w:pStyle w:val="Compact"/>
      </w:pPr>
      <w:r>
        <w:t xml:space="preserve">Detailed Bill of Materials (BOM): (jvptzqmd) as provided, including pre-calculated "Total Carbon" for materials.</w:t>
      </w:r>
    </w:p>
    <w:p>
      <w:pPr>
        <w:numPr>
          <w:ilvl w:val="1"/>
          <w:numId w:val="1007"/>
        </w:numPr>
        <w:pStyle w:val="Compact"/>
      </w:pPr>
      <w:r>
        <w:t xml:space="preserve">Production Energy Consumption: (ntszeomsdf) kWh/unit.</w:t>
      </w:r>
    </w:p>
    <w:p>
      <w:pPr>
        <w:numPr>
          <w:ilvl w:val="1"/>
          <w:numId w:val="1007"/>
        </w:numPr>
        <w:pStyle w:val="Compact"/>
      </w:pPr>
      <w:r>
        <w:t xml:space="preserve">Renewable Energy Procurement: (srzozrqpng) percentage.</w:t>
      </w:r>
    </w:p>
    <w:p>
      <w:pPr>
        <w:numPr>
          <w:ilvl w:val="1"/>
          <w:numId w:val="1007"/>
        </w:numPr>
        <w:pStyle w:val="Compact"/>
      </w:pPr>
      <w:r>
        <w:t xml:space="preserve">Product Lifespan: (uwyrrtjgod) years.</w:t>
      </w:r>
    </w:p>
    <w:p>
      <w:pPr>
        <w:numPr>
          <w:ilvl w:val="1"/>
          <w:numId w:val="1007"/>
        </w:numPr>
        <w:pStyle w:val="Compact"/>
      </w:pPr>
      <w:r>
        <w:t xml:space="preserve">Energy Consumption in Use: (yvxxqyoxtq) kWh/year.</w:t>
      </w:r>
    </w:p>
    <w:p>
      <w:pPr>
        <w:numPr>
          <w:ilvl w:val="1"/>
          <w:numId w:val="1007"/>
        </w:numPr>
        <w:pStyle w:val="Compact"/>
      </w:pPr>
      <w:r>
        <w:t xml:space="preserve">Recyclability Rate: (pxvmnvirso) percentage.</w:t>
      </w:r>
    </w:p>
    <w:p>
      <w:pPr>
        <w:numPr>
          <w:ilvl w:val="1"/>
          <w:numId w:val="1007"/>
        </w:numPr>
        <w:pStyle w:val="Compact"/>
      </w:pPr>
      <w:r>
        <w:t xml:space="preserve">Existence and scope of Circular/Take-back Programs: (piokskxmju).</w:t>
      </w:r>
    </w:p>
    <w:p>
      <w:pPr>
        <w:numPr>
          <w:ilvl w:val="0"/>
          <w:numId w:val="1006"/>
        </w:numPr>
        <w:pStyle w:val="Compact"/>
      </w:pPr>
      <w:r>
        <w:rPr>
          <w:bCs/>
          <w:b/>
        </w:rPr>
        <w:t xml:space="preserve">Secondary Data:</w:t>
      </w:r>
    </w:p>
    <w:p>
      <w:pPr>
        <w:numPr>
          <w:ilvl w:val="1"/>
          <w:numId w:val="1008"/>
        </w:numPr>
        <w:pStyle w:val="Compact"/>
      </w:pPr>
      <w:r>
        <w:rPr>
          <w:bCs/>
          <w:b/>
        </w:rPr>
        <w:t xml:space="preserve">Emission Factors for Materials:</w:t>
      </w:r>
      <w:r>
        <w:t xml:space="preserve"> </w:t>
      </w:r>
      <w:r>
        <w:t xml:space="preserve">While "Total Carbon" is provided in the BOM, in a real scenario, these would typically be sourced from Life Cycle Inventory (LCI) databases like Ecoinvent (e.g., Ecoinvent v3.9 or v3.12, which includes data for various industrial sectors such as metals, plastics, chemicals, and electronics across different geographies).</w:t>
      </w:r>
    </w:p>
    <w:p>
      <w:pPr>
        <w:numPr>
          <w:ilvl w:val="1"/>
          <w:numId w:val="1008"/>
        </w:numPr>
        <w:pStyle w:val="Compact"/>
      </w:pPr>
      <w:r>
        <w:rPr>
          <w:bCs/>
          <w:b/>
        </w:rPr>
        <w:t xml:space="preserve">Emission Factors for Energy:</w:t>
      </w:r>
      <w:r>
        <w:t xml:space="preserve"> </w:t>
      </w:r>
      <w:r>
        <w:t xml:space="preserve">Country-specific electricity mix factors for China (for non-renewable portion of production energy) and grid-average factors for typical use-phase regions. Ecoinvent also provides electricity emission factors.</w:t>
      </w:r>
    </w:p>
    <w:p>
      <w:pPr>
        <w:numPr>
          <w:ilvl w:val="1"/>
          <w:numId w:val="1008"/>
        </w:numPr>
        <w:pStyle w:val="Compact"/>
      </w:pPr>
      <w:r>
        <w:rPr>
          <w:bCs/>
          <w:b/>
        </w:rPr>
        <w:t xml:space="preserve">Emission Factors for Transport:</w:t>
      </w:r>
      <w:r>
        <w:t xml:space="preserve"> </w:t>
      </w:r>
      <w:r>
        <w:t xml:space="preserve">Activity-based emission factors (kg CO2e per tonne-km or vehicle-km) from sources like the UK Department for Environment, Food &amp; Rural Affairs (DEFRA) or Ecoinvent for road freight, air freight, and last-mile delivery vehicles.</w:t>
      </w:r>
    </w:p>
    <w:p>
      <w:pPr>
        <w:numPr>
          <w:ilvl w:val="1"/>
          <w:numId w:val="1008"/>
        </w:numPr>
        <w:pStyle w:val="Compact"/>
      </w:pPr>
      <w:r>
        <w:rPr>
          <w:bCs/>
          <w:b/>
        </w:rPr>
        <w:t xml:space="preserve">Emission Factors for End-of-Life:</w:t>
      </w:r>
      <w:r>
        <w:t xml:space="preserve"> </w:t>
      </w:r>
      <w:r>
        <w:t xml:space="preserve">Factors for recycling, incineration, and landfill specific to material types and geographic locations. Ecoinvent and DEFRA provide relevant data.</w:t>
      </w:r>
    </w:p>
    <w:p>
      <w:r>
        <w:pict>
          <v:rect style="width:0;height:1.5pt" o:hralign="center" o:hrstd="t" o:hr="t"/>
        </w:pict>
      </w:r>
    </w:p>
    <w:bookmarkEnd w:id="30"/>
    <w:bookmarkStart w:id="41" w:name="Xb404f6bea4a0013006ec7a9103609d9ea6643c1"/>
    <w:p>
      <w:pPr>
        <w:pStyle w:val="Heading2"/>
      </w:pPr>
      <w:r>
        <w:t xml:space="preserve">4. Calculate Emissions (Activity * Emission Factor = CO2e)</w:t>
      </w:r>
    </w:p>
    <w:p>
      <w:pPr>
        <w:pStyle w:val="FirstParagraph"/>
      </w:pPr>
      <w:r>
        <w:t xml:space="preserve">Emissions are calculated for each stage by multiplying the activity data by the relevant emission factor, expressed in CO2 equivalent (CO2e).</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 tkxwxmmyln. For a "factory_gate" system boundary, this primarily includes on-site combustion of fuels (e.g., natural gas for heating, fuel for company-owned vehicles within the factory premises). Given the provided parameters, direct fuel combustion data is not specified; therefore, we assume these are minimal or included in the production energy mix. If the factory uses a generator, its emissions would be Scope 1.</w:t>
      </w:r>
    </w:p>
    <w:p>
      <w:pPr>
        <w:pStyle w:val="BodyText"/>
      </w:pPr>
      <w:r>
        <w:rPr>
          <w:iCs/>
          <w:i/>
        </w:rPr>
        <w:t xml:space="preserve">Illustrative Calculation:</w:t>
      </w:r>
    </w:p>
    <w:p>
      <w:pPr>
        <w:numPr>
          <w:ilvl w:val="0"/>
          <w:numId w:val="1009"/>
        </w:numPr>
        <w:pStyle w:val="Compact"/>
      </w:pPr>
      <w:r>
        <w:t xml:space="preserve">Assume minimal direct combustion: 0.05 kg CO2e/unit</w:t>
      </w:r>
    </w:p>
    <w:p>
      <w:pPr>
        <w:pStyle w:val="FirstParagraph"/>
      </w:pPr>
      <w:r>
        <w:rPr>
          <w:bCs/>
          <w:b/>
        </w:rPr>
        <w:t xml:space="preserve">Total Illustrative Scope 1 Emissions: 0.05 kg CO2e/unit</w:t>
      </w:r>
    </w:p>
    <w:bookmarkEnd w:id="31"/>
    <w:bookmarkStart w:id="32" w:name="X1bd5ed5ba51603fe7fc5fd46de6dc3081dfffbb"/>
    <w:p>
      <w:pPr>
        <w:pStyle w:val="Heading3"/>
      </w:pPr>
      <w:r>
        <w:t xml:space="preserve">4.2. Scope 2 Emissions (Indirect Emissions from Purchased Energy)</w:t>
      </w:r>
    </w:p>
    <w:p>
      <w:pPr>
        <w:pStyle w:val="FirstParagraph"/>
      </w:pPr>
      <w:r>
        <w:t xml:space="preserve">These are indirect GHG emissions from the generation of purchased electricity consumed by tkxwxmmyln\'s factory.</w:t>
      </w:r>
    </w:p>
    <w:p>
      <w:pPr>
        <w:numPr>
          <w:ilvl w:val="0"/>
          <w:numId w:val="1010"/>
        </w:numPr>
        <w:pStyle w:val="Compact"/>
      </w:pPr>
      <w:r>
        <w:t xml:space="preserve">Energy Intensity (ntszeomsdf): 1.5 kWh/unit</w:t>
      </w:r>
    </w:p>
    <w:p>
      <w:pPr>
        <w:numPr>
          <w:ilvl w:val="0"/>
          <w:numId w:val="1010"/>
        </w:numPr>
        <w:pStyle w:val="Compact"/>
      </w:pPr>
      <w:r>
        <w:t xml:space="preserve">Renewable Energy Usage (srzozrqpng): 50%</w:t>
      </w:r>
    </w:p>
    <w:p>
      <w:pPr>
        <w:numPr>
          <w:ilvl w:val="0"/>
          <w:numId w:val="1010"/>
        </w:numPr>
        <w:pStyle w:val="Compact"/>
      </w:pPr>
      <w:r>
        <w:t xml:space="preserve">Non-renewable energy: 1.5 kWh/unit * (1 - 0.50) = 0.75 kWh/unit</w:t>
      </w:r>
    </w:p>
    <w:p>
      <w:pPr>
        <w:numPr>
          <w:ilvl w:val="0"/>
          <w:numId w:val="1010"/>
        </w:numPr>
        <w:pStyle w:val="Compact"/>
      </w:pPr>
      <w:r>
        <w:t xml:space="preserve">Assume China grid emission factor: 0.7 kg CO2e/kWh (illustrative, actual factor would be from a relevant database like Ecoinvent or regional energy agency).</w:t>
      </w:r>
    </w:p>
    <w:p>
      <w:pPr>
        <w:pStyle w:val="FirstParagraph"/>
      </w:pPr>
      <w:r>
        <w:rPr>
          <w:iCs/>
          <w:i/>
        </w:rPr>
        <w:t xml:space="preserve">Calculation:</w:t>
      </w:r>
    </w:p>
    <w:p>
      <w:pPr>
        <w:pStyle w:val="BodyText"/>
      </w:pPr>
      <w:r>
        <w:t xml:space="preserve">0.75 kWh/unit * 0.7 kg CO2e/kWh = 0.525 kg CO2e/unit</w:t>
      </w:r>
    </w:p>
    <w:p>
      <w:pPr>
        <w:pStyle w:val="BodyText"/>
      </w:pPr>
      <w:r>
        <w:rPr>
          <w:bCs/>
          <w:b/>
        </w:rPr>
        <w:t xml:space="preserve">Total Illustrative Scope 2 Emissions: 0.525 kg CO2e/unit</w:t>
      </w:r>
    </w:p>
    <w:bookmarkEnd w:id="32"/>
    <w:bookmarkStart w:id="38" w:name="Xa4ae47cf428664338de6136b1752768d982738f"/>
    <w:p>
      <w:pPr>
        <w:pStyle w:val="Heading3"/>
      </w:pPr>
      <w:r>
        <w:t xml:space="preserve">4.3. Scope 3 Emissions (Other Indirect Emissions - Value Chain)</w:t>
      </w:r>
    </w:p>
    <w:p>
      <w:pPr>
        <w:pStyle w:val="FirstParagraph"/>
      </w:pPr>
      <w:r>
        <w:t xml:space="preserve">Scope 3 emissions are all other indirect GHG emissions that occur in the value chain of tkxwxmmyln, both upstream (e.g., purchased materials, upstream transport) and downstream (e.g., product use, end-of-life, downstream transport). The GHG Protocol lists 15 categories for Scope 3 emissions.</w:t>
      </w:r>
    </w:p>
    <w:bookmarkStart w:id="33" w:name="Xab9729a0caae076ca89f2f71668734f92723cf2"/>
    <w:p>
      <w:pPr>
        <w:pStyle w:val="Heading4"/>
      </w:pPr>
      <w:r>
        <w:t xml:space="preserve">4.3.1. Category 1: Purchased Goods and Services (Materials)</w:t>
      </w:r>
    </w:p>
    <w:p>
      <w:pPr>
        <w:pStyle w:val="FirstParagraph"/>
      </w:pPr>
      <w:r>
        <w:t xml:space="preserve">Based on the provided BOM (jvptzqmd), we sum the "Total Carbon" values.</w:t>
      </w:r>
    </w:p>
    <w:p>
      <w:pPr>
        <w:pStyle w:val="BodyText"/>
      </w:pPr>
      <w:r>
        <w:rPr>
          <w:iCs/>
          <w:i/>
        </w:rPr>
        <w:t xml:space="preserve">Calculation:</w:t>
      </w:r>
    </w:p>
    <w:p>
      <w:pPr>
        <w:pStyle w:val="BodyText"/>
      </w:pPr>
      <w:r>
        <w:t xml:space="preserve">3.0 (Aluminum) + 0.5 (Plastic) + 2.5 (Silicon) + 0.4 (Copper) + 0.15 (Packaging) = 6.55 kg CO2e/unit</w:t>
      </w:r>
    </w:p>
    <w:p>
      <w:pPr>
        <w:pStyle w:val="BodyText"/>
      </w:pPr>
      <w:r>
        <w:rPr>
          <w:bCs/>
          <w:b/>
        </w:rPr>
        <w:t xml:space="preserve">Total Materials Emissions (Illustrative): 6.55 kg CO2e/unit</w:t>
      </w:r>
    </w:p>
    <w:bookmarkEnd w:id="33"/>
    <w:bookmarkStart w:id="34" w:name="Xe89e0a56fad43ffa0ef954ec8eb4af10b66d99f"/>
    <w:p>
      <w:pPr>
        <w:pStyle w:val="Heading4"/>
      </w:pPr>
      <w:r>
        <w:t xml:space="preserve">4.3.2. Category 4 &amp; 9: Transportation and Distribution (Upstream &amp; Downstream)</w:t>
      </w:r>
    </w:p>
    <w:p>
      <w:pPr>
        <w:pStyle w:val="FirstParagraph"/>
      </w:pPr>
      <w:r>
        <w:t xml:space="preserve">For illustrative purposes, we will assume a generic road freight emission factor from DEFRA for heavy goods vehicles and parcel delivery vans.</w:t>
      </w:r>
    </w:p>
    <w:p>
      <w:pPr>
        <w:numPr>
          <w:ilvl w:val="0"/>
          <w:numId w:val="1011"/>
        </w:numPr>
        <w:pStyle w:val="Compact"/>
      </w:pPr>
      <w:r>
        <w:t xml:space="preserve">Transport Mode (Primary): Road freight - Heavy goods vehicle (e.g., assumed 0.1 kg CO2e/tonne-km)</w:t>
      </w:r>
    </w:p>
    <w:p>
      <w:pPr>
        <w:numPr>
          <w:ilvl w:val="0"/>
          <w:numId w:val="1011"/>
        </w:numPr>
        <w:pStyle w:val="Compact"/>
      </w:pPr>
      <w:r>
        <w:t xml:space="preserve">Transport Distance (tdugultqgf): 1500 km</w:t>
      </w:r>
    </w:p>
    <w:p>
      <w:pPr>
        <w:numPr>
          <w:ilvl w:val="0"/>
          <w:numId w:val="1011"/>
        </w:numPr>
        <w:pStyle w:val="Compact"/>
      </w:pPr>
      <w:r>
        <w:t xml:space="preserve">Product weight (illustrative sum of BOM quantities): 0.5 + 0.2 + 0.05 + 0.1 + 0.15 = 1.0 kg (0.001 tonne)</w:t>
      </w:r>
    </w:p>
    <w:p>
      <w:pPr>
        <w:numPr>
          <w:ilvl w:val="0"/>
          <w:numId w:val="1011"/>
        </w:numPr>
        <w:pStyle w:val="Compact"/>
      </w:pPr>
      <w:r>
        <w:t xml:space="preserve">Last-Mile Delivery Channel: Parcel delivery van (e.g., assumed 0.5 kg CO2e/delivery)</w:t>
      </w:r>
    </w:p>
    <w:p>
      <w:pPr>
        <w:pStyle w:val="FirstParagraph"/>
      </w:pPr>
      <w:r>
        <w:rPr>
          <w:iCs/>
          <w:i/>
        </w:rPr>
        <w:t xml:space="preserve">Calculation (Upstream Transport):</w:t>
      </w:r>
    </w:p>
    <w:p>
      <w:pPr>
        <w:pStyle w:val="BodyText"/>
      </w:pPr>
      <w:r>
        <w:t xml:space="preserve">0.001 tonne * 1500 km * 0.1 kg CO2e/tonne-km = 0.15 kg CO2e/unit</w:t>
      </w:r>
    </w:p>
    <w:p>
      <w:pPr>
        <w:pStyle w:val="BodyText"/>
      </w:pPr>
      <w:r>
        <w:rPr>
          <w:iCs/>
          <w:i/>
        </w:rPr>
        <w:t xml:space="preserve">Calculation (Downstream Last-Mile Delivery - assuming one delivery per unit):</w:t>
      </w:r>
    </w:p>
    <w:p>
      <w:pPr>
        <w:pStyle w:val="BodyText"/>
      </w:pPr>
      <w:r>
        <w:t xml:space="preserve">1 unit * 0.5 kg CO2e/delivery = 0.5 kg CO2e/unit</w:t>
      </w:r>
    </w:p>
    <w:p>
      <w:pPr>
        <w:pStyle w:val="BodyText"/>
      </w:pPr>
      <w:r>
        <w:rPr>
          <w:bCs/>
          <w:b/>
        </w:rPr>
        <w:t xml:space="preserve">Total Illustrative Transport Emissions: 0.15 + 0.5 = 0.65 kg CO2e/unit</w:t>
      </w:r>
    </w:p>
    <w:bookmarkEnd w:id="34"/>
    <w:bookmarkStart w:id="35" w:name="category-11-use-of-sold-products"/>
    <w:p>
      <w:pPr>
        <w:pStyle w:val="Heading4"/>
      </w:pPr>
      <w:r>
        <w:t xml:space="preserve">4.3.3. Category 11: Use of Sold Products</w:t>
      </w:r>
    </w:p>
    <w:p>
      <w:pPr>
        <w:pStyle w:val="FirstParagraph"/>
      </w:pPr>
      <w:r>
        <w:t xml:space="preserve">Based on the provided product lifespan and energy consumption in use.</w:t>
      </w:r>
    </w:p>
    <w:p>
      <w:pPr>
        <w:numPr>
          <w:ilvl w:val="0"/>
          <w:numId w:val="1012"/>
        </w:numPr>
        <w:pStyle w:val="Compact"/>
      </w:pPr>
      <w:r>
        <w:t xml:space="preserve">Product Lifespan (uwyrrtjgod): 5 years</w:t>
      </w:r>
    </w:p>
    <w:p>
      <w:pPr>
        <w:numPr>
          <w:ilvl w:val="0"/>
          <w:numId w:val="1012"/>
        </w:numPr>
        <w:pStyle w:val="Compact"/>
      </w:pPr>
      <w:r>
        <w:t xml:space="preserve">Energy Consumption in Use (yvxxqyoxtq): 10 kWh/year</w:t>
      </w:r>
    </w:p>
    <w:p>
      <w:pPr>
        <w:numPr>
          <w:ilvl w:val="0"/>
          <w:numId w:val="1012"/>
        </w:numPr>
        <w:pStyle w:val="Compact"/>
      </w:pPr>
      <w:r>
        <w:t xml:space="preserve">Assume average grid emission factor for end-user region (e.g., Europe focused): 0.3 kg CO2e/kWh (illustrative).</w:t>
      </w:r>
    </w:p>
    <w:p>
      <w:pPr>
        <w:pStyle w:val="FirstParagraph"/>
      </w:pPr>
      <w:r>
        <w:rPr>
          <w:iCs/>
          <w:i/>
        </w:rPr>
        <w:t xml:space="preserve">Calculation:</w:t>
      </w:r>
    </w:p>
    <w:p>
      <w:pPr>
        <w:pStyle w:val="BodyText"/>
      </w:pPr>
      <w:r>
        <w:t xml:space="preserve">5 years * 10 kWh/year * 0.3 kg CO2e/kWh = 15.0 kg CO2e/unit</w:t>
      </w:r>
    </w:p>
    <w:p>
      <w:pPr>
        <w:pStyle w:val="BodyText"/>
      </w:pPr>
      <w:r>
        <w:rPr>
          <w:bCs/>
          <w:b/>
        </w:rPr>
        <w:t xml:space="preserve">Total Illustrative Use Phase Emissions: 15.0 kg CO2e/unit</w:t>
      </w:r>
    </w:p>
    <w:bookmarkEnd w:id="35"/>
    <w:bookmarkStart w:id="36" w:name="X9f66eef2700632e081dfe139021cb724ffcd2c5"/>
    <w:p>
      <w:pPr>
        <w:pStyle w:val="Heading4"/>
      </w:pPr>
      <w:r>
        <w:t xml:space="preserve">4.3.4. Category 12: End-of-Life Treatment of Sold Products</w:t>
      </w:r>
    </w:p>
    <w:p>
      <w:pPr>
        <w:pStyle w:val="FirstParagraph"/>
      </w:pPr>
      <w:r>
        <w:t xml:space="preserve">We consider the recyclability percentage and the impact of remaining waste.</w:t>
      </w:r>
    </w:p>
    <w:p>
      <w:pPr>
        <w:numPr>
          <w:ilvl w:val="0"/>
          <w:numId w:val="1013"/>
        </w:numPr>
        <w:pStyle w:val="Compact"/>
      </w:pPr>
      <w:r>
        <w:t xml:space="preserve">Recyclability Percentage (pxvmnvirso): 70%</w:t>
      </w:r>
    </w:p>
    <w:p>
      <w:pPr>
        <w:numPr>
          <w:ilvl w:val="0"/>
          <w:numId w:val="1013"/>
        </w:numPr>
        <w:pStyle w:val="Compact"/>
      </w:pPr>
      <w:r>
        <w:t xml:space="preserve">Product weight (from BOM): 1.0 kg</w:t>
      </w:r>
    </w:p>
    <w:p>
      <w:pPr>
        <w:numPr>
          <w:ilvl w:val="0"/>
          <w:numId w:val="1013"/>
        </w:numPr>
        <w:pStyle w:val="Compact"/>
      </w:pPr>
      <w:r>
        <w:t xml:space="preserve">Assume recycling credit/burden: -0.5 kg CO2e/kg for recycled portion (illustrative savings for 70% recycled)</w:t>
      </w:r>
    </w:p>
    <w:p>
      <w:pPr>
        <w:numPr>
          <w:ilvl w:val="0"/>
          <w:numId w:val="1013"/>
        </w:numPr>
        <w:pStyle w:val="Compact"/>
      </w:pPr>
      <w:r>
        <w:t xml:space="preserve">Assume waste to landfill emission factor: 1.0 kg CO2e/kg for remaining 30% (illustrative).</w:t>
      </w:r>
    </w:p>
    <w:p>
      <w:pPr>
        <w:numPr>
          <w:ilvl w:val="0"/>
          <w:numId w:val="1013"/>
        </w:numPr>
        <w:pStyle w:val="Compact"/>
      </w:pPr>
      <w:r>
        <w:t xml:space="preserve">Circular/Take-back Programs (piokskxmju): The existence of such programs would improve the actual recyclability and ensure materials re-enter the loop, potentially enhancing the environmental benefits. The quantifiable impact would depend on the program\'s efficiency and scale.</w:t>
      </w:r>
    </w:p>
    <w:p>
      <w:pPr>
        <w:pStyle w:val="FirstParagraph"/>
      </w:pPr>
      <w:r>
        <w:rPr>
          <w:iCs/>
          <w:i/>
        </w:rPr>
        <w:t xml:space="preserve">Calculation:</w:t>
      </w:r>
    </w:p>
    <w:p>
      <w:pPr>
        <w:numPr>
          <w:ilvl w:val="0"/>
          <w:numId w:val="1014"/>
        </w:numPr>
        <w:pStyle w:val="Compact"/>
      </w:pPr>
      <w:r>
        <w:t xml:space="preserve">Recycled portion: 1.0 kg * 0.70 * (-0.5 kg CO2e/kg) = -0.35 kg CO2e/unit (negative indicates avoided emissions)</w:t>
      </w:r>
    </w:p>
    <w:p>
      <w:pPr>
        <w:numPr>
          <w:ilvl w:val="0"/>
          <w:numId w:val="1014"/>
        </w:numPr>
        <w:pStyle w:val="Compact"/>
      </w:pPr>
      <w:r>
        <w:t xml:space="preserve">Landfilled portion: 1.0 kg * 0.30 * 1.0 kg CO2e/kg = 0.30 kg CO2e/unit</w:t>
      </w:r>
    </w:p>
    <w:p>
      <w:pPr>
        <w:pStyle w:val="FirstParagraph"/>
      </w:pPr>
      <w:r>
        <w:rPr>
          <w:bCs/>
          <w:b/>
        </w:rPr>
        <w:t xml:space="preserve">Total Illustrative End-of-Life Emissions: -0.35 + 0.30 = -0.05 kg CO2e/unit</w:t>
      </w:r>
      <w:r>
        <w:t xml:space="preserve"> </w:t>
      </w:r>
      <w:r>
        <w:t xml:space="preserve">(Net saving, if the recycling process is less carbon-intensive than raw material production)</w:t>
      </w:r>
    </w:p>
    <w:bookmarkEnd w:id="36"/>
    <w:bookmarkStart w:id="37" w:name="other-scope-3-categories-for-95-coverage"/>
    <w:p>
      <w:pPr>
        <w:pStyle w:val="Heading4"/>
      </w:pPr>
      <w:r>
        <w:t xml:space="preserve">4.3.5. Other Scope 3 Categories (for 95% Coverage)</w:t>
      </w:r>
    </w:p>
    <w:p>
      <w:pPr>
        <w:pStyle w:val="FirstParagraph"/>
      </w:pPr>
      <w:r>
        <w:t xml:space="preserve">To ensure at least 95% coverage for Scope 3 reporting, other categories, such as business travel, employee commuting, capital goods, and fuel- and energy-related activities not included in Scope 1 or 2, would also be assessed. Given the focus on Product PCF, the main contributors are typically materials, transport, use, and EoL. However, for full corporate Scope 3 reporting, a comprehensive review of all 15 categories is necessary.</w:t>
      </w:r>
    </w:p>
    <w:bookmarkEnd w:id="37"/>
    <w:bookmarkEnd w:id="38"/>
    <w:bookmarkStart w:id="39" w:name="X7ef73fe3d39a8d84fae696b42f814aa0d860ec0"/>
    <w:p>
      <w:pPr>
        <w:pStyle w:val="Heading3"/>
      </w:pPr>
      <w:r>
        <w:t xml:space="preserve">4.4. 2026 LSR Update (Land Sector and Removals Standard)</w:t>
      </w:r>
    </w:p>
    <w:p>
      <w:pPr>
        <w:pStyle w:val="FirstParagraph"/>
      </w:pPr>
      <w:r>
        <w:t xml:space="preserve">The Land Sector and Removals (LSR) Standard, released by the GHG Protocol on January 30, 2026, provides accounting requirements and guidance for quantifying, reporting, and tracking land emissions and CO2 removals. This standard takes effect on January 1, 2027. It is particularly relevant for companies with significant land sector activities in their operations or value chain, such as those that own or control land, or source agricultural products. For tkxwxmmyln, if any raw materials (jvptzqmd) or energy sources have significant land-use change impacts or involve biogenic carbon, the LSR Standard would be applied to account for associated emissions and removals. This includes land management, land-use change, CO2 removals with storage in land and geologic carbon pools, and emissions from biogenic products. As specific land-use data for zphszjrhmh\'s components is not provided, this report acknowledges the requirement and recommends a detailed assessment of the supply chain for land-related impacts. Land sector emissions are primarily reported under Scope 1 and Scope 3.</w:t>
      </w:r>
    </w:p>
    <w:bookmarkEnd w:id="39"/>
    <w:bookmarkStart w:id="40" w:name="summary-of-illustrative-emissions"/>
    <w:p>
      <w:pPr>
        <w:pStyle w:val="Heading3"/>
      </w:pPr>
      <w:r>
        <w:t xml:space="preserve">4.5. Summary of Illustrative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Emissions (kg CO2e/unit)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0.05</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0.525</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6.55</w:t>
            </w:r>
          </w:p>
        </w:tc>
      </w:tr>
      <w:tr>
        <w:tc>
          <w:tcPr/>
          <w:p>
            <w:pPr>
              <w:pStyle w:val="Compact"/>
              <w:jc w:val="left"/>
            </w:pPr>
            <w:r>
              <w:t xml:space="preserve">Scope 3, Cat. 4 &amp; 9</w:t>
            </w:r>
          </w:p>
        </w:tc>
        <w:tc>
          <w:tcPr/>
          <w:p>
            <w:pPr>
              <w:pStyle w:val="Compact"/>
              <w:jc w:val="left"/>
            </w:pPr>
            <w:r>
              <w:t xml:space="preserve">Transportation &amp; Distribution</w:t>
            </w:r>
          </w:p>
        </w:tc>
        <w:tc>
          <w:tcPr/>
          <w:p>
            <w:pPr>
              <w:pStyle w:val="Compact"/>
              <w:jc w:val="left"/>
            </w:pPr>
            <w:r>
              <w:t xml:space="preserve">0.65</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15.0</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-0.05</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22.725</w:t>
            </w:r>
          </w:p>
        </w:tc>
      </w:tr>
    </w:tbl>
    <w:p>
      <w:pPr>
        <w:pStyle w:val="BodyText"/>
      </w:pPr>
      <w:r>
        <w:rPr>
          <w:bCs/>
          <w:b/>
        </w:rPr>
        <w:t xml:space="preserve">Note:</w:t>
      </w:r>
      <w:r>
        <w:t xml:space="preserve"> </w:t>
      </w:r>
      <w:r>
        <w:t xml:space="preserve">These calculations are illustrative, utilizing placeholder values for various parameters and generic emission factors where specific data was not provided in the prompt. Actual calculations would require precise activity data and country/region-specific emission factors from verified databases.</w:t>
      </w:r>
    </w:p>
    <w:p>
      <w:r>
        <w:pict>
          <v:rect style="width:0;height:1.5pt" o:hralign="center" o:hrstd="t" o:hr="t"/>
        </w:pict>
      </w:r>
    </w:p>
    <w:bookmarkEnd w:id="40"/>
    <w:bookmarkEnd w:id="41"/>
    <w:bookmarkStart w:id="44"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Based on the illustrative calculations, the most significant emission hotspots for zphszjrhmh are:</w:t>
      </w:r>
    </w:p>
    <w:p>
      <w:pPr>
        <w:numPr>
          <w:ilvl w:val="0"/>
          <w:numId w:val="1015"/>
        </w:numPr>
        <w:pStyle w:val="Compact"/>
      </w:pPr>
      <w:r>
        <w:rPr>
          <w:bCs/>
          <w:b/>
        </w:rPr>
        <w:t xml:space="preserve">Use Phase (Scope 3, Category 11):</w:t>
      </w:r>
      <w:r>
        <w:t xml:space="preserve"> </w:t>
      </w:r>
      <w:r>
        <w:t xml:space="preserve">This stage contributes the largest portion of the PCF (approx. 66%), primarily due to the ongoing energy consumption of the product during its lifespan. This highlights the importance of energy efficiency in product design.</w:t>
      </w:r>
    </w:p>
    <w:p>
      <w:pPr>
        <w:numPr>
          <w:ilvl w:val="0"/>
          <w:numId w:val="1015"/>
        </w:numPr>
        <w:pStyle w:val="Compact"/>
      </w:pPr>
      <w:r>
        <w:rPr>
          <w:bCs/>
          <w:b/>
        </w:rPr>
        <w:t xml:space="preserve">Material Acquisition (Scope 3, Category 1):</w:t>
      </w:r>
      <w:r>
        <w:t xml:space="preserve"> </w:t>
      </w:r>
      <w:r>
        <w:t xml:space="preserve">The production of materials, especially aluminum and silicon (illustratively), is a substantial contributor (approx. 29%). Optimizing material choices, increasing recycled content, and engaging with low-carbon suppliers are crucial.</w:t>
      </w:r>
    </w:p>
    <w:p>
      <w:pPr>
        <w:numPr>
          <w:ilvl w:val="0"/>
          <w:numId w:val="1015"/>
        </w:numPr>
        <w:pStyle w:val="Compact"/>
      </w:pPr>
      <w:r>
        <w:rPr>
          <w:bCs/>
          <w:b/>
        </w:rPr>
        <w:t xml:space="preserve">Production Energy (Scope 2):</w:t>
      </w:r>
      <w:r>
        <w:t xml:space="preserve"> </w:t>
      </w:r>
      <w:r>
        <w:t xml:space="preserve">While smaller than use phase and materials, the electricity consumed during manufacturing is a notable factor. Increasing renewable energy usage beyond the current (srzozrqpng) percentage will directly reduce Scope 2 emissions.</w:t>
      </w:r>
    </w:p>
    <w:bookmarkEnd w:id="42"/>
    <w:bookmarkStart w:id="43"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 Key considerations include:</w:t>
      </w:r>
    </w:p>
    <w:p>
      <w:pPr>
        <w:numPr>
          <w:ilvl w:val="0"/>
          <w:numId w:val="1016"/>
        </w:numPr>
        <w:pStyle w:val="Compact"/>
      </w:pPr>
      <w:r>
        <w:rPr>
          <w:bCs/>
          <w:b/>
        </w:rPr>
        <w:t xml:space="preserve">Placeholder Data:</w:t>
      </w:r>
      <w:r>
        <w:t xml:space="preserve"> </w:t>
      </w:r>
      <w:r>
        <w:t xml:space="preserve">Several parameters (e.g., Transport Mode, Distance, Energy Usage percentages, Lifespan, Consumption in Use, Recyclability) were provided as placeholder strings. Illustrative numerical values and generic emission factors were used for calculation demonstration. For a definitive PCF, precise, primary data for these parameters is essential.</w:t>
      </w:r>
    </w:p>
    <w:p>
      <w:pPr>
        <w:numPr>
          <w:ilvl w:val="0"/>
          <w:numId w:val="1016"/>
        </w:numPr>
        <w:pStyle w:val="Compact"/>
      </w:pPr>
      <w:r>
        <w:rPr>
          <w:bCs/>
          <w:b/>
        </w:rPr>
        <w:t xml:space="preserve">Emission Factor Sources:</w:t>
      </w:r>
      <w:r>
        <w:t xml:space="preserve"> </w:t>
      </w:r>
      <w:r>
        <w:t xml:space="preserve">Illustrative emission factors were drawn from common industry sources (e.g., DEFRA for transport, general LCA database values for energy and materials). For improved accuracy, direct primary data from suppliers and site-specific emission factors (e.g., from Ecoinvent\'s comprehensive database for various sectors and geographies) should be utilized.</w:t>
      </w:r>
    </w:p>
    <w:p>
      <w:pPr>
        <w:numPr>
          <w:ilvl w:val="0"/>
          <w:numId w:val="1016"/>
        </w:numPr>
        <w:pStyle w:val="Compact"/>
      </w:pPr>
      <w:r>
        <w:rPr>
          <w:bCs/>
          <w:b/>
        </w:rPr>
        <w:t xml:space="preserve">System Boundary:</w:t>
      </w:r>
      <w:r>
        <w:t xml:space="preserve"> </w:t>
      </w:r>
      <w:r>
        <w:t xml:space="preserve">The "factory_gate" definition, while applied, was expanded to "cradle-to-grave" for a more complete picture. The exact boundaries and included processes need to be meticulously documented for full transparency.</w:t>
      </w:r>
    </w:p>
    <w:p>
      <w:pPr>
        <w:numPr>
          <w:ilvl w:val="0"/>
          <w:numId w:val="1016"/>
        </w:numPr>
        <w:pStyle w:val="Compact"/>
      </w:pPr>
      <w:r>
        <w:rPr>
          <w:bCs/>
          <w:b/>
        </w:rPr>
        <w:t xml:space="preserve">Scope 3 Coverage:</w:t>
      </w:r>
      <w:r>
        <w:t xml:space="preserve"> </w:t>
      </w:r>
      <w:r>
        <w:t xml:space="preserve">While the aim is to ensure at least 95% coverage for Scope 3 emissions, this report primarily focused on the most material categories for a product PCF. A full corporate Scope 3 assessment would involve a more extensive data collection across all 15 categories.</w:t>
      </w:r>
    </w:p>
    <w:p>
      <w:pPr>
        <w:numPr>
          <w:ilvl w:val="0"/>
          <w:numId w:val="1016"/>
        </w:numPr>
        <w:pStyle w:val="Compact"/>
      </w:pPr>
      <w:r>
        <w:rPr>
          <w:bCs/>
          <w:b/>
        </w:rPr>
        <w:t xml:space="preserve">LSR Standard Implementation:</w:t>
      </w:r>
      <w:r>
        <w:t xml:space="preserve"> </w:t>
      </w:r>
      <w:r>
        <w:t xml:space="preserve">The 2026 LSR Standard is a critical update for land-related emissions and removals. While acknowledged, specific data for its application was not provided. Future analyses should prioritize gathering this data for relevant supply chain components.</w:t>
      </w:r>
    </w:p>
    <w:p>
      <w:pPr>
        <w:pStyle w:val="FirstParagraph"/>
      </w:pPr>
      <w:r>
        <w:t xml:space="preserve">Recommendations for future analysis include gathering more specific primary data from suppliers, conducting a detailed assessment of all Scope 3 categories to ensure robust 95% coverage, and leveraging the forthcoming Land Sector and Removals Guidance (expected Q2 2026) for precise implementation of the LSR Standard.</w:t>
      </w:r>
    </w:p>
    <w:p>
      <w:pPr>
        <w:pStyle w:val="BodyText"/>
      </w:pPr>
      <w:r>
        <w:t xml:space="preserve">Confidential - Internal Use Only</w:t>
      </w:r>
    </w:p>
    <w:p>
      <w:pPr>
        <w:pStyle w:val="BodyText"/>
      </w:pPr>
      <w:r>
        <w:t xml:space="preserve">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zphszjrhmh</dc:title>
  <dc:creator/>
  <dc:description>Product Carbon Footprint (PCF) analysis report for zphszjrhmh, adhering to GHG Protocol and 2026 LSR Update, performed by tkxwxmmyln and Senior Sustainability Consultant ljdfktutok.</dc:description>
  <dc:language>en</dc:language>
  <cp:keywords/>
  <dcterms:created xsi:type="dcterms:W3CDTF">2026-07-15T03:59:47Z</dcterms:created>
  <dcterms:modified xsi:type="dcterms:W3CDTF">2026-07-15T03:59:47Z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