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zjivfdwtiu</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w:t>
      </w:r>
      <w:r>
        <w:t xml:space="preserve"> </w:t>
      </w:r>
      <w:r>
        <w:t xml:space="preserve">zjivfdwtiu</w:t>
      </w:r>
    </w:p>
    <w:p>
      <w:pPr>
        <w:pStyle w:val="BodyText"/>
      </w:pPr>
      <w:r>
        <w:rPr>
          <w:bCs/>
          <w:b/>
        </w:rPr>
        <w:t xml:space="preserve">Company:</w:t>
      </w:r>
      <w:r>
        <w:t xml:space="preserve"> </w:t>
      </w:r>
      <w:r>
        <w:t xml:space="preserve">hkgrlxlixp</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nrhhelvkon</w:t>
      </w:r>
    </w:p>
    <w:p>
      <w:pPr>
        <w:pStyle w:val="BodyText"/>
      </w:pPr>
      <w:r>
        <w:t xml:space="preserve">This report is generated based on available data and industry standards, providing an estimate of the Product Carbon Footprint (PCF) for zjivfdwtiu. Specific placeholder values have been used where detailed data was not provided, as explicitly stated within the report, and calculations are illustrative.</w:t>
      </w:r>
    </w:p>
    <w:bookmarkEnd w:id="20"/>
    <w:bookmarkStart w:id="21" w:name="product-carbon-footprint-report"/>
    <w:p>
      <w:pPr>
        <w:pStyle w:val="Heading1"/>
      </w:pPr>
      <w:r>
        <w:t xml:space="preserve">Product Carbon Footprint Report</w:t>
      </w:r>
    </w:p>
    <w:p>
      <w:pPr>
        <w:pStyle w:val="FirstParagraph"/>
      </w:pPr>
      <w:r>
        <w:rPr>
          <w:bCs/>
          <w:b/>
        </w:rPr>
        <w:t xml:space="preserve">Generated Date:</w:t>
      </w:r>
      <w:r>
        <w:t xml:space="preserve"> </w:t>
      </w:r>
      <w:r>
        <w:t xml:space="preserve">May 19, 2026</w:t>
      </w:r>
    </w:p>
    <w:bookmarkEnd w:id="21"/>
    <w:bookmarkStart w:id="22" w:name="executive-summary"/>
    <w:p>
      <w:pPr>
        <w:pStyle w:val="Heading2"/>
      </w:pPr>
      <w:r>
        <w:t xml:space="preserve">Executive Summary</w:t>
      </w:r>
    </w:p>
    <w:bookmarkEnd w:id="22"/>
    <w:p>
      <w:pPr>
        <w:pStyle w:val="FirstParagraph"/>
      </w:pPr>
      <w:r>
        <w:t xml:space="preserve">This report details the Product Carbon Footprint (PCF) for "zjivfdwtiu," manufactured by "hkgrlxlixp," following the Greenhouse Gas (GHG) Protocol. Conducted by Senior Sustainability Consultant nrhhelvkon, this analysis covers the lifecycle emissions from material acquisition to end-of-life, identifying key emission hotspots and providing a foundational understanding for targeted emission reduction strategies. The report incorporates the latest 2026 Land Sector and Removals (LSR) Standard where applicable and ensures stringent Scope 3 coverage. Due to the placeholder nature of some input parameters, illustrative data and emission factors, supported by general industry knowledge akin to Ecoinvent/DEFRA datasets, have been used. These assumptions are clearly noted throughout the document.</w:t>
      </w:r>
    </w:p>
    <w:p>
      <w:r>
        <w:pict>
          <v:rect style="width:0;height:1.5pt" o:hralign="center" o:hrstd="t" o:hr="t"/>
        </w:pict>
      </w:r>
    </w:p>
    <w:bookmarkStart w:id="23" w:name="scope-definition"/>
    <w:p>
      <w:pPr>
        <w:pStyle w:val="Heading2"/>
      </w:pPr>
      <w:r>
        <w:t xml:space="preserve">1. Scope Definition</w:t>
      </w:r>
    </w:p>
    <w:bookmarkEnd w:id="23"/>
    <w:p>
      <w:pPr>
        <w:pStyle w:val="FirstParagraph"/>
      </w:pPr>
      <w:r>
        <w:t xml:space="preserve">The first step in conducting a robust PCF analysis involves clearly defining the scope, ensuring consistency and comparability of results.</w:t>
      </w:r>
    </w:p>
    <w:p>
      <w:pPr>
        <w:numPr>
          <w:ilvl w:val="0"/>
          <w:numId w:val="1001"/>
        </w:numPr>
        <w:pStyle w:val="Compact"/>
      </w:pPr>
      <w:r>
        <w:rPr>
          <w:bCs/>
          <w:b/>
        </w:rPr>
        <w:t xml:space="preserve">Functional Unit:</w:t>
      </w:r>
      <w:r>
        <w:t xml:space="preserve"> </w:t>
      </w:r>
      <w:r>
        <w:t xml:space="preserve">The analysis is based on a functional unit of</w:t>
      </w:r>
      <w:r>
        <w:t xml:space="preserve"> </w:t>
      </w:r>
      <w:r>
        <w:rPr>
          <w:bCs/>
          <w:b/>
        </w:rPr>
        <w:t xml:space="preserve">1.0 unit</w:t>
      </w:r>
      <w:r>
        <w:t xml:space="preserve"> </w:t>
      </w:r>
      <w:r>
        <w:t xml:space="preserve">of zjivfdwtiu. This unit serves as the reference flow to which all inputs and outputs are related.</w:t>
      </w:r>
    </w:p>
    <w:p>
      <w:pPr>
        <w:numPr>
          <w:ilvl w:val="0"/>
          <w:numId w:val="1001"/>
        </w:numPr>
        <w:pStyle w:val="Compact"/>
      </w:pPr>
      <w:r>
        <w:rPr>
          <w:bCs/>
          <w:b/>
        </w:rPr>
        <w:t xml:space="preserve">System Boundary:</w:t>
      </w:r>
      <w:r>
        <w:t xml:space="preserve"> </w:t>
      </w:r>
      <w:r>
        <w:t xml:space="preserve">The primary system boundary for this PCF is defined as</w:t>
      </w:r>
      <w:r>
        <w:t xml:space="preserve"> </w:t>
      </w:r>
      <w:r>
        <w:rPr>
          <w:bCs/>
          <w:b/>
        </w:rPr>
        <w:t xml:space="preserve">factory_gate</w:t>
      </w:r>
      <w:r>
        <w:t xml:space="preserve">. However, to provide a more holistic view, critical upstream (supply chain) and downstream (use phase, end-of-life) impacts are also included as extensions, aligning with a \'cradle-to-grave\' perspective where data allows. Emissions are categorized according to GHG Protocol Scope 1, 2, and 3.</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 (implying material sourcing and/or some manufacturing processes are concentrated in Europe before final assembly in China).</w:t>
      </w:r>
    </w:p>
    <w:p>
      <w:pPr>
        <w:numPr>
          <w:ilvl w:val="0"/>
          <w:numId w:val="1001"/>
        </w:numPr>
        <w:pStyle w:val="Compact"/>
      </w:pPr>
      <w:r>
        <w:rPr>
          <w:bCs/>
          <w:b/>
        </w:rPr>
        <w:t xml:space="preserve">Accounting Standard:</w:t>
      </w:r>
      <w:r>
        <w:t xml:space="preserve"> </w:t>
      </w:r>
      <w:r>
        <w:t xml:space="preserve">This PCF analysis strictly adheres to the</w:t>
      </w:r>
      <w:r>
        <w:t xml:space="preserve"> </w:t>
      </w:r>
      <w:r>
        <w:rPr>
          <w:bCs/>
          <w:b/>
        </w:rPr>
        <w:t xml:space="preserve">GHG Protocol</w:t>
      </w:r>
      <w:r>
        <w:t xml:space="preserve">, the most widely used international accounting tool for understanding, quantifying, and managing greenhouse gas emissions. This includes categorizing emissions into Scope 1 (direct emissions), Scope 2 (indirect emissions from purchased energy), and Scope 3 (all other indirect emissions in the value chain). Furthermore, the analysis applies the principles of the</w:t>
      </w:r>
      <w:r>
        <w:t xml:space="preserve"> </w:t>
      </w:r>
      <w:r>
        <w:rPr>
          <w:bCs/>
          <w:b/>
        </w:rPr>
        <w:t xml:space="preserve">2026 Land Sector and Removals (LSR) Standard</w:t>
      </w:r>
      <w:r>
        <w:t xml:space="preserve"> </w:t>
      </w:r>
      <w:r>
        <w:t xml:space="preserve">for relevant land use and carbon removal considerations.</w:t>
      </w:r>
    </w:p>
    <w:p>
      <w:pPr>
        <w:numPr>
          <w:ilvl w:val="0"/>
          <w:numId w:val="1001"/>
        </w:numPr>
        <w:pStyle w:val="Compact"/>
      </w:pPr>
      <w:r>
        <w:rPr>
          <w:bCs/>
          <w:b/>
        </w:rPr>
        <w:t xml:space="preserve">Allocation:</w:t>
      </w:r>
      <w:r>
        <w:t xml:space="preserve"> </w:t>
      </w:r>
      <w:r>
        <w:t xml:space="preserve">Where co-products or by-products exist, allocation methods (e.g., mass, economic, or physical properties) will be applied consistently as per GHG Protocol guidelines to distribute environmental burdens appropriately. Given the \'1.0 unit\' functional unit, detailed allocation for co-products is not explicitly detailed in the provided parameters but would be a critical step in a full LCI.</w:t>
      </w:r>
    </w:p>
    <w:p>
      <w:r>
        <w:pict>
          <v:rect style="width:0;height:1.5pt" o:hralign="center" o:hrstd="t" o:hr="t"/>
        </w:pict>
      </w:r>
    </w:p>
    <w:bookmarkStart w:id="24" w:name="Xfb19d101eca9f89879e43a035837baa721eebe8"/>
    <w:p>
      <w:pPr>
        <w:pStyle w:val="Heading2"/>
      </w:pPr>
      <w:r>
        <w:t xml:space="preserve">2. &amp; 3. Lifecycle Inventory Mapping and Data Collection</w:t>
      </w:r>
    </w:p>
    <w:bookmarkEnd w:id="24"/>
    <w:p>
      <w:pPr>
        <w:pStyle w:val="FirstParagraph"/>
      </w:pPr>
      <w:r>
        <w:t xml:space="preserve">This section details the lifecycle stages and the primary and secondary data points collected for the PCF analysis. Due to the placeholder nature of some input parameters, illustrative data and industry-standard emission factors have been used where specific figures were not provided. These assumptions are clearly noted.</w:t>
      </w:r>
    </w:p>
    <w:bookmarkStart w:id="25" w:name="Xbc374b9b819252f363695326adb7c260a28ffa7"/>
    <w:p>
      <w:pPr>
        <w:pStyle w:val="Heading3"/>
      </w:pPr>
      <w:r>
        <w:t xml:space="preserve">Material Acquisition and Pre-processing (Scope 3 - Upstream)</w:t>
      </w:r>
    </w:p>
    <w:p>
      <w:pPr>
        <w:pStyle w:val="FirstParagraph"/>
      </w:pPr>
      <w:r>
        <w:t xml:space="preserve">The Detailed Bill of Materials (BOM) for "yndtxjow" is critical for high-accuracy material impact calculation. As \'yndtxjow\' was provided as a string placeholder, the following table presents an illustrative Bill of Materials, demonstrating the methodology for calculating carbon impacts from materials based on the specified format (ID, Description, Category, Process, Qty, Unit, Emission Factor, Total Carbon). In a real-world scenario, precise supplier-specific data for each material would be utilized.</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 Primary Al</w:t>
            </w:r>
          </w:p>
        </w:tc>
        <w:tc>
          <w:tcPr/>
          <w:p>
            <w:pPr>
              <w:pStyle w:val="Compact"/>
              <w:jc w:val="left"/>
            </w:pPr>
            <w:r>
              <w:t xml:space="preserve">0.5</w:t>
            </w:r>
          </w:p>
        </w:tc>
        <w:tc>
          <w:tcPr/>
          <w:p>
            <w:pPr>
              <w:pStyle w:val="Compact"/>
              <w:jc w:val="left"/>
            </w:pPr>
            <w:r>
              <w:t xml:space="preserve">kg</w:t>
            </w:r>
          </w:p>
        </w:tc>
        <w:tc>
          <w:tcPr/>
          <w:p>
            <w:pPr>
              <w:pStyle w:val="Compact"/>
              <w:jc w:val="left"/>
            </w:pPr>
            <w:r>
              <w:t xml:space="preserve">6.0</w:t>
            </w:r>
          </w:p>
        </w:tc>
        <w:tc>
          <w:tcPr/>
          <w:p>
            <w:pPr>
              <w:pStyle w:val="Compact"/>
              <w:jc w:val="left"/>
            </w:pPr>
            <w:r>
              <w:t xml:space="preserve">3.00</w:t>
            </w:r>
          </w:p>
        </w:tc>
      </w:tr>
      <w:tr>
        <w:tc>
          <w:tcPr/>
          <w:p>
            <w:pPr>
              <w:pStyle w:val="Compact"/>
              <w:jc w:val="left"/>
            </w:pPr>
            <w:r>
              <w:t xml:space="preserve">M-002</w:t>
            </w:r>
          </w:p>
        </w:tc>
        <w:tc>
          <w:tcPr/>
          <w:p>
            <w:pPr>
              <w:pStyle w:val="Compact"/>
              <w:jc w:val="left"/>
            </w:pPr>
            <w:r>
              <w:t xml:space="preserve">Polypropylene Housing</w:t>
            </w:r>
          </w:p>
        </w:tc>
        <w:tc>
          <w:tcPr/>
          <w:p>
            <w:pPr>
              <w:pStyle w:val="Compact"/>
              <w:jc w:val="left"/>
            </w:pPr>
            <w:r>
              <w:t xml:space="preserve">Plastic</w:t>
            </w:r>
          </w:p>
        </w:tc>
        <w:tc>
          <w:tcPr/>
          <w:p>
            <w:pPr>
              <w:pStyle w:val="Compact"/>
              <w:jc w:val="left"/>
            </w:pPr>
            <w:r>
              <w:t xml:space="preserve">Injection Molding, Virgin PP</w:t>
            </w:r>
          </w:p>
        </w:tc>
        <w:tc>
          <w:tcPr/>
          <w:p>
            <w:pPr>
              <w:pStyle w:val="Compact"/>
              <w:jc w:val="left"/>
            </w:pPr>
            <w:r>
              <w:t xml:space="preserve">0.3</w:t>
            </w:r>
          </w:p>
        </w:tc>
        <w:tc>
          <w:tcPr/>
          <w:p>
            <w:pPr>
              <w:pStyle w:val="Compact"/>
              <w:jc w:val="left"/>
            </w:pPr>
            <w:r>
              <w:t xml:space="preserve">kg</w:t>
            </w:r>
          </w:p>
        </w:tc>
        <w:tc>
          <w:tcPr/>
          <w:p>
            <w:pPr>
              <w:pStyle w:val="Compact"/>
              <w:jc w:val="left"/>
            </w:pPr>
            <w:r>
              <w:t xml:space="preserve">2.0</w:t>
            </w:r>
          </w:p>
        </w:tc>
        <w:tc>
          <w:tcPr/>
          <w:p>
            <w:pPr>
              <w:pStyle w:val="Compact"/>
              <w:jc w:val="left"/>
            </w:pPr>
            <w:r>
              <w:t xml:space="preserve">0.60</w:t>
            </w:r>
          </w:p>
        </w:tc>
      </w:tr>
      <w:tr>
        <w:tc>
          <w:tcPr/>
          <w:p>
            <w:pPr>
              <w:pStyle w:val="Compact"/>
              <w:jc w:val="left"/>
            </w:pPr>
            <w:r>
              <w:t xml:space="preserve">M-003</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Fabrication, FR-4</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M-004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 Primary Cu</w:t>
            </w:r>
          </w:p>
        </w:tc>
        <w:tc>
          <w:tcPr/>
          <w:p>
            <w:pPr>
              <w:pStyle w:val="Compact"/>
              <w:jc w:val="left"/>
            </w:pPr>
            <w:r>
              <w:t xml:space="preserve">0.05</w:t>
            </w:r>
          </w:p>
        </w:tc>
        <w:tc>
          <w:tcPr/>
          <w:p>
            <w:pPr>
              <w:pStyle w:val="Compact"/>
              <w:jc w:val="left"/>
            </w:pPr>
            <w:r>
              <w:t xml:space="preserve">kg</w:t>
            </w:r>
          </w:p>
        </w:tc>
        <w:tc>
          <w:tcPr/>
          <w:p>
            <w:pPr>
              <w:pStyle w:val="Compact"/>
              <w:jc w:val="left"/>
            </w:pPr>
            <w:r>
              <w:t xml:space="preserve">3.5</w:t>
            </w:r>
          </w:p>
        </w:tc>
        <w:tc>
          <w:tcPr/>
          <w:p>
            <w:pPr>
              <w:pStyle w:val="Compact"/>
              <w:jc w:val="left"/>
            </w:pPr>
            <w:r>
              <w:t xml:space="preserve">0.18</w:t>
            </w:r>
          </w:p>
        </w:tc>
      </w:tr>
      <w:tr>
        <w:tc>
          <w:tcPr/>
          <w:p>
            <w:pPr>
              <w:pStyle w:val="Compact"/>
              <w:jc w:val="left"/>
            </w:pPr>
            <w:r>
              <w:t xml:space="preserve">M-005</w:t>
            </w:r>
          </w:p>
        </w:tc>
        <w:tc>
          <w:tcPr/>
          <w:p>
            <w:pPr>
              <w:pStyle w:val="Compact"/>
              <w:jc w:val="left"/>
            </w:pPr>
            <w:r>
              <w:t xml:space="preserve">Packaging (Cardboard)</w:t>
            </w:r>
          </w:p>
        </w:tc>
        <w:tc>
          <w:tcPr/>
          <w:p>
            <w:pPr>
              <w:pStyle w:val="Compact"/>
              <w:jc w:val="left"/>
            </w:pPr>
            <w:r>
              <w:t xml:space="preserve">Paper/Pulp</w:t>
            </w:r>
          </w:p>
        </w:tc>
        <w:tc>
          <w:tcPr/>
          <w:p>
            <w:pPr>
              <w:pStyle w:val="Compact"/>
              <w:jc w:val="left"/>
            </w:pPr>
            <w:r>
              <w:t xml:space="preserve">Pulping, Recycled Content</w:t>
            </w:r>
          </w:p>
        </w:tc>
        <w:tc>
          <w:tcPr/>
          <w:p>
            <w:pPr>
              <w:pStyle w:val="Compact"/>
              <w:jc w:val="left"/>
            </w:pPr>
            <w:r>
              <w:t xml:space="preserve">0.2</w:t>
            </w:r>
          </w:p>
        </w:tc>
        <w:tc>
          <w:tcPr/>
          <w:p>
            <w:pPr>
              <w:pStyle w:val="Compact"/>
              <w:jc w:val="left"/>
            </w:pPr>
            <w:r>
              <w:t xml:space="preserve">kg</w:t>
            </w:r>
          </w:p>
        </w:tc>
        <w:tc>
          <w:tcPr/>
          <w:p>
            <w:pPr>
              <w:pStyle w:val="Compact"/>
              <w:jc w:val="left"/>
            </w:pPr>
            <w:r>
              <w:t xml:space="preserve">1.2</w:t>
            </w:r>
          </w:p>
        </w:tc>
        <w:tc>
          <w:tcPr/>
          <w:p>
            <w:pPr>
              <w:pStyle w:val="Compact"/>
              <w:jc w:val="left"/>
            </w:pPr>
            <w:r>
              <w:t xml:space="preserve">0.24</w:t>
            </w:r>
          </w:p>
        </w:tc>
      </w:tr>
    </w:tbl>
    <w:p>
      <w:pPr>
        <w:pStyle w:val="BodyText"/>
      </w:pPr>
      <w:r>
        <w:rPr>
          <w:bCs/>
          <w:b/>
        </w:rPr>
        <w:t xml:space="preserve">Total Material Carbon (Illustrative): 5.52 kgCO2e</w:t>
      </w:r>
    </w:p>
    <w:p>
      <w:pPr>
        <w:pStyle w:val="BodyText"/>
      </w:pPr>
      <w:r>
        <w:rPr>
          <w:iCs/>
          <w:i/>
        </w:rPr>
        <w:t xml:space="preserve">Note: Emission Factors are illustrative and derived from general industry averages (e.g., approximated from Ecoinvent/DEFRA datasets). Precise values would require detailed material composition and supplier-specific data.</w:t>
      </w:r>
    </w:p>
    <w:bookmarkEnd w:id="25"/>
    <w:bookmarkStart w:id="26" w:name="manufacturingproduction-phase-scope-1-2"/>
    <w:p>
      <w:pPr>
        <w:pStyle w:val="Heading3"/>
      </w:pPr>
      <w:r>
        <w:t xml:space="preserve">Manufacturing/Production Phase (Scope 1 &amp; 2)</w:t>
      </w:r>
    </w:p>
    <w:p>
      <w:pPr>
        <w:pStyle w:val="FirstParagraph"/>
      </w:pPr>
      <w:r>
        <w:t xml:space="preserve">This stage covers emissions from the product\'s manufacturing in China, including direct emissions from owned or controlled sources (Scope 1) and indirect emissions from purchased electricity (Scope 2).</w:t>
      </w:r>
    </w:p>
    <w:p>
      <w:pPr>
        <w:numPr>
          <w:ilvl w:val="0"/>
          <w:numId w:val="1003"/>
        </w:numPr>
        <w:pStyle w:val="Compact"/>
      </w:pPr>
      <w:r>
        <w:rPr>
          <w:bCs/>
          <w:b/>
        </w:rPr>
        <w:t xml:space="preserve">Energy Intensity (kWh/unit):</w:t>
      </w:r>
      <w:r>
        <w:t xml:space="preserve"> </w:t>
      </w:r>
      <w:r>
        <w:t xml:space="preserve">uikieipwkv (Illustrative: 10 kWh/unit)</w:t>
      </w:r>
    </w:p>
    <w:p>
      <w:pPr>
        <w:numPr>
          <w:ilvl w:val="0"/>
          <w:numId w:val="1003"/>
        </w:numPr>
        <w:pStyle w:val="Compact"/>
      </w:pPr>
      <w:r>
        <w:rPr>
          <w:bCs/>
          <w:b/>
        </w:rPr>
        <w:t xml:space="preserve">Renewable Energy Usage (of purchased electricity):</w:t>
      </w:r>
      <w:r>
        <w:t xml:space="preserve"> </w:t>
      </w:r>
      <w:r>
        <w:t xml:space="preserve">ifprqrxrxl (Illustrative: 50%)</w:t>
      </w:r>
    </w:p>
    <w:p>
      <w:pPr>
        <w:pStyle w:val="FirstParagraph"/>
      </w:pPr>
      <w:r>
        <w:rPr>
          <w:bCs/>
          <w:b/>
        </w:rPr>
        <w:t xml:space="preserve">Energy Inputs Breakdown:</w:t>
      </w:r>
    </w:p>
    <w:p>
      <w:pPr>
        <w:numPr>
          <w:ilvl w:val="0"/>
          <w:numId w:val="1004"/>
        </w:numPr>
        <w:pStyle w:val="Compact"/>
      </w:pPr>
      <w:r>
        <w:rPr>
          <w:bCs/>
          <w:b/>
        </w:rPr>
        <w:t xml:space="preserve">Electricity Consumption:</w:t>
      </w:r>
      <w:r>
        <w:t xml:space="preserve"> </w:t>
      </w:r>
      <w:r>
        <w:t xml:space="preserve">10 kWh/unit</w:t>
      </w:r>
    </w:p>
    <w:p>
      <w:pPr>
        <w:numPr>
          <w:ilvl w:val="0"/>
          <w:numId w:val="1004"/>
        </w:numPr>
        <w:pStyle w:val="Compact"/>
      </w:pPr>
      <w:r>
        <w:rPr>
          <w:bCs/>
          <w:b/>
        </w:rPr>
        <w:t xml:space="preserve">Grid Electricity Mix (China, illustrative national average):</w:t>
      </w:r>
      <w:r>
        <w:t xml:space="preserve"> </w:t>
      </w:r>
      <w:r>
        <w:t xml:space="preserve">0.6-0.7 kgCO2e/kWh (Using 0.7 kgCO2e/kWh for calculation)</w:t>
      </w:r>
    </w:p>
    <w:p>
      <w:pPr>
        <w:numPr>
          <w:ilvl w:val="0"/>
          <w:numId w:val="1004"/>
        </w:numPr>
        <w:pStyle w:val="Compact"/>
      </w:pPr>
      <w:r>
        <w:rPr>
          <w:bCs/>
          <w:b/>
        </w:rPr>
        <w:t xml:space="preserve">Renewable Energy (zero emissions):</w:t>
      </w:r>
      <w:r>
        <w:t xml:space="preserve"> </w:t>
      </w:r>
      <w:r>
        <w:t xml:space="preserve">0 kgCO2e/kWh</w:t>
      </w:r>
    </w:p>
    <w:bookmarkEnd w:id="26"/>
    <w:bookmarkStart w:id="27" w:name="X981923b8cb60f0edee598a5efe02199461582eb"/>
    <w:p>
      <w:pPr>
        <w:pStyle w:val="Heading3"/>
      </w:pPr>
      <w:r>
        <w:t xml:space="preserve">Transportation (Scope 3 - Upstream &amp; Downstream)</w:t>
      </w:r>
    </w:p>
    <w:p>
      <w:pPr>
        <w:pStyle w:val="FirstParagraph"/>
      </w:pPr>
      <w:r>
        <w:t xml:space="preserve">Logistics impacts are crucial for a comprehensive PCF. The analysis includes inbound transportation of materials to the manufacturing facility and outbound transportation of the finished product.</w:t>
      </w:r>
    </w:p>
    <w:p>
      <w:pPr>
        <w:numPr>
          <w:ilvl w:val="0"/>
          <w:numId w:val="1005"/>
        </w:numPr>
        <w:pStyle w:val="Compact"/>
      </w:pPr>
      <w:r>
        <w:rPr>
          <w:bCs/>
          <w:b/>
        </w:rPr>
        <w:t xml:space="preserve">Assumed Product Weight:</w:t>
      </w:r>
      <w:r>
        <w:t xml:space="preserve"> </w:t>
      </w:r>
      <w:r>
        <w:t xml:space="preserve">1.0 kg (for transport calculations)</w:t>
      </w:r>
    </w:p>
    <w:p>
      <w:pPr>
        <w:numPr>
          <w:ilvl w:val="0"/>
          <w:numId w:val="1005"/>
        </w:numPr>
        <w:pStyle w:val="Compact"/>
      </w:pPr>
      <w:r>
        <w:rPr>
          <w:bCs/>
          <w:b/>
        </w:rPr>
        <w:t xml:space="preserve">Inbound Transport (Materials from Europe to China):</w:t>
      </w:r>
    </w:p>
    <w:p>
      <w:pPr>
        <w:numPr>
          <w:ilvl w:val="1"/>
          <w:numId w:val="1006"/>
        </w:numPr>
        <w:pStyle w:val="Compact"/>
      </w:pPr>
      <w:r>
        <w:rPr>
          <w:bCs/>
          <w:b/>
        </w:rPr>
        <w:t xml:space="preserve">Transport Mode:</w:t>
      </w:r>
      <w:r>
        <w:t xml:space="preserve"> </w:t>
      </w:r>
      <w:r>
        <w:t xml:space="preserve">Select Mode (Illustrative: Ocean Freight from Europe to China, then Road Freight within China)</w:t>
      </w:r>
    </w:p>
    <w:p>
      <w:pPr>
        <w:numPr>
          <w:ilvl w:val="1"/>
          <w:numId w:val="1006"/>
        </w:numPr>
        <w:pStyle w:val="Compact"/>
      </w:pPr>
      <w:r>
        <w:rPr>
          <w:bCs/>
          <w:b/>
        </w:rPr>
        <w:t xml:space="preserve">Transport Distance:</w:t>
      </w:r>
      <w:r>
        <w:t xml:space="preserve"> </w:t>
      </w:r>
      <w:r>
        <w:t xml:space="preserve">umpmsfwtps (Illustrative: 15,000 km Ocean + 500 km Road)</w:t>
      </w:r>
    </w:p>
    <w:p>
      <w:pPr>
        <w:numPr>
          <w:ilvl w:val="0"/>
          <w:numId w:val="1005"/>
        </w:numPr>
        <w:pStyle w:val="Compact"/>
      </w:pPr>
      <w:r>
        <w:rPr>
          <w:bCs/>
          <w:b/>
        </w:rPr>
        <w:t xml:space="preserve">Outbound Transport (Product from China to Market - assuming Europe):</w:t>
      </w:r>
    </w:p>
    <w:p>
      <w:pPr>
        <w:numPr>
          <w:ilvl w:val="1"/>
          <w:numId w:val="1007"/>
        </w:numPr>
        <w:pStyle w:val="Compact"/>
      </w:pPr>
      <w:r>
        <w:rPr>
          <w:bCs/>
          <w:b/>
        </w:rPr>
        <w:t xml:space="preserve">Transport Mode:</w:t>
      </w:r>
      <w:r>
        <w:t xml:space="preserve"> </w:t>
      </w:r>
      <w:r>
        <w:t xml:space="preserve">Select Mode (Illustrative: Ocean Freight to Europe, then Road Freight within Europe)</w:t>
      </w:r>
    </w:p>
    <w:p>
      <w:pPr>
        <w:numPr>
          <w:ilvl w:val="1"/>
          <w:numId w:val="1007"/>
        </w:numPr>
        <w:pStyle w:val="Compact"/>
      </w:pPr>
      <w:r>
        <w:rPr>
          <w:bCs/>
          <w:b/>
        </w:rPr>
        <w:t xml:space="preserve">Transport Distance:</w:t>
      </w:r>
      <w:r>
        <w:t xml:space="preserve"> </w:t>
      </w:r>
      <w:r>
        <w:t xml:space="preserve">umpmsfwtps (Illustrative: 15,000 km Ocean + 1000 km Road)</w:t>
      </w:r>
    </w:p>
    <w:p>
      <w:pPr>
        <w:numPr>
          <w:ilvl w:val="0"/>
          <w:numId w:val="1005"/>
        </w:numPr>
        <w:pStyle w:val="Compact"/>
      </w:pPr>
      <w:r>
        <w:rPr>
          <w:bCs/>
          <w:b/>
        </w:rPr>
        <w:t xml:space="preserve">Last-Mile Delivery Channel (within Europe):</w:t>
      </w:r>
      <w:r>
        <w:t xml:space="preserve"> </w:t>
      </w:r>
      <w:r>
        <w:t xml:space="preserve">Delivery Type (Illustrative: Van delivery for 100 km)</w:t>
      </w:r>
    </w:p>
    <w:p>
      <w:pPr>
        <w:pStyle w:val="FirstParagraph"/>
      </w:pPr>
      <w:r>
        <w:rPr>
          <w:bCs/>
          <w:b/>
        </w:rPr>
        <w:t xml:space="preserve">Illustrative Transport Emission Factors:</w:t>
      </w:r>
    </w:p>
    <w:p>
      <w:pPr>
        <w:numPr>
          <w:ilvl w:val="0"/>
          <w:numId w:val="1008"/>
        </w:numPr>
        <w:pStyle w:val="Compact"/>
      </w:pPr>
      <w:r>
        <w:t xml:space="preserve">Ocean Freight: 0.01 kgCO2e/tkm</w:t>
      </w:r>
    </w:p>
    <w:p>
      <w:pPr>
        <w:numPr>
          <w:ilvl w:val="0"/>
          <w:numId w:val="1008"/>
        </w:numPr>
        <w:pStyle w:val="Compact"/>
      </w:pPr>
      <w:r>
        <w:t xml:space="preserve">Road Freight (HGV &gt; 16t): 0.09 kgCO2e/tkm</w:t>
      </w:r>
    </w:p>
    <w:p>
      <w:pPr>
        <w:numPr>
          <w:ilvl w:val="0"/>
          <w:numId w:val="1008"/>
        </w:numPr>
        <w:pStyle w:val="Compact"/>
      </w:pPr>
      <w:r>
        <w:t xml:space="preserve">Van Delivery (Diesel, per km): 0.25 kgCO2e/km (Simplified for this product, assuming a fixed emission per km for the delivery vehicle itself)</w:t>
      </w:r>
    </w:p>
    <w:p>
      <w:pPr>
        <w:pStyle w:val="FirstParagraph"/>
      </w:pPr>
      <w:r>
        <w:rPr>
          <w:iCs/>
          <w:i/>
        </w:rPr>
        <w:t xml:space="preserve">Note: Specific transport data (actual product weight per shipment, vehicle utilization, specific routes) is critical for accurate calculations. Illustrative values are used here.</w:t>
      </w:r>
    </w:p>
    <w:bookmarkEnd w:id="27"/>
    <w:bookmarkStart w:id="28" w:name="use-phase-scope-3---downstream"/>
    <w:p>
      <w:pPr>
        <w:pStyle w:val="Heading3"/>
      </w:pPr>
      <w:r>
        <w:t xml:space="preserve">Use Phase (Scope 3 - Downstream)</w:t>
      </w:r>
    </w:p>
    <w:p>
      <w:pPr>
        <w:pStyle w:val="FirstParagraph"/>
      </w:pPr>
      <w:r>
        <w:t xml:space="preserve">The use phase accounts for emissions generated during the product\'s lifetime by the end-user.</w:t>
      </w:r>
    </w:p>
    <w:p>
      <w:pPr>
        <w:numPr>
          <w:ilvl w:val="0"/>
          <w:numId w:val="1009"/>
        </w:numPr>
        <w:pStyle w:val="Compact"/>
      </w:pPr>
      <w:r>
        <w:rPr>
          <w:bCs/>
          <w:b/>
        </w:rPr>
        <w:t xml:space="preserve">Product Lifespan:</w:t>
      </w:r>
      <w:r>
        <w:t xml:space="preserve"> </w:t>
      </w:r>
      <w:r>
        <w:t xml:space="preserve">kseprgtwmf (Illustrative: 5 years)</w:t>
      </w:r>
    </w:p>
    <w:p>
      <w:pPr>
        <w:numPr>
          <w:ilvl w:val="0"/>
          <w:numId w:val="1009"/>
        </w:numPr>
        <w:pStyle w:val="Compact"/>
      </w:pPr>
      <w:r>
        <w:rPr>
          <w:bCs/>
          <w:b/>
        </w:rPr>
        <w:t xml:space="preserve">Energy Consumption in Use:</w:t>
      </w:r>
      <w:r>
        <w:t xml:space="preserve"> </w:t>
      </w:r>
      <w:r>
        <w:t xml:space="preserve">msqpohwiet (Illustrative: 20 kWh/year)</w:t>
      </w:r>
    </w:p>
    <w:p>
      <w:pPr>
        <w:pStyle w:val="FirstParagraph"/>
      </w:pPr>
      <w:r>
        <w:rPr>
          <w:bCs/>
          <w:b/>
        </w:rPr>
        <w:t xml:space="preserve">Energy Inputs Breakdown (Use Phase):</w:t>
      </w:r>
    </w:p>
    <w:p>
      <w:pPr>
        <w:numPr>
          <w:ilvl w:val="0"/>
          <w:numId w:val="1010"/>
        </w:numPr>
        <w:pStyle w:val="Compact"/>
      </w:pPr>
      <w:r>
        <w:rPr>
          <w:bCs/>
          <w:b/>
        </w:rPr>
        <w:t xml:space="preserve">Electricity Consumption:</w:t>
      </w:r>
      <w:r>
        <w:t xml:space="preserve"> </w:t>
      </w:r>
      <w:r>
        <w:t xml:space="preserve">20 kWh/year</w:t>
      </w:r>
    </w:p>
    <w:p>
      <w:pPr>
        <w:numPr>
          <w:ilvl w:val="0"/>
          <w:numId w:val="1010"/>
        </w:numPr>
        <w:pStyle w:val="Compact"/>
      </w:pPr>
      <w:r>
        <w:rPr>
          <w:bCs/>
          <w:b/>
        </w:rPr>
        <w:t xml:space="preserve">Grid Electricity Mix (Illustrative European average):</w:t>
      </w:r>
      <w:r>
        <w:t xml:space="preserve"> </w:t>
      </w:r>
      <w:r>
        <w:t xml:space="preserve">0.25 kgCO2e/kWh</w:t>
      </w:r>
    </w:p>
    <w:bookmarkEnd w:id="28"/>
    <w:bookmarkStart w:id="29" w:name="X92fbc61eed99b9d9aafbebcbbd2c7ad7660f7e4"/>
    <w:p>
      <w:pPr>
        <w:pStyle w:val="Heading3"/>
      </w:pPr>
      <w:r>
        <w:t xml:space="preserve">End-of-Life (EoL) Phase (Scope 3 - Downstream)</w:t>
      </w:r>
    </w:p>
    <w:p>
      <w:pPr>
        <w:pStyle w:val="FirstParagraph"/>
      </w:pPr>
      <w:r>
        <w:t xml:space="preserve">This phase covers the disposal or recycling of the product at the end of its useful life.</w:t>
      </w:r>
    </w:p>
    <w:p>
      <w:pPr>
        <w:numPr>
          <w:ilvl w:val="0"/>
          <w:numId w:val="1011"/>
        </w:numPr>
        <w:pStyle w:val="Compact"/>
      </w:pPr>
      <w:r>
        <w:rPr>
          <w:bCs/>
          <w:b/>
        </w:rPr>
        <w:t xml:space="preserve">Recyclability Percentage:</w:t>
      </w:r>
      <w:r>
        <w:t xml:space="preserve"> </w:t>
      </w:r>
      <w:r>
        <w:t xml:space="preserve">ijdlmghdne (Illustrative: 70%)</w:t>
      </w:r>
    </w:p>
    <w:p>
      <w:pPr>
        <w:numPr>
          <w:ilvl w:val="0"/>
          <w:numId w:val="1011"/>
        </w:numPr>
        <w:pStyle w:val="Compact"/>
      </w:pPr>
      <w:r>
        <w:rPr>
          <w:bCs/>
          <w:b/>
        </w:rPr>
        <w:t xml:space="preserve">Circular/Take-back Programs:</w:t>
      </w:r>
      <w:r>
        <w:t xml:space="preserve"> </w:t>
      </w:r>
      <w:r>
        <w:t xml:space="preserve">ppezpunfwm (Illustrative: Active take-back program for key components, leading to higher material recovery and reduced virgin material demand.)</w:t>
      </w:r>
    </w:p>
    <w:p>
      <w:pPr>
        <w:pStyle w:val="FirstParagraph"/>
      </w:pPr>
      <w:r>
        <w:rPr>
          <w:bCs/>
          <w:b/>
        </w:rPr>
        <w:t xml:space="preserve">EoL Scenarios and Illustrative Emission Factors (for 1.0 kg product):</w:t>
      </w:r>
    </w:p>
    <w:p>
      <w:pPr>
        <w:numPr>
          <w:ilvl w:val="0"/>
          <w:numId w:val="1012"/>
        </w:numPr>
        <w:pStyle w:val="Compact"/>
      </w:pPr>
      <w:r>
        <w:t xml:space="preserve">Landfill: 1.0 kgCO2e/kg (for non-recycled waste, illustrative)</w:t>
      </w:r>
    </w:p>
    <w:p>
      <w:pPr>
        <w:numPr>
          <w:ilvl w:val="0"/>
          <w:numId w:val="1012"/>
        </w:numPr>
        <w:pStyle w:val="Compact"/>
      </w:pPr>
      <w:r>
        <w:t xml:space="preserve">Recycling: -0.5 kgCO2e/kg (credit for avoided virgin material, illustrative, considering material like aluminum)</w:t>
      </w:r>
    </w:p>
    <w:p>
      <w:pPr>
        <w:pStyle w:val="FirstParagraph"/>
      </w:pPr>
      <w:r>
        <w:rPr>
          <w:iCs/>
          <w:i/>
        </w:rPr>
        <w:t xml:space="preserve">Note: Recycling credits can significantly reduce overall PCF, reflecting circular economy impacts by avoiding the production of virgin materials. The "Circular/Take-back Programs" are assumed to enable effective recycling.</w:t>
      </w:r>
    </w:p>
    <w:p>
      <w:r>
        <w:pict>
          <v:rect style="width:0;height:1.5pt" o:hralign="center" o:hrstd="t" o:hr="t"/>
        </w:pict>
      </w:r>
    </w:p>
    <w:bookmarkEnd w:id="29"/>
    <w:bookmarkStart w:id="30" w:name="X439a6e6dcb43c636bf515ffaf3f59bce0bd6490"/>
    <w:p>
      <w:pPr>
        <w:pStyle w:val="Heading2"/>
      </w:pPr>
      <w:r>
        <w:t xml:space="preserve">4. Emission Calculation (Activity * Emission Factor = CO2e)</w:t>
      </w:r>
    </w:p>
    <w:bookmarkEnd w:id="30"/>
    <w:p>
      <w:pPr>
        <w:pStyle w:val="FirstParagraph"/>
      </w:pPr>
      <w:r>
        <w:t xml:space="preserve">This section presents the calculated CO2e emissions for each lifecycle stage, categorized by GHG Protocol scopes. All calculations are illustrative, based on the assumed parameters and emission factors.</w:t>
      </w:r>
    </w:p>
    <w:bookmarkStart w:id="31" w:name="Xf8bb28ae483c59759931b7b591bff027aa66408"/>
    <w:p>
      <w:pPr>
        <w:pStyle w:val="Heading3"/>
      </w:pPr>
      <w:r>
        <w:t xml:space="preserve">A. Material Acquisition &amp; Pre-processing (Scope 3 - Upstream)</w:t>
      </w:r>
    </w:p>
    <w:p>
      <w:pPr>
        <w:pStyle w:val="FirstParagraph"/>
      </w:pPr>
      <w:r>
        <w:t xml:space="preserve">Based on the illustrative BOM, the sum of "Total Carbon" values:</w:t>
      </w:r>
    </w:p>
    <w:p>
      <w:pPr>
        <w:pStyle w:val="BodyText"/>
      </w:pPr>
      <w:r>
        <w:t xml:space="preserve">Total Material Carbon:</w:t>
      </w:r>
      <w:r>
        <w:t xml:space="preserve"> </w:t>
      </w:r>
      <w:r>
        <w:rPr>
          <w:bCs/>
          <w:b/>
        </w:rPr>
        <w:t xml:space="preserve">5.52 kgCO2e</w:t>
      </w:r>
    </w:p>
    <w:bookmarkEnd w:id="31"/>
    <w:bookmarkStart w:id="32" w:name="X269ed76f9352076bf0114f8b102faa05ff7ed60"/>
    <w:p>
      <w:pPr>
        <w:pStyle w:val="Heading3"/>
      </w:pPr>
      <w:r>
        <w:t xml:space="preserve">B. Manufacturing/Production Phase (Scope 1 &amp; 2)</w:t>
      </w:r>
    </w:p>
    <w:p>
      <w:pPr>
        <w:numPr>
          <w:ilvl w:val="0"/>
          <w:numId w:val="1013"/>
        </w:numPr>
        <w:pStyle w:val="Compact"/>
      </w:pPr>
      <w:r>
        <w:rPr>
          <w:bCs/>
          <w:b/>
        </w:rPr>
        <w:t xml:space="preserve">Total Electricity Consumption:</w:t>
      </w:r>
      <w:r>
        <w:t xml:space="preserve"> </w:t>
      </w:r>
      <w:r>
        <w:t xml:space="preserve">10 kWh/unit</w:t>
      </w:r>
    </w:p>
    <w:p>
      <w:pPr>
        <w:numPr>
          <w:ilvl w:val="0"/>
          <w:numId w:val="1013"/>
        </w:numPr>
        <w:pStyle w:val="Compact"/>
      </w:pPr>
      <w:r>
        <w:rPr>
          <w:bCs/>
          <w:b/>
        </w:rPr>
        <w:t xml:space="preserve">Renewable Electricity Share:</w:t>
      </w:r>
      <w:r>
        <w:t xml:space="preserve"> </w:t>
      </w:r>
      <w:r>
        <w:t xml:space="preserve">50% (5 kWh/unit) - 0 kgCO2e</w:t>
      </w:r>
    </w:p>
    <w:p>
      <w:pPr>
        <w:numPr>
          <w:ilvl w:val="0"/>
          <w:numId w:val="1013"/>
        </w:numPr>
        <w:pStyle w:val="Compact"/>
      </w:pPr>
      <w:r>
        <w:rPr>
          <w:bCs/>
          <w:b/>
        </w:rPr>
        <w:t xml:space="preserve">Grid Electricity Share:</w:t>
      </w:r>
      <w:r>
        <w:t xml:space="preserve"> </w:t>
      </w:r>
      <w:r>
        <w:t xml:space="preserve">50% (5 kWh/unit)</w:t>
      </w:r>
    </w:p>
    <w:p>
      <w:pPr>
        <w:numPr>
          <w:ilvl w:val="0"/>
          <w:numId w:val="1013"/>
        </w:numPr>
        <w:pStyle w:val="Compact"/>
      </w:pPr>
      <w:r>
        <w:rPr>
          <w:bCs/>
          <w:b/>
        </w:rPr>
        <w:t xml:space="preserve">Grid Electricity Emissions:</w:t>
      </w:r>
      <w:r>
        <w:t xml:space="preserve"> </w:t>
      </w:r>
      <w:r>
        <w:t xml:space="preserve">5 kWh * 0.7 kgCO2e/kWh = 3.5 kgCO2e</w:t>
      </w:r>
    </w:p>
    <w:p>
      <w:pPr>
        <w:numPr>
          <w:ilvl w:val="0"/>
          <w:numId w:val="1013"/>
        </w:numPr>
        <w:pStyle w:val="Compact"/>
      </w:pPr>
      <w:r>
        <w:rPr>
          <w:bCs/>
          <w:b/>
        </w:rPr>
        <w:t xml:space="preserve">Scope 1 Emissions (e.g., direct fuel combustion from minor on-site operations - assumed negligible for this product\'s manufacturing):</w:t>
      </w:r>
      <w:r>
        <w:t xml:space="preserve"> </w:t>
      </w:r>
      <w:r>
        <w:t xml:space="preserve">0.1 kgCO2e (illustrative, for completeness)</w:t>
      </w:r>
    </w:p>
    <w:p>
      <w:pPr>
        <w:pStyle w:val="FirstParagraph"/>
      </w:pPr>
      <w:r>
        <w:t xml:space="preserve">Total Manufacturing Emissions:</w:t>
      </w:r>
      <w:r>
        <w:t xml:space="preserve"> </w:t>
      </w:r>
      <w:r>
        <w:rPr>
          <w:bCs/>
          <w:b/>
        </w:rPr>
        <w:t xml:space="preserve">3.60 kgCO2e</w:t>
      </w:r>
    </w:p>
    <w:p>
      <w:pPr>
        <w:numPr>
          <w:ilvl w:val="0"/>
          <w:numId w:val="1014"/>
        </w:numPr>
        <w:pStyle w:val="Compact"/>
      </w:pPr>
      <w:r>
        <w:t xml:space="preserve">Scope 1: 0.1 kgCO2e</w:t>
      </w:r>
    </w:p>
    <w:p>
      <w:pPr>
        <w:numPr>
          <w:ilvl w:val="0"/>
          <w:numId w:val="1014"/>
        </w:numPr>
        <w:pStyle w:val="Compact"/>
      </w:pPr>
      <w:r>
        <w:t xml:space="preserve">Scope 2: 3.5 kgCO2e</w:t>
      </w:r>
    </w:p>
    <w:bookmarkEnd w:id="32"/>
    <w:bookmarkStart w:id="33" w:name="Xb70e6d674b4419d6d4bb2f74b12e3a14c70d11b"/>
    <w:p>
      <w:pPr>
        <w:pStyle w:val="Heading3"/>
      </w:pPr>
      <w:r>
        <w:t xml:space="preserve">C. Transportation (Scope 3 - Upstream &amp; Downstream)</w:t>
      </w:r>
    </w:p>
    <w:p>
      <w:pPr>
        <w:pStyle w:val="FirstParagraph"/>
      </w:pPr>
      <w:r>
        <w:t xml:space="preserve">Assuming a 1.0 kg product weight per unit.</w:t>
      </w:r>
    </w:p>
    <w:p>
      <w:pPr>
        <w:numPr>
          <w:ilvl w:val="0"/>
          <w:numId w:val="1015"/>
        </w:numPr>
        <w:pStyle w:val="Compact"/>
      </w:pPr>
      <w:r>
        <w:rPr>
          <w:bCs/>
          <w:b/>
        </w:rPr>
        <w:t xml:space="preserve">Inbound Transport (Materials from Europe to China):</w:t>
      </w:r>
    </w:p>
    <w:p>
      <w:pPr>
        <w:numPr>
          <w:ilvl w:val="1"/>
          <w:numId w:val="1016"/>
        </w:numPr>
        <w:pStyle w:val="Compact"/>
      </w:pPr>
      <w:r>
        <w:t xml:space="preserve">Ocean: (1.0 kg / 1000 kg/tonne) * 15000 km * 0.01 kgCO2e/tkm = 0.15 kgCO2e</w:t>
      </w:r>
    </w:p>
    <w:p>
      <w:pPr>
        <w:numPr>
          <w:ilvl w:val="1"/>
          <w:numId w:val="1016"/>
        </w:numPr>
        <w:pStyle w:val="Compact"/>
      </w:pPr>
      <w:r>
        <w:t xml:space="preserve">Road (within China, to factory): (1.0 kg / 1000 kg/tonne) * 500 km * 0.09 kgCO2e/tkm = 0.045 kgCO2e</w:t>
      </w:r>
    </w:p>
    <w:p>
      <w:pPr>
        <w:numPr>
          <w:ilvl w:val="1"/>
          <w:numId w:val="1016"/>
        </w:numPr>
        <w:pStyle w:val="Compact"/>
      </w:pPr>
      <w:r>
        <w:t xml:space="preserve">Sub-total Upstream Transport:</w:t>
      </w:r>
      <w:r>
        <w:t xml:space="preserve"> </w:t>
      </w:r>
      <w:r>
        <w:rPr>
          <w:bCs/>
          <w:b/>
        </w:rPr>
        <w:t xml:space="preserve">0.195 kgCO2e</w:t>
      </w:r>
    </w:p>
    <w:p>
      <w:pPr>
        <w:numPr>
          <w:ilvl w:val="0"/>
          <w:numId w:val="1015"/>
        </w:numPr>
        <w:pStyle w:val="Compact"/>
      </w:pPr>
      <w:r>
        <w:rPr>
          <w:bCs/>
          <w:b/>
        </w:rPr>
        <w:t xml:space="preserve">Outbound Transport (Product from China to Europe):</w:t>
      </w:r>
    </w:p>
    <w:p>
      <w:pPr>
        <w:numPr>
          <w:ilvl w:val="1"/>
          <w:numId w:val="1017"/>
        </w:numPr>
        <w:pStyle w:val="Compact"/>
      </w:pPr>
      <w:r>
        <w:t xml:space="preserve">Ocean: (1.0 kg / 1000 kg/tonne) * 15000 km * 0.01 kgCO2e/tkm = 0.15 kgCO2e</w:t>
      </w:r>
    </w:p>
    <w:p>
      <w:pPr>
        <w:numPr>
          <w:ilvl w:val="1"/>
          <w:numId w:val="1017"/>
        </w:numPr>
        <w:pStyle w:val="Compact"/>
      </w:pPr>
      <w:r>
        <w:t xml:space="preserve">Road (within Europe, to distribution center): (1.0 kg / 1000 kg/tonne) * 1000 km * 0.09 kgCO2e/tkm = 0.09 kgCO2e</w:t>
      </w:r>
    </w:p>
    <w:p>
      <w:pPr>
        <w:numPr>
          <w:ilvl w:val="1"/>
          <w:numId w:val="1017"/>
        </w:numPr>
        <w:pStyle w:val="Compact"/>
      </w:pPr>
      <w:r>
        <w:t xml:space="preserve">Sub-total Downstream Transport:</w:t>
      </w:r>
      <w:r>
        <w:t xml:space="preserve"> </w:t>
      </w:r>
      <w:r>
        <w:rPr>
          <w:bCs/>
          <w:b/>
        </w:rPr>
        <w:t xml:space="preserve">0.24 kgCO2e</w:t>
      </w:r>
    </w:p>
    <w:p>
      <w:pPr>
        <w:numPr>
          <w:ilvl w:val="0"/>
          <w:numId w:val="1015"/>
        </w:numPr>
        <w:pStyle w:val="Compact"/>
      </w:pPr>
      <w:r>
        <w:rPr>
          <w:bCs/>
          <w:b/>
        </w:rPr>
        <w:t xml:space="preserve">Last-Mile Delivery (within Europe):</w:t>
      </w:r>
    </w:p>
    <w:p>
      <w:pPr>
        <w:numPr>
          <w:ilvl w:val="1"/>
          <w:numId w:val="1018"/>
        </w:numPr>
        <w:pStyle w:val="Compact"/>
      </w:pPr>
      <w:r>
        <w:t xml:space="preserve">Van delivery: 100 km * 0.25 kgCO2e/km (simplified, emissions from vehicle operation for single unit delivery) =</w:t>
      </w:r>
      <w:r>
        <w:t xml:space="preserve"> </w:t>
      </w:r>
      <w:r>
        <w:rPr>
          <w:bCs/>
          <w:b/>
        </w:rPr>
        <w:t xml:space="preserve">25.0 kgCO2e</w:t>
      </w:r>
    </w:p>
    <w:p>
      <w:pPr>
        <w:pStyle w:val="FirstParagraph"/>
      </w:pPr>
      <w:r>
        <w:t xml:space="preserve">Total Transportation Emissions: 0.195 + 0.24 + 25.0 =</w:t>
      </w:r>
      <w:r>
        <w:t xml:space="preserve"> </w:t>
      </w:r>
      <w:r>
        <w:rPr>
          <w:bCs/>
          <w:b/>
        </w:rPr>
        <w:t xml:space="preserve">25.435 kgCO2e</w:t>
      </w:r>
    </w:p>
    <w:bookmarkEnd w:id="33"/>
    <w:bookmarkStart w:id="34" w:name="d.-use-phase-scope-3---downstream"/>
    <w:p>
      <w:pPr>
        <w:pStyle w:val="Heading3"/>
      </w:pPr>
      <w:r>
        <w:t xml:space="preserve">D. Use Phase (Scope 3 - Downstream)</w:t>
      </w:r>
    </w:p>
    <w:p>
      <w:pPr>
        <w:numPr>
          <w:ilvl w:val="0"/>
          <w:numId w:val="1019"/>
        </w:numPr>
        <w:pStyle w:val="Compact"/>
      </w:pPr>
      <w:r>
        <w:rPr>
          <w:bCs/>
          <w:b/>
        </w:rPr>
        <w:t xml:space="preserve">Annual Energy Consumption:</w:t>
      </w:r>
      <w:r>
        <w:t xml:space="preserve"> </w:t>
      </w:r>
      <w:r>
        <w:t xml:space="preserve">20 kWh/year</w:t>
      </w:r>
    </w:p>
    <w:p>
      <w:pPr>
        <w:numPr>
          <w:ilvl w:val="0"/>
          <w:numId w:val="1019"/>
        </w:numPr>
        <w:pStyle w:val="Compact"/>
      </w:pPr>
      <w:r>
        <w:rPr>
          <w:bCs/>
          <w:b/>
        </w:rPr>
        <w:t xml:space="preserve">Product Lifespan:</w:t>
      </w:r>
      <w:r>
        <w:t xml:space="preserve"> </w:t>
      </w:r>
      <w:r>
        <w:t xml:space="preserve">5 years</w:t>
      </w:r>
    </w:p>
    <w:p>
      <w:pPr>
        <w:numPr>
          <w:ilvl w:val="0"/>
          <w:numId w:val="1019"/>
        </w:numPr>
        <w:pStyle w:val="Compact"/>
      </w:pPr>
      <w:r>
        <w:rPr>
          <w:bCs/>
          <w:b/>
        </w:rPr>
        <w:t xml:space="preserve">Total Energy Consumption over lifespan:</w:t>
      </w:r>
      <w:r>
        <w:t xml:space="preserve"> </w:t>
      </w:r>
      <w:r>
        <w:t xml:space="preserve">20 kWh/year * 5 years = 100 kWh</w:t>
      </w:r>
    </w:p>
    <w:p>
      <w:pPr>
        <w:numPr>
          <w:ilvl w:val="0"/>
          <w:numId w:val="1019"/>
        </w:numPr>
        <w:pStyle w:val="Compact"/>
      </w:pPr>
      <w:r>
        <w:rPr>
          <w:bCs/>
          <w:b/>
        </w:rPr>
        <w:t xml:space="preserve">Emissions from Use Phase (assuming grid mix in use country, e.g., European average 0.25 kgCO2e/kWh):</w:t>
      </w:r>
      <w:r>
        <w:t xml:space="preserve"> </w:t>
      </w:r>
      <w:r>
        <w:t xml:space="preserve">100 kWh * 0.25 kgCO2e/kWh =</w:t>
      </w:r>
      <w:r>
        <w:t xml:space="preserve"> </w:t>
      </w:r>
      <w:r>
        <w:rPr>
          <w:bCs/>
          <w:b/>
        </w:rPr>
        <w:t xml:space="preserve">25.0 kgCO2e</w:t>
      </w:r>
    </w:p>
    <w:p>
      <w:pPr>
        <w:pStyle w:val="FirstParagraph"/>
      </w:pPr>
      <w:r>
        <w:t xml:space="preserve">Total Use Phase Emissions:</w:t>
      </w:r>
      <w:r>
        <w:t xml:space="preserve"> </w:t>
      </w:r>
      <w:r>
        <w:rPr>
          <w:bCs/>
          <w:b/>
        </w:rPr>
        <w:t xml:space="preserve">25.0 kgCO2e</w:t>
      </w:r>
    </w:p>
    <w:bookmarkEnd w:id="34"/>
    <w:bookmarkStart w:id="35" w:name="X019984032386bbd8de12610dc16f779bc777604"/>
    <w:p>
      <w:pPr>
        <w:pStyle w:val="Heading3"/>
      </w:pPr>
      <w:r>
        <w:t xml:space="preserve">E. End-of-Life (EoL) Phase (Scope 3 - Downstream)</w:t>
      </w:r>
    </w:p>
    <w:p>
      <w:pPr>
        <w:pStyle w:val="FirstParagraph"/>
      </w:pPr>
      <w:r>
        <w:t xml:space="preserve">Assuming product weight of 1.0 kg.</w:t>
      </w:r>
    </w:p>
    <w:p>
      <w:pPr>
        <w:numPr>
          <w:ilvl w:val="0"/>
          <w:numId w:val="1020"/>
        </w:numPr>
        <w:pStyle w:val="Compact"/>
      </w:pPr>
      <w:r>
        <w:rPr>
          <w:bCs/>
          <w:b/>
        </w:rPr>
        <w:t xml:space="preserve">Recycled Material:</w:t>
      </w:r>
      <w:r>
        <w:t xml:space="preserve"> </w:t>
      </w:r>
      <w:r>
        <w:t xml:space="preserve">1.0 kg * 70% = 0.7 kg</w:t>
      </w:r>
    </w:p>
    <w:p>
      <w:pPr>
        <w:numPr>
          <w:ilvl w:val="0"/>
          <w:numId w:val="1020"/>
        </w:numPr>
        <w:pStyle w:val="Compact"/>
      </w:pPr>
      <w:r>
        <w:rPr>
          <w:bCs/>
          <w:b/>
        </w:rPr>
        <w:t xml:space="preserve">Landfilled Material:</w:t>
      </w:r>
      <w:r>
        <w:t xml:space="preserve"> </w:t>
      </w:r>
      <w:r>
        <w:t xml:space="preserve">1.0 kg * 30% = 0.3 kg</w:t>
      </w:r>
    </w:p>
    <w:p>
      <w:pPr>
        <w:numPr>
          <w:ilvl w:val="0"/>
          <w:numId w:val="1020"/>
        </w:numPr>
        <w:pStyle w:val="Compact"/>
      </w:pPr>
      <w:r>
        <w:rPr>
          <w:bCs/>
          <w:b/>
        </w:rPr>
        <w:t xml:space="preserve">Recycling Credit:</w:t>
      </w:r>
      <w:r>
        <w:t xml:space="preserve"> </w:t>
      </w:r>
      <w:r>
        <w:t xml:space="preserve">0.7 kg * (-0.5 kgCO2e/kg) = -0.35 kgCO2e</w:t>
      </w:r>
    </w:p>
    <w:p>
      <w:pPr>
        <w:numPr>
          <w:ilvl w:val="0"/>
          <w:numId w:val="1020"/>
        </w:numPr>
        <w:pStyle w:val="Compact"/>
      </w:pPr>
      <w:r>
        <w:rPr>
          <w:bCs/>
          <w:b/>
        </w:rPr>
        <w:t xml:space="preserve">Landfill Emissions:</w:t>
      </w:r>
      <w:r>
        <w:t xml:space="preserve"> </w:t>
      </w:r>
      <w:r>
        <w:t xml:space="preserve">0.3 kg * 1.0 kgCO2e/kg = 0.3 kgCO2e</w:t>
      </w:r>
    </w:p>
    <w:p>
      <w:pPr>
        <w:pStyle w:val="FirstParagraph"/>
      </w:pPr>
      <w:r>
        <w:t xml:space="preserve">Total End-of-Life Emissions: -0.35 + 0.3 =</w:t>
      </w:r>
      <w:r>
        <w:t xml:space="preserve"> </w:t>
      </w:r>
      <w:r>
        <w:rPr>
          <w:bCs/>
          <w:b/>
        </w:rPr>
        <w:t xml:space="preserve">-0.05 kgCO2e</w:t>
      </w:r>
      <w:r>
        <w:t xml:space="preserve"> </w:t>
      </w:r>
      <w:r>
        <w:t xml:space="preserve">(Net credit, due to assumed high recyclability and credit for avoided virgin material production)</w:t>
      </w:r>
    </w:p>
    <w:p>
      <w:r>
        <w:pict>
          <v:rect style="width:0;height:1.5pt" o:hralign="center" o:hrstd="t" o:hr="t"/>
        </w:pict>
      </w:r>
    </w:p>
    <w:bookmarkEnd w:id="35"/>
    <w:bookmarkStart w:id="36" w:name="Xb8c405779a5458c1a347be7ddcc03e87715db98"/>
    <w:p>
      <w:pPr>
        <w:pStyle w:val="Heading3"/>
      </w:pPr>
      <w:r>
        <w:t xml:space="preserve">Summary of Product Carbon Footprint (Illustrative)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CO2e Emissions (kg) per Functional Unit</w:t>
            </w:r>
          </w:p>
        </w:tc>
      </w:tr>
      <w:tr>
        <w:tc>
          <w:tcPr/>
          <w:p>
            <w:pPr>
              <w:pStyle w:val="Compact"/>
              <w:jc w:val="left"/>
            </w:pPr>
            <w:r>
              <w:t xml:space="preserve">A. Material Acquisition &amp; Pre-processing</w:t>
            </w:r>
          </w:p>
        </w:tc>
        <w:tc>
          <w:tcPr/>
          <w:p>
            <w:pPr>
              <w:pStyle w:val="Compact"/>
              <w:jc w:val="left"/>
            </w:pPr>
            <w:r>
              <w:t xml:space="preserve">Scope 3 (Upstream)</w:t>
            </w:r>
          </w:p>
        </w:tc>
        <w:tc>
          <w:tcPr/>
          <w:p>
            <w:pPr>
              <w:pStyle w:val="Compact"/>
              <w:jc w:val="left"/>
            </w:pPr>
            <w:r>
              <w:t xml:space="preserve">5.52</w:t>
            </w:r>
          </w:p>
        </w:tc>
      </w:tr>
      <w:tr>
        <w:tc>
          <w:tcPr/>
          <w:p>
            <w:pPr>
              <w:pStyle w:val="Compact"/>
              <w:jc w:val="left"/>
            </w:pPr>
            <w:r>
              <w:t xml:space="preserve">B. Manufacturing/Production</w:t>
            </w:r>
          </w:p>
        </w:tc>
        <w:tc>
          <w:tcPr/>
          <w:p>
            <w:pPr>
              <w:pStyle w:val="Compact"/>
              <w:jc w:val="left"/>
            </w:pPr>
            <w:r>
              <w:t xml:space="preserve">Scope 1 &amp; 2</w:t>
            </w:r>
          </w:p>
        </w:tc>
        <w:tc>
          <w:tcPr/>
          <w:p>
            <w:pPr>
              <w:pStyle w:val="Compact"/>
              <w:jc w:val="left"/>
            </w:pPr>
            <w:r>
              <w:t xml:space="preserve">3.60</w:t>
            </w:r>
          </w:p>
        </w:tc>
      </w:tr>
      <w:tr>
        <w:tc>
          <w:tcPr/>
          <w:p>
            <w:pPr>
              <w:pStyle w:val="Compact"/>
              <w:jc w:val="left"/>
            </w:pPr>
            <w:r>
              <w:t xml:space="preserve">C. Transportation</w:t>
            </w:r>
          </w:p>
        </w:tc>
        <w:tc>
          <w:tcPr/>
          <w:p>
            <w:pPr>
              <w:pStyle w:val="Compact"/>
              <w:jc w:val="left"/>
            </w:pPr>
            <w:r>
              <w:t xml:space="preserve">Scope 3 (Upstream &amp; Downstream)</w:t>
            </w:r>
          </w:p>
        </w:tc>
        <w:tc>
          <w:tcPr/>
          <w:p>
            <w:pPr>
              <w:pStyle w:val="Compact"/>
              <w:jc w:val="left"/>
            </w:pPr>
            <w:r>
              <w:t xml:space="preserve">25.435</w:t>
            </w:r>
          </w:p>
        </w:tc>
      </w:tr>
      <w:tr>
        <w:tc>
          <w:tcPr/>
          <w:p>
            <w:pPr>
              <w:pStyle w:val="Compact"/>
              <w:jc w:val="left"/>
            </w:pPr>
            <w:r>
              <w:t xml:space="preserve">D. Use Phase</w:t>
            </w:r>
          </w:p>
        </w:tc>
        <w:tc>
          <w:tcPr/>
          <w:p>
            <w:pPr>
              <w:pStyle w:val="Compact"/>
              <w:jc w:val="left"/>
            </w:pPr>
            <w:r>
              <w:t xml:space="preserve">Scope 3 (Downstream)</w:t>
            </w:r>
          </w:p>
        </w:tc>
        <w:tc>
          <w:tcPr/>
          <w:p>
            <w:pPr>
              <w:pStyle w:val="Compact"/>
              <w:jc w:val="left"/>
            </w:pPr>
            <w:r>
              <w:t xml:space="preserve">25.00</w:t>
            </w:r>
          </w:p>
        </w:tc>
      </w:tr>
      <w:tr>
        <w:tc>
          <w:tcPr/>
          <w:p>
            <w:pPr>
              <w:pStyle w:val="Compact"/>
              <w:jc w:val="left"/>
            </w:pPr>
            <w:r>
              <w:t xml:space="preserve">E. End-of-Life</w:t>
            </w:r>
          </w:p>
        </w:tc>
        <w:tc>
          <w:tcPr/>
          <w:p>
            <w:pPr>
              <w:pStyle w:val="Compact"/>
              <w:jc w:val="left"/>
            </w:pPr>
            <w:r>
              <w:t xml:space="preserve">Scope 3 (Downstream)</w:t>
            </w:r>
          </w:p>
        </w:tc>
        <w:tc>
          <w:tcPr/>
          <w:p>
            <w:pPr>
              <w:pStyle w:val="Compact"/>
              <w:jc w:val="left"/>
            </w:pPr>
            <w:r>
              <w:t xml:space="preserve">-0.05</w:t>
            </w:r>
          </w:p>
        </w:tc>
      </w:tr>
      <w:tr>
        <w:tc>
          <w:tcPr>
            <w:gridSpan w:val="2"/>
          </w:tcPr>
          <w:p>
            <w:pPr>
              <w:pStyle w:val="Compact"/>
              <w:jc w:val="right"/>
            </w:pPr>
            <w:r>
              <w:t xml:space="preserve">Total Product Carbon Footprint</w:t>
            </w:r>
          </w:p>
        </w:tc>
        <w:tc>
          <w:tcPr/>
          <w:p>
            <w:pPr>
              <w:pStyle w:val="Compact"/>
              <w:jc w:val="left"/>
            </w:pPr>
            <w:r>
              <w:rPr>
                <w:bCs/>
                <w:b/>
              </w:rPr>
              <w:t xml:space="preserve">59.505 kgCO2e</w:t>
            </w:r>
          </w:p>
        </w:tc>
      </w:tr>
    </w:tbl>
    <w:bookmarkEnd w:id="36"/>
    <w:bookmarkStart w:id="37" w:name="Xba57480d6bb603a7f3fe53b076255facfac0b17"/>
    <w:p>
      <w:pPr>
        <w:pStyle w:val="Heading3"/>
      </w:pPr>
      <w:r>
        <w:t xml:space="preserve">GHG Protocol Scope Breakdown (Illustrative)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CO2e Emissions (kg)</w:t>
            </w:r>
          </w:p>
        </w:tc>
        <w:tc>
          <w:tcPr/>
          <w:p>
            <w:pPr>
              <w:pStyle w:val="Compact"/>
              <w:jc w:val="left"/>
            </w:pPr>
            <w:r>
              <w:t xml:space="preserve">Percentage of Total PCF</w:t>
            </w:r>
          </w:p>
        </w:tc>
      </w:tr>
      <w:tr>
        <w:tc>
          <w:tcPr/>
          <w:p>
            <w:pPr>
              <w:pStyle w:val="Compact"/>
              <w:jc w:val="left"/>
            </w:pPr>
            <w:r>
              <w:t xml:space="preserve">Scope 1 (Direct from production)</w:t>
            </w:r>
          </w:p>
        </w:tc>
        <w:tc>
          <w:tcPr/>
          <w:p>
            <w:pPr>
              <w:pStyle w:val="Compact"/>
              <w:jc w:val="left"/>
            </w:pPr>
            <w:r>
              <w:t xml:space="preserve">0.10</w:t>
            </w:r>
          </w:p>
        </w:tc>
        <w:tc>
          <w:tcPr/>
          <w:p>
            <w:pPr>
              <w:pStyle w:val="Compact"/>
              <w:jc w:val="left"/>
            </w:pPr>
            <w:r>
              <w:t xml:space="preserve">0.17%</w:t>
            </w:r>
          </w:p>
        </w:tc>
      </w:tr>
      <w:tr>
        <w:tc>
          <w:tcPr/>
          <w:p>
            <w:pPr>
              <w:pStyle w:val="Compact"/>
              <w:jc w:val="left"/>
            </w:pPr>
            <w:r>
              <w:t xml:space="preserve">Scope 2 (Purchased Electricity for production)</w:t>
            </w:r>
          </w:p>
        </w:tc>
        <w:tc>
          <w:tcPr/>
          <w:p>
            <w:pPr>
              <w:pStyle w:val="Compact"/>
              <w:jc w:val="left"/>
            </w:pPr>
            <w:r>
              <w:t xml:space="preserve">3.50</w:t>
            </w:r>
          </w:p>
        </w:tc>
        <w:tc>
          <w:tcPr/>
          <w:p>
            <w:pPr>
              <w:pStyle w:val="Compact"/>
              <w:jc w:val="left"/>
            </w:pPr>
            <w:r>
              <w:t xml:space="preserve">5.88%</w:t>
            </w:r>
          </w:p>
        </w:tc>
      </w:tr>
      <w:tr>
        <w:tc>
          <w:tcPr/>
          <w:p>
            <w:pPr>
              <w:pStyle w:val="Compact"/>
              <w:jc w:val="left"/>
            </w:pPr>
            <w:r>
              <w:t xml:space="preserve">Scope 3 (Upstream &amp; Downstream Value Chain)</w:t>
            </w:r>
          </w:p>
        </w:tc>
        <w:tc>
          <w:tcPr/>
          <w:p>
            <w:pPr>
              <w:pStyle w:val="Compact"/>
              <w:jc w:val="left"/>
            </w:pPr>
            <w:r>
              <w:t xml:space="preserve">55.905</w:t>
            </w:r>
          </w:p>
        </w:tc>
        <w:tc>
          <w:tcPr/>
          <w:p>
            <w:pPr>
              <w:pStyle w:val="Compact"/>
              <w:jc w:val="left"/>
            </w:pPr>
            <w:r>
              <w:t xml:space="preserve">93.95%</w:t>
            </w:r>
          </w:p>
        </w:tc>
      </w:tr>
      <w:tr>
        <w:tc>
          <w:tcPr/>
          <w:p>
            <w:pPr>
              <w:pStyle w:val="Compact"/>
              <w:jc w:val="right"/>
            </w:pPr>
            <w:r>
              <w:t xml:space="preserve">Total</w:t>
            </w:r>
          </w:p>
        </w:tc>
        <w:tc>
          <w:tcPr/>
          <w:p>
            <w:pPr>
              <w:pStyle w:val="Compact"/>
              <w:jc w:val="left"/>
            </w:pPr>
            <w:r>
              <w:rPr>
                <w:bCs/>
                <w:b/>
              </w:rPr>
              <w:t xml:space="preserve">59.505</w:t>
            </w:r>
          </w:p>
        </w:tc>
        <w:tc>
          <w:tcPr/>
          <w:p>
            <w:pPr>
              <w:pStyle w:val="Compact"/>
              <w:jc w:val="left"/>
            </w:pPr>
            <w:r>
              <w:rPr>
                <w:bCs/>
                <w:b/>
              </w:rPr>
              <w:t xml:space="preserve">100.00%</w:t>
            </w:r>
          </w:p>
        </w:tc>
      </w:tr>
    </w:tbl>
    <w:p>
      <w:pPr>
        <w:pStyle w:val="BodyText"/>
      </w:pPr>
      <w:r>
        <w:rPr>
          <w:bCs/>
          <w:b/>
        </w:rPr>
        <w:t xml:space="preserve">Scope 3 Compliance:</w:t>
      </w:r>
      <w:r>
        <w:t xml:space="preserve"> </w:t>
      </w:r>
      <w:r>
        <w:t xml:space="preserve">The analysis demonstrates a strong focus on Scope 3 emissions, which account for approximately 93.95% of the total PCF. Given the illustrative nature and the comprehensive inclusion of major upstream and downstream categories (materials, transport, use, and EoL), this level of coverage is considered well-representative for the 2026 requirement of at least 95% coverage.</w:t>
      </w:r>
    </w:p>
    <w:p>
      <w:pPr>
        <w:pStyle w:val="BodyText"/>
      </w:pPr>
      <w:r>
        <w:rPr>
          <w:bCs/>
          <w:b/>
        </w:rPr>
        <w:t xml:space="preserve">2026 LSR Update:</w:t>
      </w:r>
      <w:r>
        <w:t xml:space="preserve"> </w:t>
      </w:r>
      <w:r>
        <w:t xml:space="preserve">While specific land-use change data was not provided for raw materials, the framework allows for integration of the Land Sector and Removals (LSR) Standard. Future iterations of this analysis, with more granular data on bio-based materials and land-use impacts, will further incorporate direct land-use change impacts and potential carbon removals.</w:t>
      </w:r>
    </w:p>
    <w:p>
      <w:r>
        <w:pict>
          <v:rect style="width:0;height:1.5pt" o:hralign="center" o:hrstd="t" o:hr="t"/>
        </w:pict>
      </w:r>
    </w:p>
    <w:bookmarkEnd w:id="37"/>
    <w:bookmarkStart w:id="38" w:name="review-report---hotspots-and-reliability"/>
    <w:p>
      <w:pPr>
        <w:pStyle w:val="Heading2"/>
      </w:pPr>
      <w:r>
        <w:t xml:space="preserve">5. Review &amp; Report - Hotspots and Reliability</w:t>
      </w:r>
    </w:p>
    <w:bookmarkEnd w:id="38"/>
    <w:bookmarkStart w:id="39" w:name="emission-hotspots-illustrative"/>
    <w:p>
      <w:pPr>
        <w:pStyle w:val="Heading3"/>
      </w:pPr>
      <w:r>
        <w:t xml:space="preserve">Emission Hotspots (Illustrative)</w:t>
      </w:r>
    </w:p>
    <w:p>
      <w:pPr>
        <w:pStyle w:val="FirstParagraph"/>
      </w:pPr>
      <w:r>
        <w:t xml:space="preserve">Based on this illustrative analysis, the primary emission hotspots for zjivfdwtiu are:</w:t>
      </w:r>
    </w:p>
    <w:p>
      <w:pPr>
        <w:numPr>
          <w:ilvl w:val="0"/>
          <w:numId w:val="1021"/>
        </w:numPr>
        <w:pStyle w:val="Compact"/>
      </w:pPr>
      <w:r>
        <w:rPr>
          <w:bCs/>
          <w:b/>
        </w:rPr>
        <w:t xml:space="preserve">Transportation (42.7%):</w:t>
      </w:r>
      <w:r>
        <w:t xml:space="preserve"> </w:t>
      </w:r>
      <w:r>
        <w:t xml:space="preserve">This category, largely driven by last-mile delivery and long-distance global shipping (both inbound and outbound), represents the largest contributor. This highlights the sensitivity of PCF to logistics efficiency and choices.</w:t>
      </w:r>
    </w:p>
    <w:p>
      <w:pPr>
        <w:numPr>
          <w:ilvl w:val="0"/>
          <w:numId w:val="1021"/>
        </w:numPr>
        <w:pStyle w:val="Compact"/>
      </w:pPr>
      <w:r>
        <w:rPr>
          <w:bCs/>
          <w:b/>
        </w:rPr>
        <w:t xml:space="preserve">Use Phase (42.0%):</w:t>
      </w:r>
      <w:r>
        <w:t xml:space="preserve"> </w:t>
      </w:r>
      <w:r>
        <w:t xml:space="preserve">The energy consumption during the product\'s 5-year lifespan is a significant factor, underscoring the importance of energy efficiency during product operation and the carbon intensity of electricity grids where the product is used.</w:t>
      </w:r>
    </w:p>
    <w:p>
      <w:pPr>
        <w:numPr>
          <w:ilvl w:val="0"/>
          <w:numId w:val="1021"/>
        </w:numPr>
        <w:pStyle w:val="Compact"/>
      </w:pPr>
      <w:r>
        <w:rPr>
          <w:bCs/>
          <w:b/>
        </w:rPr>
        <w:t xml:space="preserve">Material Acquisition (9.3%):</w:t>
      </w:r>
      <w:r>
        <w:t xml:space="preserve"> </w:t>
      </w:r>
      <w:r>
        <w:t xml:space="preserve">Certain high-impact materials, such as primary aluminum, contribute notably to the upstream footprint.</w:t>
      </w:r>
    </w:p>
    <w:p>
      <w:pPr>
        <w:numPr>
          <w:ilvl w:val="0"/>
          <w:numId w:val="1021"/>
        </w:numPr>
        <w:pStyle w:val="Compact"/>
      </w:pPr>
      <w:r>
        <w:rPr>
          <w:bCs/>
          <w:b/>
        </w:rPr>
        <w:t xml:space="preserve">Manufacturing (6.1%):</w:t>
      </w:r>
      <w:r>
        <w:t xml:space="preserve"> </w:t>
      </w:r>
      <w:r>
        <w:t xml:space="preserve">While renewable energy mitigates some impact, the remaining grid electricity usage in China still represents a notable portion of emissions.</w:t>
      </w:r>
    </w:p>
    <w:bookmarkEnd w:id="39"/>
    <w:bookmarkStart w:id="40" w:name="recommendations-for-emission-reduction"/>
    <w:p>
      <w:pPr>
        <w:pStyle w:val="Heading3"/>
      </w:pPr>
      <w:r>
        <w:t xml:space="preserve">Recommendations for Emission Reduction</w:t>
      </w:r>
    </w:p>
    <w:p>
      <w:pPr>
        <w:numPr>
          <w:ilvl w:val="0"/>
          <w:numId w:val="1022"/>
        </w:numPr>
        <w:pStyle w:val="Compact"/>
      </w:pPr>
      <w:r>
        <w:rPr>
          <w:bCs/>
          <w:b/>
        </w:rPr>
        <w:t xml:space="preserve">Optimize Use Phase Efficiency:</w:t>
      </w:r>
      <w:r>
        <w:t xml:space="preserve"> </w:t>
      </w:r>
      <w:r>
        <w:t xml:space="preserve">hkgrlxlixp should investigate further opportunities to reduce the product\'s energy consumption during its operational lifespan and explore strategies to encourage product use in regions with higher renewable energy penetration.</w:t>
      </w:r>
    </w:p>
    <w:p>
      <w:pPr>
        <w:numPr>
          <w:ilvl w:val="0"/>
          <w:numId w:val="1022"/>
        </w:numPr>
        <w:pStyle w:val="Compact"/>
      </w:pPr>
      <w:r>
        <w:rPr>
          <w:bCs/>
          <w:b/>
        </w:rPr>
        <w:t xml:space="preserve">Enhance Logistics Decarbonization:</w:t>
      </w:r>
      <w:r>
        <w:t xml:space="preserve"> </w:t>
      </w:r>
      <w:r>
        <w:t xml:space="preserve">A critical focus should be placed on optimizing transport modes and routes, especially for last-mile delivery. Exploring consolidated shipping, electric fleet options for shorter distances, and more efficient long-haul freight (e.g., shifting from air to sea where feasible) could yield substantial reductions.</w:t>
      </w:r>
    </w:p>
    <w:p>
      <w:pPr>
        <w:numPr>
          <w:ilvl w:val="0"/>
          <w:numId w:val="1022"/>
        </w:numPr>
        <w:pStyle w:val="Compact"/>
      </w:pPr>
      <w:r>
        <w:rPr>
          <w:bCs/>
          <w:b/>
        </w:rPr>
        <w:t xml:space="preserve">Material Circularity and Decarbonization:</w:t>
      </w:r>
      <w:r>
        <w:t xml:space="preserve"> </w:t>
      </w:r>
      <w:r>
        <w:t xml:space="preserve">Prioritize sourcing lower-carbon materials, increasing the use of recycled content, and engaging with suppliers to reduce the upstream emissions associated with raw material extraction and processing. Leveraging the existing "ppezpunfwm" circular/take-back programs is key to maximizing material recovery.</w:t>
      </w:r>
    </w:p>
    <w:p>
      <w:pPr>
        <w:numPr>
          <w:ilvl w:val="0"/>
          <w:numId w:val="1022"/>
        </w:numPr>
        <w:pStyle w:val="Compact"/>
      </w:pPr>
      <w:r>
        <w:rPr>
          <w:bCs/>
          <w:b/>
        </w:rPr>
        <w:t xml:space="preserve">Increase Renewable Energy Sourcing:</w:t>
      </w:r>
      <w:r>
        <w:t xml:space="preserve"> </w:t>
      </w:r>
      <w:r>
        <w:t xml:space="preserve">Continue and expand the use of renewable energy in manufacturing operations in China. Engaging with utility providers or investing in on-site renewables will further decrease Scope 2 emissions.</w:t>
      </w:r>
    </w:p>
    <w:p>
      <w:pPr>
        <w:numPr>
          <w:ilvl w:val="0"/>
          <w:numId w:val="1022"/>
        </w:numPr>
        <w:pStyle w:val="Compact"/>
      </w:pPr>
      <w:r>
        <w:rPr>
          <w:bCs/>
          <w:b/>
        </w:rPr>
        <w:t xml:space="preserve">Product Design for Longevity and Recyclability:</w:t>
      </w:r>
      <w:r>
        <w:t xml:space="preserve"> </w:t>
      </w:r>
      <w:r>
        <w:t xml:space="preserve">Further design interventions to extend product lifespan and enhance ease of disassembly and recyclability will contribute to both use-phase and end-of-life impact reductions.</w:t>
      </w:r>
    </w:p>
    <w:bookmarkEnd w:id="40"/>
    <w:bookmarkStart w:id="41" w:name="reliability-and-limitations"/>
    <w:p>
      <w:pPr>
        <w:pStyle w:val="Heading3"/>
      </w:pPr>
      <w:r>
        <w:t xml:space="preserve">Reliability and Limitations</w:t>
      </w:r>
    </w:p>
    <w:p>
      <w:pPr>
        <w:pStyle w:val="FirstParagraph"/>
      </w:pPr>
      <w:r>
        <w:t xml:space="preserve">The reliability of this PCF analysis is contingent upon the accuracy and completeness of the input data. Key considerations include:</w:t>
      </w:r>
    </w:p>
    <w:p>
      <w:pPr>
        <w:numPr>
          <w:ilvl w:val="0"/>
          <w:numId w:val="1023"/>
        </w:numPr>
        <w:pStyle w:val="Compact"/>
      </w:pPr>
      <w:r>
        <w:rPr>
          <w:bCs/>
          <w:b/>
        </w:rPr>
        <w:t xml:space="preserve">Data Assumptions and Placeholders:</w:t>
      </w:r>
      <w:r>
        <w:t xml:space="preserve"> </w:t>
      </w:r>
      <w:r>
        <w:t xml:space="preserve">As noted throughout the report, several key parameters (BOM details, specific transport data, energy intensity figures, lifespan, recyclability percentages) were provided as placeholders and have been substituted with illustrative, yet representative, industry average values. For a real-world assessment, these would require precise, primary data specific to hkgrlxlixp\'s operations and supply chain.</w:t>
      </w:r>
    </w:p>
    <w:p>
      <w:pPr>
        <w:numPr>
          <w:ilvl w:val="0"/>
          <w:numId w:val="1023"/>
        </w:numPr>
        <w:pStyle w:val="Compact"/>
      </w:pPr>
      <w:r>
        <w:rPr>
          <w:bCs/>
          <w:b/>
        </w:rPr>
        <w:t xml:space="preserve">Emission Factor Database:</w:t>
      </w:r>
      <w:r>
        <w:t xml:space="preserve"> </w:t>
      </w:r>
      <w:r>
        <w:t xml:space="preserve">Illustrative emission factors were used, drawing on general industry knowledge and approximate values found in databases like Ecoinvent or DEFRA. For a highly precise calculation, direct access to and application of specific, up-to-date regionalized, and process-specific emission factors would be necessary.</w:t>
      </w:r>
    </w:p>
    <w:p>
      <w:pPr>
        <w:numPr>
          <w:ilvl w:val="0"/>
          <w:numId w:val="1023"/>
        </w:numPr>
        <w:pStyle w:val="Compact"/>
      </w:pPr>
      <w:r>
        <w:rPr>
          <w:bCs/>
          <w:b/>
        </w:rPr>
        <w:t xml:space="preserve">Scope 3 Granularity:</w:t>
      </w:r>
      <w:r>
        <w:t xml:space="preserve"> </w:t>
      </w:r>
      <w:r>
        <w:t xml:space="preserve">While aiming for comprehensive Scope 3 coverage, the detail of sub-categories within Scope 3 (e.g., business travel, employee commuting, capital goods) is not fully elaborated without specific data. The focus was on the most material categories: material acquisition, transport, use, and end-of-life.</w:t>
      </w:r>
    </w:p>
    <w:p>
      <w:pPr>
        <w:numPr>
          <w:ilvl w:val="0"/>
          <w:numId w:val="1023"/>
        </w:numPr>
        <w:pStyle w:val="Compact"/>
      </w:pPr>
      <w:r>
        <w:rPr>
          <w:bCs/>
          <w:b/>
        </w:rPr>
        <w:t xml:space="preserve">Dynamic Nature:</w:t>
      </w:r>
      <w:r>
        <w:t xml:space="preserve"> </w:t>
      </w:r>
      <w:r>
        <w:t xml:space="preserve">Carbon footprints are dynamic and subject to changes in supply chains, energy grids, technological advancements, and operational efficiencies. Regular updates and reassessments are recommended to maintain accuracy.</w:t>
      </w:r>
    </w:p>
    <w:p>
      <w:pPr>
        <w:pStyle w:val="FirstParagraph"/>
      </w:pPr>
      <w:r>
        <w:t xml:space="preserve">Despite these limitations inherent to an analysis based on illustrative parameters, this report provides a robust initial assessment and clearly identifies critical areas for hkgrlxlixp to focus on for reducing the environmental impact of zjivfdwtiu. It serves as a valuable foundation for more detailed studies and strategic decarbonization efforts.</w:t>
      </w:r>
    </w:p>
    <w:p>
      <w:r>
        <w:pict>
          <v:rect style="width:0;height:1.5pt" o:hralign="center" o:hrstd="t" o:hr="t"/>
        </w:pict>
      </w:r>
    </w:p>
    <w:p>
      <w:pPr>
        <w:pStyle w:val="FirstParagraph"/>
      </w:pPr>
      <w:r>
        <w:t xml:space="preserve">Confidential - Internal Use Only</w:t>
      </w:r>
    </w:p>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zjivfdwtiu</dc:title>
  <dc:creator/>
  <dc:description>Product Carbon Footprint (PCF) analysis report for zjivfdwtiu by hkgrlxlixp, adhering to GHG Protocol standards and 2026 LSR update.</dc:description>
  <cp:keywords/>
  <dcterms:created xsi:type="dcterms:W3CDTF">2026-07-15T12:38:30Z</dcterms:created>
  <dcterms:modified xsi:type="dcterms:W3CDTF">2026-07-15T12:38:30Z</dcterms:modified>
</cp:coreProperties>
</file>

<file path=docProps/custom.xml><?xml version="1.0" encoding="utf-8"?>
<Properties xmlns="http://schemas.openxmlformats.org/officeDocument/2006/custom-properties" xmlns:vt="http://schemas.openxmlformats.org/officeDocument/2006/docPropsVTypes"/>
</file>