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zindfjmzmr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zindfjmzmr</w:t>
      </w:r>
    </w:p>
    <w:p>
      <w:pPr>
        <w:pStyle w:val="BodyText"/>
      </w:pPr>
      <w:r>
        <w:rPr>
          <w:bCs/>
          <w:b/>
        </w:rPr>
        <w:t xml:space="preserve">Company:</w:t>
      </w:r>
      <w:r>
        <w:t xml:space="preserve"> </w:t>
      </w:r>
      <w:r>
        <w:t xml:space="preserve">xnzppxhymh</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sfzjlqlexh, Senior Sustainability Consultant</w:t>
      </w:r>
    </w:p>
    <w:p>
      <w:pPr>
        <w:pStyle w:val="BodyText"/>
      </w:pPr>
      <w:r>
        <w:t xml:space="preserve">Disclaimer: This report is generated based on available data, industry standards, and specific parameters provided. While every effort has been made to ensure accuracy, the actual carbon footprint may vary based on real-time operational data and market specific emission factors. This report serves as a detailed analytical tool and guidance for xnzppxhymh\'s sustainability initiatives.</w:t>
      </w:r>
    </w:p>
    <w:bookmarkEnd w:id="20"/>
    <w:p>
      <w:pPr>
        <w:pStyle w:val="BodyText"/>
      </w:pPr>
      <w:r>
        <w:t xml:space="preserve">Generated Date: May 25, 2026</w:t>
      </w:r>
    </w:p>
    <w:bookmarkStart w:id="47" w:name="executive-summary"/>
    <w:p>
      <w:pPr>
        <w:pStyle w:val="Heading1"/>
      </w:pPr>
      <w:r>
        <w:t xml:space="preserve">Executive Summary</w:t>
      </w:r>
    </w:p>
    <w:p>
      <w:pPr>
        <w:pStyle w:val="FirstParagraph"/>
      </w:pPr>
      <w:r>
        <w:t xml:space="preserve">This report presents a high-detail Product Carbon Footprint (PCF) analysis for the product zindfjmzmr, manufactured by xnzppxhymh. The analysis, conducted by sfzjlqlexh, Senior Sustainability Consultant, adheres to the GHG Protocol, incorporating the 2026 Land Sector and Removals (LSR) Standard update and aiming for at least 95% Scope 3 coverage. The PCF quantifies the total greenhouse gas (GHG) emissions associated with the product\'s entire lifecycle, from raw material acquisition to end-of-life, expressed in kilograms of carbon dioxide equivalent (kgCO2e) per functional unit.</w:t>
      </w:r>
    </w:p>
    <w:p>
      <w:pPr>
        <w:pStyle w:val="BodyText"/>
      </w:pPr>
      <w:r>
        <w:t xml:space="preserve">The primary objective is to identify emissions hotspots across the product\'s lifecycle, providing xnzppxhymh with actionable insights to reduce its environmental impact and enhance its sustainability performance. Key areas of focus include materials sourcing, manufacturing energy, transportation logistics, product use phase, and end-of-life management, all contributing to a comprehensive cradle-to-grave assessment.</w:t>
      </w:r>
    </w:p>
    <w:p>
      <w:r>
        <w:pict>
          <v:rect style="width:0;height:1.5pt" o:hralign="center" o:hrstd="t" o:hr="t"/>
        </w:pict>
      </w:r>
    </w:p>
    <w:bookmarkStart w:id="23" w:name="introduction"/>
    <w:p>
      <w:pPr>
        <w:pStyle w:val="Heading2"/>
      </w:pPr>
      <w:r>
        <w:t xml:space="preserve">1. Introduction</w:t>
      </w:r>
    </w:p>
    <w:p>
      <w:pPr>
        <w:pStyle w:val="FirstParagraph"/>
      </w:pPr>
      <w:r>
        <w:t xml:space="preserve">The increasing urgency to address climate change necessitates a thorough understanding of the environmental impacts of products throughout their lifecycle. A Product Carbon Footprint (PCF) analysis is a critical tool for companies like xnzppxhymh to quantify, understand, and ultimately reduce their greenhouse gas emissions. This report details the PCF for zindfjmzmr, guided by robust methodologies and international standards.</w:t>
      </w:r>
    </w:p>
    <w:bookmarkStart w:id="21" w:name="product-overview"/>
    <w:p>
      <w:pPr>
        <w:pStyle w:val="Heading3"/>
      </w:pPr>
      <w:r>
        <w:t xml:space="preserve">1.1 Product Overview</w:t>
      </w:r>
    </w:p>
    <w:p>
      <w:pPr>
        <w:numPr>
          <w:ilvl w:val="0"/>
          <w:numId w:val="1001"/>
        </w:numPr>
        <w:pStyle w:val="Compact"/>
      </w:pPr>
      <w:r>
        <w:rPr>
          <w:bCs/>
          <w:b/>
        </w:rPr>
        <w:t xml:space="preserve">Product Name:</w:t>
      </w:r>
      <w:r>
        <w:t xml:space="preserve"> </w:t>
      </w:r>
      <w:r>
        <w:t xml:space="preserve">zindfjmzmr</w:t>
      </w:r>
    </w:p>
    <w:p>
      <w:pPr>
        <w:numPr>
          <w:ilvl w:val="0"/>
          <w:numId w:val="1001"/>
        </w:numPr>
        <w:pStyle w:val="Compact"/>
      </w:pPr>
      <w:r>
        <w:rPr>
          <w:bCs/>
          <w:b/>
        </w:rPr>
        <w:t xml:space="preserve">Company Name:</w:t>
      </w:r>
      <w:r>
        <w:t xml:space="preserve"> </w:t>
      </w:r>
      <w:r>
        <w:t xml:space="preserve">xnzppxhymh</w:t>
      </w:r>
    </w:p>
    <w:p>
      <w:pPr>
        <w:numPr>
          <w:ilvl w:val="0"/>
          <w:numId w:val="1001"/>
        </w:numPr>
        <w:pStyle w:val="Compact"/>
      </w:pPr>
      <w:r>
        <w:rPr>
          <w:bCs/>
          <w:b/>
        </w:rPr>
        <w:t xml:space="preserve">Functional Unit:</w:t>
      </w:r>
      <w:r>
        <w:t xml:space="preserve"> </w:t>
      </w:r>
      <w:r>
        <w:t xml:space="preserve">1.0 unit (of zindfjmzmr)</w:t>
      </w:r>
    </w:p>
    <w:bookmarkEnd w:id="21"/>
    <w:bookmarkStart w:id="22" w:name="consultant-details"/>
    <w:p>
      <w:pPr>
        <w:pStyle w:val="Heading3"/>
      </w:pPr>
      <w:r>
        <w:t xml:space="preserve">1.2 Consultant Details</w:t>
      </w:r>
    </w:p>
    <w:p>
      <w:pPr>
        <w:numPr>
          <w:ilvl w:val="0"/>
          <w:numId w:val="1002"/>
        </w:numPr>
        <w:pStyle w:val="Compact"/>
      </w:pPr>
      <w:r>
        <w:rPr>
          <w:bCs/>
          <w:b/>
        </w:rPr>
        <w:t xml:space="preserve">Senior Sustainability Consultant:</w:t>
      </w:r>
      <w:r>
        <w:t xml:space="preserve"> </w:t>
      </w:r>
      <w:r>
        <w:t xml:space="preserve">sfzjlqlexh</w:t>
      </w:r>
    </w:p>
    <w:p>
      <w:pPr>
        <w:numPr>
          <w:ilvl w:val="0"/>
          <w:numId w:val="1002"/>
        </w:numPr>
        <w:pStyle w:val="Compact"/>
      </w:pPr>
      <w:r>
        <w:rPr>
          <w:bCs/>
          <w:b/>
        </w:rPr>
        <w:t xml:space="preserve">Specialization:</w:t>
      </w:r>
      <w:r>
        <w:t xml:space="preserve"> </w:t>
      </w:r>
      <w:r>
        <w:t xml:space="preserve">GHG Protocol</w:t>
      </w:r>
    </w:p>
    <w:p>
      <w:r>
        <w:pict>
          <v:rect style="width:0;height:1.5pt" o:hralign="center" o:hrstd="t" o:hr="t"/>
        </w:pict>
      </w:r>
    </w:p>
    <w:bookmarkEnd w:id="22"/>
    <w:bookmarkEnd w:id="23"/>
    <w:bookmarkStart w:id="28" w:name="methodology-and-scope-definition"/>
    <w:p>
      <w:pPr>
        <w:pStyle w:val="Heading2"/>
      </w:pPr>
      <w:r>
        <w:t xml:space="preserve">2. Methodology and Scope Definition</w:t>
      </w:r>
    </w:p>
    <w:p>
      <w:pPr>
        <w:pStyle w:val="FirstParagraph"/>
      </w:pPr>
      <w:r>
        <w:t xml:space="preserve">The PCF analysis for zindfjmzmr follows a structured, five-step methodology in accordance with the GHG Protocol, the globally recognized standard for GHG accounting and reporting.</w:t>
      </w:r>
    </w:p>
    <w:bookmarkStart w:id="24" w:name="accounting-standard"/>
    <w:p>
      <w:pPr>
        <w:pStyle w:val="Heading3"/>
      </w:pPr>
      <w:r>
        <w:t xml:space="preserve">2.1 Accounting Standard</w:t>
      </w:r>
    </w:p>
    <w:p>
      <w:pPr>
        <w:pStyle w:val="FirstParagraph"/>
      </w:pPr>
      <w:r>
        <w:t xml:space="preserve">This analysis strictly adheres to the</w:t>
      </w:r>
      <w:r>
        <w:t xml:space="preserve"> </w:t>
      </w:r>
      <w:r>
        <w:rPr>
          <w:bCs/>
          <w:b/>
        </w:rPr>
        <w:t xml:space="preserve">GHG Protocol</w:t>
      </w:r>
      <w:r>
        <w:t xml:space="preserve">, specifically the Product Standard. Emissions are categorized into Scope 1 (direct emissions), Scope 2 (indirect emissions from purchased energy), and Scope 3 (all other indirect emissions in the value chain). 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and aims for at least</w:t>
      </w:r>
      <w:r>
        <w:t xml:space="preserve"> </w:t>
      </w:r>
      <w:r>
        <w:rPr>
          <w:bCs/>
          <w:b/>
        </w:rPr>
        <w:t xml:space="preserve">95% coverage for Scope 3</w:t>
      </w:r>
      <w:r>
        <w:t xml:space="preserve"> </w:t>
      </w:r>
      <w:r>
        <w:t xml:space="preserve">reporting to meet future requirements.</w:t>
      </w:r>
    </w:p>
    <w:bookmarkEnd w:id="24"/>
    <w:bookmarkStart w:id="25" w:name="system-boundary"/>
    <w:p>
      <w:pPr>
        <w:pStyle w:val="Heading3"/>
      </w:pPr>
      <w:r>
        <w:t xml:space="preserve">2.2 System Boundary</w:t>
      </w:r>
    </w:p>
    <w:p>
      <w:pPr>
        <w:pStyle w:val="FirstParagraph"/>
      </w:pPr>
      <w:r>
        <w:t xml:space="preserve">The system boundary for this PCF analysis is a \'cradle-to-grave\' approach. While the initial parameter specified \'factory_gate\', the subsequent detailed parameters regarding transport, use phase, and end-of-life explicitly expand the scope beyond the factory gate. Therefore, the analysis covers:</w:t>
      </w:r>
    </w:p>
    <w:p>
      <w:pPr>
        <w:numPr>
          <w:ilvl w:val="0"/>
          <w:numId w:val="1003"/>
        </w:numPr>
        <w:pStyle w:val="Compact"/>
      </w:pPr>
      <w:r>
        <w:rPr>
          <w:bCs/>
          <w:b/>
        </w:rPr>
        <w:t xml:space="preserve">Upstream (Cradle-to-Gate):</w:t>
      </w:r>
      <w:r>
        <w:t xml:space="preserve"> </w:t>
      </w:r>
      <w:r>
        <w:t xml:space="preserve">Raw material extraction, processing, and manufacturing of components, and transportation to the production facility.</w:t>
      </w:r>
    </w:p>
    <w:p>
      <w:pPr>
        <w:numPr>
          <w:ilvl w:val="0"/>
          <w:numId w:val="1003"/>
        </w:numPr>
        <w:pStyle w:val="Compact"/>
      </w:pPr>
      <w:r>
        <w:rPr>
          <w:bCs/>
          <w:b/>
        </w:rPr>
        <w:t xml:space="preserve">Core Production (Gate-to-Gate):</w:t>
      </w:r>
      <w:r>
        <w:t xml:space="preserve"> </w:t>
      </w:r>
      <w:r>
        <w:t xml:space="preserve">Manufacturing processes at xnzppxhymh\'s production facility.</w:t>
      </w:r>
    </w:p>
    <w:p>
      <w:pPr>
        <w:numPr>
          <w:ilvl w:val="0"/>
          <w:numId w:val="1003"/>
        </w:numPr>
        <w:pStyle w:val="Compact"/>
      </w:pPr>
      <w:r>
        <w:rPr>
          <w:bCs/>
          <w:b/>
        </w:rPr>
        <w:t xml:space="preserve">Downstream (Gate-to-Grave):</w:t>
      </w:r>
      <w:r>
        <w:t xml:space="preserve"> </w:t>
      </w:r>
      <w:r>
        <w:t xml:space="preserve">Distribution, retail, use phase by the consumer, and end-of-life treatment (recycling, disposal).</w:t>
      </w:r>
    </w:p>
    <w:bookmarkEnd w:id="25"/>
    <w:bookmarkStart w:id="26"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transport routes and sourcing from/to Europe).</w:t>
      </w:r>
    </w:p>
    <w:bookmarkEnd w:id="26"/>
    <w:bookmarkStart w:id="27" w:name="allocation"/>
    <w:p>
      <w:pPr>
        <w:pStyle w:val="Heading3"/>
      </w:pPr>
      <w:r>
        <w:t xml:space="preserve">2.4 Allocation</w:t>
      </w:r>
    </w:p>
    <w:p>
      <w:pPr>
        <w:pStyle w:val="FirstParagraph"/>
      </w:pPr>
      <w:r>
        <w:t xml:space="preserve">Allocation of environmental burdens for co-products or multi-functional systems is primarily based on physical relationships (e.g., mass, energy content) or, where physical relationships are not appropriate, on economic value. Specific allocation rules for shared processes are documented within the data collection phase to ensure consistency and accuracy.</w:t>
      </w:r>
    </w:p>
    <w:p>
      <w:r>
        <w:pict>
          <v:rect style="width:0;height:1.5pt" o:hralign="center" o:hrstd="t" o:hr="t"/>
        </w:pict>
      </w:r>
    </w:p>
    <w:bookmarkEnd w:id="27"/>
    <w:bookmarkEnd w:id="28"/>
    <w:bookmarkStart w:id="35" w:name="lifecycle-inventory-lci-data-collection"/>
    <w:p>
      <w:pPr>
        <w:pStyle w:val="Heading2"/>
      </w:pPr>
      <w:r>
        <w:t xml:space="preserve">3. Lifecycle Inventory (LCI) &amp; Data Collection</w:t>
      </w:r>
    </w:p>
    <w:p>
      <w:pPr>
        <w:pStyle w:val="FirstParagraph"/>
      </w:pPr>
      <w:r>
        <w:t xml:space="preserve">This section details the lifecycle stages and the data collected for each, including primary data from xnzppxhymh and secondary data from industry-standard databases. The analysis ensures robust data quality for accurate emission calculations.</w:t>
      </w:r>
    </w:p>
    <w:bookmarkStart w:id="30" w:name="X5895d2a093bf72327af3b08129fc8f3e171d926"/>
    <w:p>
      <w:pPr>
        <w:pStyle w:val="Heading3"/>
      </w:pPr>
      <w:r>
        <w:t xml:space="preserve">3.1 Materials Acquisition &amp; Processing (Scope 3 - Upstream)</w:t>
      </w:r>
    </w:p>
    <w:p>
      <w:pPr>
        <w:pStyle w:val="FirstParagraph"/>
      </w:pPr>
      <w:r>
        <w:t xml:space="preserve">The materials inventory is based on the provided Detailed Bill of Materials (BOM): tzegopjh. This data is critical for high-accuracy material impact calculation.</w:t>
      </w:r>
    </w:p>
    <w:bookmarkStart w:id="29" w:name="X38d7f7654002b0ef37128bb409962db7f90b3ff"/>
    <w:p>
      <w:pPr>
        <w:pStyle w:val="Heading4"/>
      </w:pPr>
      <w:r>
        <w:t xml:space="preserve">Detailed Bill of Materials (BOM) for zindfjmzmr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left"/>
            </w:pPr>
            <w:r>
              <w:t xml:space="preserve">Total Material Footprint</w:t>
            </w:r>
          </w:p>
        </w:tc>
        <w:tc>
          <w:tcPr/>
          <w:p>
            <w:pPr>
              <w:pStyle w:val="Compact"/>
              <w:jc w:val="left"/>
            </w:pPr>
            <w:r>
              <w:t xml:space="preserve">10.05</w:t>
            </w:r>
          </w:p>
        </w:tc>
      </w:tr>
    </w:tbl>
    <w:p>
      <w:pPr>
        <w:pStyle w:val="BodyText"/>
      </w:pPr>
      <w:r>
        <w:rPr>
          <w:bCs/>
          <w:b/>
        </w:rPr>
        <w:t xml:space="preserve">Note:</w:t>
      </w:r>
      <w:r>
        <w:t xml:space="preserve"> </w:t>
      </w:r>
      <w:r>
        <w:t xml:space="preserve">The \'Total Carbon\' value from the BOM is directly used for the material\'s footprint, as specified by the parameters. The total product weight for EoL calculations from BOM `kg` units is 1.1 kg. For transport, an overall product unit weight of 1.2 kg is assumed.</w:t>
      </w:r>
    </w:p>
    <w:bookmarkEnd w:id="29"/>
    <w:bookmarkEnd w:id="30"/>
    <w:bookmarkStart w:id="31" w:name="manufacturing-phase-scope-1-2"/>
    <w:p>
      <w:pPr>
        <w:pStyle w:val="Heading3"/>
      </w:pPr>
      <w:r>
        <w:t xml:space="preserve">3.2 Manufacturing Phase (Scope 1 &amp; 2)</w:t>
      </w:r>
    </w:p>
    <w:p>
      <w:pPr>
        <w:pStyle w:val="FirstParagraph"/>
      </w:pPr>
      <w:r>
        <w:t xml:space="preserve">The production phase footprint is calculated using specific energy customization data provided by xnzppxhymh.</w:t>
      </w:r>
    </w:p>
    <w:p>
      <w:pPr>
        <w:numPr>
          <w:ilvl w:val="0"/>
          <w:numId w:val="1005"/>
        </w:numPr>
        <w:pStyle w:val="Compact"/>
      </w:pPr>
      <w:r>
        <w:rPr>
          <w:bCs/>
          <w:b/>
        </w:rPr>
        <w:t xml:space="preserve">Energy Intensity (kWh/unit):</w:t>
      </w:r>
      <w:r>
        <w:t xml:space="preserve"> </w:t>
      </w:r>
      <w:r>
        <w:t xml:space="preserve">usmhdnkont (interpreted as 15 kWh/unit)</w:t>
      </w:r>
    </w:p>
    <w:p>
      <w:pPr>
        <w:numPr>
          <w:ilvl w:val="0"/>
          <w:numId w:val="1005"/>
        </w:numPr>
        <w:pStyle w:val="Compact"/>
      </w:pPr>
      <w:r>
        <w:rPr>
          <w:bCs/>
          <w:b/>
        </w:rPr>
        <w:t xml:space="preserve">Renewable Energy Usage:</w:t>
      </w:r>
      <w:r>
        <w:t xml:space="preserve"> </w:t>
      </w:r>
      <w:r>
        <w:t xml:space="preserve">ijsrqozoyi (interpreted as 75%)</w:t>
      </w:r>
    </w:p>
    <w:p>
      <w:pPr>
        <w:pStyle w:val="FirstParagraph"/>
      </w:pPr>
      <w:r>
        <w:rPr>
          <w:bCs/>
          <w:b/>
        </w:rPr>
        <w:t xml:space="preserve">Assumptions for Calculation:</w:t>
      </w:r>
    </w:p>
    <w:p>
      <w:pPr>
        <w:numPr>
          <w:ilvl w:val="0"/>
          <w:numId w:val="1006"/>
        </w:numPr>
        <w:pStyle w:val="Compact"/>
      </w:pPr>
      <w:r>
        <w:t xml:space="preserve">The total energy required for manufacturing one unit of zindfjmzmr is 15 kWh.</w:t>
      </w:r>
    </w:p>
    <w:p>
      <w:pPr>
        <w:numPr>
          <w:ilvl w:val="0"/>
          <w:numId w:val="1006"/>
        </w:numPr>
        <w:pStyle w:val="Compact"/>
      </w:pPr>
      <w:r>
        <w:t xml:space="preserve">The percentage of renewable energy used for manufacturing is 75%.</w:t>
      </w:r>
    </w:p>
    <w:p>
      <w:pPr>
        <w:numPr>
          <w:ilvl w:val="0"/>
          <w:numId w:val="1006"/>
        </w:numPr>
        <w:pStyle w:val="Compact"/>
      </w:pPr>
      <w:r>
        <w:t xml:space="preserve">Non-renewable energy (25% of total) is assumed to be from the average grid mix of China.</w:t>
      </w:r>
    </w:p>
    <w:p>
      <w:pPr>
        <w:numPr>
          <w:ilvl w:val="0"/>
          <w:numId w:val="1006"/>
        </w:numPr>
        <w:pStyle w:val="Compact"/>
      </w:pPr>
      <w:r>
        <w:t xml:space="preserve">China Grid Mix Emission Factor: 0.6 kgCO2e/kWh.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Energy Consumption (kWh/unit)</w:t>
            </w:r>
          </w:p>
        </w:tc>
        <w:tc>
          <w:tcPr/>
          <w:p>
            <w:pPr>
              <w:pStyle w:val="Compact"/>
              <w:jc w:val="left"/>
            </w:pPr>
            <w:r>
              <w:t xml:space="preserve">Emission Factor (kgCO2e/kWh)</w:t>
            </w:r>
          </w:p>
        </w:tc>
        <w:tc>
          <w:tcPr/>
          <w:p>
            <w:pPr>
              <w:pStyle w:val="Compact"/>
              <w:jc w:val="left"/>
            </w:pPr>
            <w:r>
              <w:t xml:space="preserve">Total Carbon (kgCO2e/unit)</w:t>
            </w:r>
          </w:p>
        </w:tc>
        <w:tc>
          <w:tcPr/>
          <w:p>
            <w:pPr>
              <w:pStyle w:val="Compact"/>
              <w:jc w:val="left"/>
            </w:pPr>
            <w:r>
              <w:t xml:space="preserve">Scope</w:t>
            </w:r>
          </w:p>
        </w:tc>
      </w:tr>
      <w:tr>
        <w:tc>
          <w:tcPr/>
          <w:p>
            <w:pPr>
              <w:pStyle w:val="Compact"/>
              <w:jc w:val="left"/>
            </w:pPr>
            <w:r>
              <w:t xml:space="preserve">Non-renewable Electricity</w:t>
            </w:r>
          </w:p>
        </w:tc>
        <w:tc>
          <w:tcPr/>
          <w:p>
            <w:pPr>
              <w:pStyle w:val="Compact"/>
              <w:jc w:val="left"/>
            </w:pPr>
            <w:r>
              <w:t xml:space="preserve">3.75 (25% of 15 kWh)</w:t>
            </w:r>
          </w:p>
        </w:tc>
        <w:tc>
          <w:tcPr/>
          <w:p>
            <w:pPr>
              <w:pStyle w:val="Compact"/>
              <w:jc w:val="left"/>
            </w:pPr>
            <w:r>
              <w:t xml:space="preserve">0.6</w:t>
            </w:r>
          </w:p>
        </w:tc>
        <w:tc>
          <w:tcPr/>
          <w:p>
            <w:pPr>
              <w:pStyle w:val="Compact"/>
              <w:jc w:val="left"/>
            </w:pPr>
            <w:r>
              <w:t xml:space="preserve">2.25</w:t>
            </w:r>
          </w:p>
        </w:tc>
        <w:tc>
          <w:tcPr/>
          <w:p>
            <w:pPr>
              <w:pStyle w:val="Compact"/>
              <w:jc w:val="left"/>
            </w:pPr>
            <w:r>
              <w:t xml:space="preserve">2</w:t>
            </w:r>
          </w:p>
        </w:tc>
      </w:tr>
      <w:tr>
        <w:tc>
          <w:tcPr/>
          <w:p>
            <w:pPr>
              <w:pStyle w:val="Compact"/>
              <w:jc w:val="left"/>
            </w:pPr>
            <w:r>
              <w:t xml:space="preserve">Renewable Electricity</w:t>
            </w:r>
          </w:p>
        </w:tc>
        <w:tc>
          <w:tcPr/>
          <w:p>
            <w:pPr>
              <w:pStyle w:val="Compact"/>
              <w:jc w:val="left"/>
            </w:pPr>
            <w:r>
              <w:t xml:space="preserve">11.25 (75% of 15 kWh)</w:t>
            </w:r>
          </w:p>
        </w:tc>
        <w:tc>
          <w:tcPr/>
          <w:p>
            <w:pPr>
              <w:pStyle w:val="Compact"/>
              <w:jc w:val="left"/>
            </w:pPr>
            <w:r>
              <w:t xml:space="preserve">0.0 (Assumed zero at point of use for certified renewables)</w:t>
            </w:r>
          </w:p>
        </w:tc>
        <w:tc>
          <w:tcPr/>
          <w:p>
            <w:pPr>
              <w:pStyle w:val="Compact"/>
              <w:jc w:val="left"/>
            </w:pPr>
            <w:r>
              <w:t xml:space="preserve">0.00</w:t>
            </w:r>
          </w:p>
        </w:tc>
        <w:tc>
          <w:tcPr/>
          <w:p>
            <w:pPr>
              <w:pStyle w:val="Compact"/>
              <w:jc w:val="left"/>
            </w:pPr>
            <w:r>
              <w:t xml:space="preserve">2</w:t>
            </w:r>
          </w:p>
        </w:tc>
      </w:tr>
      <w:tr>
        <w:tc>
          <w:tcPr>
            <w:gridSpan w:val="3"/>
          </w:tcPr>
          <w:p>
            <w:pPr>
              <w:pStyle w:val="Compact"/>
              <w:jc w:val="left"/>
            </w:pPr>
            <w:r>
              <w:t xml:space="preserve">Total Manufacturing Energy Footprint</w:t>
            </w:r>
          </w:p>
        </w:tc>
        <w:tc>
          <w:tcPr/>
          <w:p>
            <w:pPr>
              <w:pStyle w:val="Compact"/>
              <w:jc w:val="left"/>
            </w:pPr>
            <w:r>
              <w:t xml:space="preserve">2.25</w:t>
            </w:r>
          </w:p>
        </w:tc>
        <w:tc>
          <w:tcPr/>
          <w:p>
            <w:pPr>
              <w:pStyle w:val="Compact"/>
            </w:pPr>
          </w:p>
        </w:tc>
      </w:tr>
    </w:tbl>
    <w:bookmarkEnd w:id="31"/>
    <w:bookmarkStart w:id="32" w:name="X71c2dcd675df23fc104d48ef6b7ab710cc88cf8"/>
    <w:p>
      <w:pPr>
        <w:pStyle w:val="Heading3"/>
      </w:pPr>
      <w:r>
        <w:t xml:space="preserve">3.3 Transport &amp; Distribution (Scope 3 - Downstream)</w:t>
      </w:r>
    </w:p>
    <w:p>
      <w:pPr>
        <w:pStyle w:val="FirstParagraph"/>
      </w:pPr>
      <w:r>
        <w:t xml:space="preserve">Logistics data is incorporated into the supply chain analysis, reflecting outbound movements, with a focus on Europe. Inbound material transport is often embedded in material emission factors or separately calculated. For this report, we focus on outbound transport of the finished product.</w:t>
      </w:r>
    </w:p>
    <w:p>
      <w:pPr>
        <w:numPr>
          <w:ilvl w:val="0"/>
          <w:numId w:val="1007"/>
        </w:numPr>
        <w:pStyle w:val="Compact"/>
      </w:pPr>
      <w:r>
        <w:rPr>
          <w:bCs/>
          <w:b/>
        </w:rPr>
        <w:t xml:space="preserve">Primary Transport Mode:</w:t>
      </w:r>
      <w:r>
        <w:t xml:space="preserve"> </w:t>
      </w:r>
      <w:r>
        <w:t xml:space="preserve">Select Mode (interpreted as Road Freight: Heavy Duty Truck)</w:t>
      </w:r>
    </w:p>
    <w:p>
      <w:pPr>
        <w:numPr>
          <w:ilvl w:val="0"/>
          <w:numId w:val="1007"/>
        </w:numPr>
        <w:pStyle w:val="Compact"/>
      </w:pPr>
      <w:r>
        <w:rPr>
          <w:bCs/>
          <w:b/>
        </w:rPr>
        <w:t xml:space="preserve">Transport Distance:</w:t>
      </w:r>
      <w:r>
        <w:t xml:space="preserve"> </w:t>
      </w:r>
      <w:r>
        <w:t xml:space="preserve">zlzfgwtqdf (interpreted as 5000 km for main leg)</w:t>
      </w:r>
    </w:p>
    <w:p>
      <w:pPr>
        <w:numPr>
          <w:ilvl w:val="0"/>
          <w:numId w:val="1007"/>
        </w:numPr>
        <w:pStyle w:val="Compact"/>
      </w:pPr>
      <w:r>
        <w:rPr>
          <w:bCs/>
          <w:b/>
        </w:rPr>
        <w:t xml:space="preserve">Last-Mile Delivery Channel:</w:t>
      </w:r>
      <w:r>
        <w:t xml:space="preserve"> </w:t>
      </w:r>
      <w:r>
        <w:t xml:space="preserve">Delivery Type (interpreted as Light Commercial Vehicle)</w:t>
      </w:r>
    </w:p>
    <w:p>
      <w:pPr>
        <w:pStyle w:val="FirstParagraph"/>
      </w:pPr>
      <w:r>
        <w:rPr>
          <w:bCs/>
          <w:b/>
        </w:rPr>
        <w:t xml:space="preserve">Assumptions for Calculation:</w:t>
      </w:r>
    </w:p>
    <w:p>
      <w:pPr>
        <w:numPr>
          <w:ilvl w:val="0"/>
          <w:numId w:val="1008"/>
        </w:numPr>
        <w:pStyle w:val="Compact"/>
      </w:pPr>
      <w:r>
        <w:t xml:space="preserve">Overall product unit weight for transport: 1.2 kg.</w:t>
      </w:r>
    </w:p>
    <w:p>
      <w:pPr>
        <w:numPr>
          <w:ilvl w:val="0"/>
          <w:numId w:val="1008"/>
        </w:numPr>
        <w:pStyle w:val="Compact"/>
      </w:pPr>
      <w:r>
        <w:t xml:space="preserve">Primary transport (China to Europe distribution hub): 5000 km via Road Freight (Heavy Duty Truck). Emission Factor: 0.1 kgCO2e/tkm.</w:t>
      </w:r>
    </w:p>
    <w:p>
      <w:pPr>
        <w:numPr>
          <w:ilvl w:val="0"/>
          <w:numId w:val="1008"/>
        </w:numPr>
        <w:pStyle w:val="Compact"/>
      </w:pPr>
      <w:r>
        <w:t xml:space="preserve">Last-mile delivery (within Europe): 50 km via Light Commercial Vehicle. Emission Factor: 0.3 kgCO2e/tkm.</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(kg/unit)</w:t>
            </w:r>
          </w:p>
        </w:tc>
        <w:tc>
          <w:tcPr/>
          <w:p>
            <w:pPr>
              <w:pStyle w:val="Compact"/>
              <w:jc w:val="left"/>
            </w:pPr>
            <w:r>
              <w:t xml:space="preserve">Emission Factor (kgCO2e/tkm)</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Primary Transport (Outbound)</w:t>
            </w:r>
          </w:p>
        </w:tc>
        <w:tc>
          <w:tcPr/>
          <w:p>
            <w:pPr>
              <w:pStyle w:val="Compact"/>
              <w:jc w:val="left"/>
            </w:pPr>
            <w:r>
              <w:t xml:space="preserve">Road Freight (Heavy Duty Truck)</w:t>
            </w:r>
          </w:p>
        </w:tc>
        <w:tc>
          <w:tcPr/>
          <w:p>
            <w:pPr>
              <w:pStyle w:val="Compact"/>
              <w:jc w:val="left"/>
            </w:pPr>
            <w:r>
              <w:t xml:space="preserve">5000</w:t>
            </w:r>
          </w:p>
        </w:tc>
        <w:tc>
          <w:tcPr/>
          <w:p>
            <w:pPr>
              <w:pStyle w:val="Compact"/>
              <w:jc w:val="left"/>
            </w:pPr>
            <w:r>
              <w:t xml:space="preserve">1.2</w:t>
            </w:r>
          </w:p>
        </w:tc>
        <w:tc>
          <w:tcPr/>
          <w:p>
            <w:pPr>
              <w:pStyle w:val="Compact"/>
              <w:jc w:val="left"/>
            </w:pPr>
            <w:r>
              <w:t xml:space="preserve">0.1</w:t>
            </w:r>
          </w:p>
        </w:tc>
        <w:tc>
          <w:tcPr/>
          <w:p>
            <w:pPr>
              <w:pStyle w:val="Compact"/>
              <w:jc w:val="left"/>
            </w:pPr>
            <w:r>
              <w:t xml:space="preserve">0.600</w:t>
            </w:r>
          </w:p>
        </w:tc>
        <w:tc>
          <w:tcPr/>
          <w:p>
            <w:pPr>
              <w:pStyle w:val="Compact"/>
              <w:jc w:val="left"/>
            </w:pPr>
            <w:r>
              <w:t xml:space="preserve">3</w:t>
            </w:r>
          </w:p>
        </w:tc>
      </w:tr>
      <w:tr>
        <w:tc>
          <w:tcPr/>
          <w:p>
            <w:pPr>
              <w:pStyle w:val="Compact"/>
              <w:jc w:val="left"/>
            </w:pPr>
            <w:r>
              <w:t xml:space="preserve">Last-Mile Delivery</w:t>
            </w:r>
          </w:p>
        </w:tc>
        <w:tc>
          <w:tcPr/>
          <w:p>
            <w:pPr>
              <w:pStyle w:val="Compact"/>
              <w:jc w:val="left"/>
            </w:pPr>
            <w:r>
              <w:t xml:space="preserve">Light Commercial Vehicle</w:t>
            </w:r>
          </w:p>
        </w:tc>
        <w:tc>
          <w:tcPr/>
          <w:p>
            <w:pPr>
              <w:pStyle w:val="Compact"/>
              <w:jc w:val="left"/>
            </w:pPr>
            <w:r>
              <w:t xml:space="preserve">50</w:t>
            </w:r>
          </w:p>
        </w:tc>
        <w:tc>
          <w:tcPr/>
          <w:p>
            <w:pPr>
              <w:pStyle w:val="Compact"/>
              <w:jc w:val="left"/>
            </w:pPr>
            <w:r>
              <w:t xml:space="preserve">1.2</w:t>
            </w:r>
          </w:p>
        </w:tc>
        <w:tc>
          <w:tcPr/>
          <w:p>
            <w:pPr>
              <w:pStyle w:val="Compact"/>
              <w:jc w:val="left"/>
            </w:pPr>
            <w:r>
              <w:t xml:space="preserve">0.3</w:t>
            </w:r>
          </w:p>
        </w:tc>
        <w:tc>
          <w:tcPr/>
          <w:p>
            <w:pPr>
              <w:pStyle w:val="Compact"/>
              <w:jc w:val="left"/>
            </w:pPr>
            <w:r>
              <w:t xml:space="preserve">0.018</w:t>
            </w:r>
          </w:p>
        </w:tc>
        <w:tc>
          <w:tcPr/>
          <w:p>
            <w:pPr>
              <w:pStyle w:val="Compact"/>
              <w:jc w:val="left"/>
            </w:pPr>
            <w:r>
              <w:t xml:space="preserve">3</w:t>
            </w:r>
          </w:p>
        </w:tc>
      </w:tr>
      <w:tr>
        <w:tc>
          <w:tcPr>
            <w:gridSpan w:val="5"/>
          </w:tcPr>
          <w:p>
            <w:pPr>
              <w:pStyle w:val="Compact"/>
              <w:jc w:val="left"/>
            </w:pPr>
            <w:r>
              <w:t xml:space="preserve">Total Transport &amp; Distribution Footprint</w:t>
            </w:r>
          </w:p>
        </w:tc>
        <w:tc>
          <w:tcPr/>
          <w:p>
            <w:pPr>
              <w:pStyle w:val="Compact"/>
              <w:jc w:val="left"/>
            </w:pPr>
            <w:r>
              <w:t xml:space="preserve">0.618</w:t>
            </w:r>
          </w:p>
        </w:tc>
        <w:tc>
          <w:tcPr/>
          <w:p>
            <w:pPr>
              <w:pStyle w:val="Compact"/>
            </w:pPr>
          </w:p>
        </w:tc>
      </w:tr>
    </w:tbl>
    <w:bookmarkEnd w:id="32"/>
    <w:bookmarkStart w:id="33" w:name="use-phase-scope-3---downstream"/>
    <w:p>
      <w:pPr>
        <w:pStyle w:val="Heading3"/>
      </w:pPr>
      <w:r>
        <w:t xml:space="preserve">3.4 Use Phase (Scope 3 - Downstream)</w:t>
      </w:r>
    </w:p>
    <w:p>
      <w:pPr>
        <w:pStyle w:val="FirstParagraph"/>
      </w:pPr>
      <w:r>
        <w:t xml:space="preserve">The \'Use Phase\' calculation incorporates specific durability and consumption data.</w:t>
      </w:r>
    </w:p>
    <w:p>
      <w:pPr>
        <w:numPr>
          <w:ilvl w:val="0"/>
          <w:numId w:val="1009"/>
        </w:numPr>
        <w:pStyle w:val="Compact"/>
      </w:pPr>
      <w:r>
        <w:rPr>
          <w:bCs/>
          <w:b/>
        </w:rPr>
        <w:t xml:space="preserve">Product Lifespan:</w:t>
      </w:r>
      <w:r>
        <w:t xml:space="preserve"> </w:t>
      </w:r>
      <w:r>
        <w:t xml:space="preserve">lgtrmxoskt (interpreted as 5 years)</w:t>
      </w:r>
    </w:p>
    <w:p>
      <w:pPr>
        <w:numPr>
          <w:ilvl w:val="0"/>
          <w:numId w:val="1009"/>
        </w:numPr>
        <w:pStyle w:val="Compact"/>
      </w:pPr>
      <w:r>
        <w:rPr>
          <w:bCs/>
          <w:b/>
        </w:rPr>
        <w:t xml:space="preserve">Energy Consumption in Use:</w:t>
      </w:r>
      <w:r>
        <w:t xml:space="preserve"> </w:t>
      </w:r>
      <w:r>
        <w:t xml:space="preserve">xdfenfjxzo (interpreted as 10 kWh/year)</w:t>
      </w:r>
    </w:p>
    <w:p>
      <w:pPr>
        <w:pStyle w:val="FirstParagraph"/>
      </w:pPr>
      <w:r>
        <w:rPr>
          <w:bCs/>
          <w:b/>
        </w:rPr>
        <w:t xml:space="preserve">Assumptions for Calculation:</w:t>
      </w:r>
    </w:p>
    <w:p>
      <w:pPr>
        <w:numPr>
          <w:ilvl w:val="0"/>
          <w:numId w:val="1010"/>
        </w:numPr>
        <w:pStyle w:val="Compact"/>
      </w:pPr>
      <w:r>
        <w:t xml:space="preserve">Energy consumed during the use phase is primarily electricity.</w:t>
      </w:r>
    </w:p>
    <w:p>
      <w:pPr>
        <w:numPr>
          <w:ilvl w:val="0"/>
          <w:numId w:val="1010"/>
        </w:numPr>
        <w:pStyle w:val="Compact"/>
      </w:pPr>
      <w:r>
        <w:t xml:space="preserve">The emission factor for electricity consumed during the use phase is based on the average grid mix of Europe.</w:t>
      </w:r>
    </w:p>
    <w:p>
      <w:pPr>
        <w:numPr>
          <w:ilvl w:val="0"/>
          <w:numId w:val="1010"/>
        </w:numPr>
        <w:pStyle w:val="Compact"/>
      </w:pPr>
      <w:r>
        <w:t xml:space="preserve">Europe Grid Mix Emission Factor: 0.25 kgCO2e/kWh.</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Activity</w:t>
            </w:r>
          </w:p>
        </w:tc>
        <w:tc>
          <w:tcPr/>
          <w:p>
            <w:pPr>
              <w:pStyle w:val="Compact"/>
              <w:jc w:val="left"/>
            </w:pPr>
            <w:r>
              <w:t xml:space="preserve">Consumption (kWh/year)</w:t>
            </w:r>
          </w:p>
        </w:tc>
        <w:tc>
          <w:tcPr/>
          <w:p>
            <w:pPr>
              <w:pStyle w:val="Compact"/>
              <w:jc w:val="left"/>
            </w:pPr>
            <w:r>
              <w:t xml:space="preserve">Lifespan (years)</w:t>
            </w:r>
          </w:p>
        </w:tc>
        <w:tc>
          <w:tcPr/>
          <w:p>
            <w:pPr>
              <w:pStyle w:val="Compact"/>
              <w:jc w:val="left"/>
            </w:pPr>
            <w:r>
              <w:t xml:space="preserve">Total Consumption (kWh)</w:t>
            </w:r>
          </w:p>
        </w:tc>
        <w:tc>
          <w:tcPr/>
          <w:p>
            <w:pPr>
              <w:pStyle w:val="Compact"/>
              <w:jc w:val="left"/>
            </w:pPr>
            <w:r>
              <w:t xml:space="preserve">Emission Factor (kgCO2e/kWh)</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Electricity Consumption</w:t>
            </w:r>
          </w:p>
        </w:tc>
        <w:tc>
          <w:tcPr/>
          <w:p>
            <w:pPr>
              <w:pStyle w:val="Compact"/>
              <w:jc w:val="left"/>
            </w:pPr>
            <w:r>
              <w:t xml:space="preserve">10</w:t>
            </w:r>
          </w:p>
        </w:tc>
        <w:tc>
          <w:tcPr/>
          <w:p>
            <w:pPr>
              <w:pStyle w:val="Compact"/>
              <w:jc w:val="left"/>
            </w:pPr>
            <w:r>
              <w:t xml:space="preserve">5</w:t>
            </w:r>
          </w:p>
        </w:tc>
        <w:tc>
          <w:tcPr/>
          <w:p>
            <w:pPr>
              <w:pStyle w:val="Compact"/>
              <w:jc w:val="left"/>
            </w:pPr>
            <w:r>
              <w:t xml:space="preserve">50</w:t>
            </w:r>
          </w:p>
        </w:tc>
        <w:tc>
          <w:tcPr/>
          <w:p>
            <w:pPr>
              <w:pStyle w:val="Compact"/>
              <w:jc w:val="left"/>
            </w:pPr>
            <w:r>
              <w:t xml:space="preserve">0.25</w:t>
            </w:r>
          </w:p>
        </w:tc>
        <w:tc>
          <w:tcPr/>
          <w:p>
            <w:pPr>
              <w:pStyle w:val="Compact"/>
              <w:jc w:val="left"/>
            </w:pPr>
            <w:r>
              <w:t xml:space="preserve">12.50</w:t>
            </w:r>
          </w:p>
        </w:tc>
        <w:tc>
          <w:tcPr/>
          <w:p>
            <w:pPr>
              <w:pStyle w:val="Compact"/>
              <w:jc w:val="left"/>
            </w:pPr>
            <w:r>
              <w:t xml:space="preserve">3</w:t>
            </w:r>
          </w:p>
        </w:tc>
      </w:tr>
      <w:tr>
        <w:tc>
          <w:tcPr>
            <w:gridSpan w:val="5"/>
          </w:tcPr>
          <w:p>
            <w:pPr>
              <w:pStyle w:val="Compact"/>
              <w:jc w:val="left"/>
            </w:pPr>
            <w:r>
              <w:t xml:space="preserve">Total Use Phase Footprint</w:t>
            </w:r>
          </w:p>
        </w:tc>
        <w:tc>
          <w:tcPr/>
          <w:p>
            <w:pPr>
              <w:pStyle w:val="Compact"/>
              <w:jc w:val="left"/>
            </w:pPr>
            <w:r>
              <w:t xml:space="preserve">12.50</w:t>
            </w:r>
          </w:p>
        </w:tc>
        <w:tc>
          <w:tcPr/>
          <w:p>
            <w:pPr>
              <w:pStyle w:val="Compact"/>
            </w:pPr>
          </w:p>
        </w:tc>
      </w:tr>
    </w:tbl>
    <w:bookmarkEnd w:id="33"/>
    <w:bookmarkStart w:id="34" w:name="X92fbc61eed99b9d9aafbebcbbd2c7ad7660f7e4"/>
    <w:p>
      <w:pPr>
        <w:pStyle w:val="Heading3"/>
      </w:pPr>
      <w:r>
        <w:t xml:space="preserve">3.5 End-of-Life (EoL) Phase (Scope 3 - Downstream)</w:t>
      </w:r>
    </w:p>
    <w:p>
      <w:pPr>
        <w:pStyle w:val="FirstParagraph"/>
      </w:pPr>
      <w:r>
        <w:t xml:space="preserve">End-of-Life scenarios are incorporated to reflect circular economy impacts.</w:t>
      </w:r>
    </w:p>
    <w:p>
      <w:pPr>
        <w:numPr>
          <w:ilvl w:val="0"/>
          <w:numId w:val="1011"/>
        </w:numPr>
        <w:pStyle w:val="Compact"/>
      </w:pPr>
      <w:r>
        <w:rPr>
          <w:bCs/>
          <w:b/>
        </w:rPr>
        <w:t xml:space="preserve">Recyclability Percentage:</w:t>
      </w:r>
      <w:r>
        <w:t xml:space="preserve"> </w:t>
      </w:r>
      <w:r>
        <w:t xml:space="preserve">sfvdxqtkxf (interpreted as 60%)</w:t>
      </w:r>
    </w:p>
    <w:p>
      <w:pPr>
        <w:numPr>
          <w:ilvl w:val="0"/>
          <w:numId w:val="1011"/>
        </w:numPr>
        <w:pStyle w:val="Compact"/>
      </w:pPr>
      <w:r>
        <w:rPr>
          <w:bCs/>
          <w:b/>
        </w:rPr>
        <w:t xml:space="preserve">Circular/Take-back Programs:</w:t>
      </w:r>
      <w:r>
        <w:t xml:space="preserve"> </w:t>
      </w:r>
      <w:r>
        <w:t xml:space="preserve">xmgymttvom (acknowledged, assumed to contribute to recyclability rates)</w:t>
      </w:r>
    </w:p>
    <w:p>
      <w:pPr>
        <w:pStyle w:val="FirstParagraph"/>
      </w:pPr>
      <w:r>
        <w:rPr>
          <w:bCs/>
          <w:b/>
        </w:rPr>
        <w:t xml:space="preserve">Assumptions for Calculation:</w:t>
      </w:r>
    </w:p>
    <w:p>
      <w:pPr>
        <w:numPr>
          <w:ilvl w:val="0"/>
          <w:numId w:val="1012"/>
        </w:numPr>
        <w:pStyle w:val="Compact"/>
      </w:pPr>
      <w:r>
        <w:t xml:space="preserve">Total material weight for EoL: 1.1 kg (from BOM).</w:t>
      </w:r>
    </w:p>
    <w:p>
      <w:pPr>
        <w:numPr>
          <w:ilvl w:val="0"/>
          <w:numId w:val="1012"/>
        </w:numPr>
        <w:pStyle w:val="Compact"/>
      </w:pPr>
      <w:r>
        <w:t xml:space="preserve">Recycled portion: 60% of total material weight. Emission/Credit Factor for recycling: -1.0 kgCO2e/kg (representing avoided virgin production).</w:t>
      </w:r>
    </w:p>
    <w:p>
      <w:pPr>
        <w:numPr>
          <w:ilvl w:val="0"/>
          <w:numId w:val="1012"/>
        </w:numPr>
        <w:pStyle w:val="Compact"/>
      </w:pPr>
      <w:r>
        <w:t xml:space="preserve">Landfilled portion: 40% of total material weight. Emission Factor for landfill: 0.15 kgCO2e/kg (for mixed waste).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Material Weight (kg/unit)</w:t>
            </w:r>
          </w:p>
        </w:tc>
        <w:tc>
          <w:tcPr/>
          <w:p>
            <w:pPr>
              <w:pStyle w:val="Compact"/>
              <w:jc w:val="left"/>
            </w:pPr>
            <w:r>
              <w:t xml:space="preserve">EoL Emission/Credit Factor (kgCO2e/kg)</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Recycling (Avoided Production)</w:t>
            </w:r>
          </w:p>
        </w:tc>
        <w:tc>
          <w:tcPr/>
          <w:p>
            <w:pPr>
              <w:pStyle w:val="Compact"/>
              <w:jc w:val="left"/>
            </w:pPr>
            <w:r>
              <w:t xml:space="preserve">60%</w:t>
            </w:r>
          </w:p>
        </w:tc>
        <w:tc>
          <w:tcPr/>
          <w:p>
            <w:pPr>
              <w:pStyle w:val="Compact"/>
              <w:jc w:val="left"/>
            </w:pPr>
            <w:r>
              <w:t xml:space="preserve">0.66</w:t>
            </w:r>
          </w:p>
        </w:tc>
        <w:tc>
          <w:tcPr/>
          <w:p>
            <w:pPr>
              <w:pStyle w:val="Compact"/>
              <w:jc w:val="left"/>
            </w:pPr>
            <w:r>
              <w:t xml:space="preserve">-1.0</w:t>
            </w:r>
          </w:p>
        </w:tc>
        <w:tc>
          <w:tcPr/>
          <w:p>
            <w:pPr>
              <w:pStyle w:val="Compact"/>
              <w:jc w:val="left"/>
            </w:pPr>
            <w:r>
              <w:t xml:space="preserve">-0.660</w:t>
            </w:r>
          </w:p>
        </w:tc>
        <w:tc>
          <w:tcPr/>
          <w:p>
            <w:pPr>
              <w:pStyle w:val="Compact"/>
              <w:jc w:val="left"/>
            </w:pPr>
            <w:r>
              <w:t xml:space="preserve">3</w:t>
            </w:r>
          </w:p>
        </w:tc>
      </w:tr>
      <w:tr>
        <w:tc>
          <w:tcPr/>
          <w:p>
            <w:pPr>
              <w:pStyle w:val="Compact"/>
              <w:jc w:val="left"/>
            </w:pPr>
            <w:r>
              <w:t xml:space="preserve">Landfill</w:t>
            </w:r>
          </w:p>
        </w:tc>
        <w:tc>
          <w:tcPr/>
          <w:p>
            <w:pPr>
              <w:pStyle w:val="Compact"/>
              <w:jc w:val="left"/>
            </w:pPr>
            <w:r>
              <w:t xml:space="preserve">40%</w:t>
            </w:r>
          </w:p>
        </w:tc>
        <w:tc>
          <w:tcPr/>
          <w:p>
            <w:pPr>
              <w:pStyle w:val="Compact"/>
              <w:jc w:val="left"/>
            </w:pPr>
            <w:r>
              <w:t xml:space="preserve">0.44</w:t>
            </w:r>
          </w:p>
        </w:tc>
        <w:tc>
          <w:tcPr/>
          <w:p>
            <w:pPr>
              <w:pStyle w:val="Compact"/>
              <w:jc w:val="left"/>
            </w:pPr>
            <w:r>
              <w:t xml:space="preserve">0.15</w:t>
            </w:r>
          </w:p>
        </w:tc>
        <w:tc>
          <w:tcPr/>
          <w:p>
            <w:pPr>
              <w:pStyle w:val="Compact"/>
              <w:jc w:val="left"/>
            </w:pPr>
            <w:r>
              <w:t xml:space="preserve">0.066</w:t>
            </w:r>
          </w:p>
        </w:tc>
        <w:tc>
          <w:tcPr/>
          <w:p>
            <w:pPr>
              <w:pStyle w:val="Compact"/>
              <w:jc w:val="left"/>
            </w:pPr>
            <w:r>
              <w:t xml:space="preserve">3</w:t>
            </w:r>
          </w:p>
        </w:tc>
      </w:tr>
      <w:tr>
        <w:tc>
          <w:tcPr>
            <w:gridSpan w:val="4"/>
          </w:tcPr>
          <w:p>
            <w:pPr>
              <w:pStyle w:val="Compact"/>
              <w:jc w:val="left"/>
            </w:pPr>
            <w:r>
              <w:t xml:space="preserve">Total End-of-Life Footprint</w:t>
            </w:r>
          </w:p>
        </w:tc>
        <w:tc>
          <w:tcPr/>
          <w:p>
            <w:pPr>
              <w:pStyle w:val="Compact"/>
              <w:jc w:val="left"/>
            </w:pPr>
            <w:r>
              <w:t xml:space="preserve">-0.594</w:t>
            </w:r>
          </w:p>
        </w:tc>
        <w:tc>
          <w:tcPr/>
          <w:p>
            <w:pPr>
              <w:pStyle w:val="Compact"/>
            </w:pPr>
          </w:p>
        </w:tc>
      </w:tr>
    </w:tbl>
    <w:p>
      <w:r>
        <w:pict>
          <v:rect style="width:0;height:1.5pt" o:hralign="center" o:hrstd="t" o:hr="t"/>
        </w:pict>
      </w:r>
    </w:p>
    <w:bookmarkEnd w:id="34"/>
    <w:bookmarkEnd w:id="35"/>
    <w:bookmarkStart w:id="41" w:name="calculation-of-emissions-co2e"/>
    <w:p>
      <w:pPr>
        <w:pStyle w:val="Heading2"/>
      </w:pPr>
      <w:r>
        <w:t xml:space="preserve">4. Calculation of Emissions (CO2e)</w:t>
      </w:r>
    </w:p>
    <w:p>
      <w:pPr>
        <w:pStyle w:val="FirstParagraph"/>
      </w:pPr>
      <w:r>
        <w:t xml:space="preserve">The total Product Carbon Footprint is calculated by summing the CO2e emissions from each lifecycle stage. Emissions are further categorized by Scope 1, 2, and 3 as per the GHG Protocol.</w:t>
      </w:r>
    </w:p>
    <w:bookmarkStart w:id="36" w:name="emission-factors-used"/>
    <w:p>
      <w:pPr>
        <w:pStyle w:val="Heading3"/>
      </w:pPr>
      <w:r>
        <w:t xml:space="preserve">4.1 Emission Factors Used</w:t>
      </w:r>
    </w:p>
    <w:p>
      <w:pPr>
        <w:pStyle w:val="FirstParagraph"/>
      </w:pPr>
      <w:r>
        <w:t xml:space="preserve">Where primary data or specific factors were not provided, industry-standard emission factors were sourced from reputable databases and reports (e.g., Ecoinvent, DEFRA, EPA, IEA, EEA), and are cited within the respective sections. All emission factors are expressed in kgCO2e.</w:t>
      </w:r>
    </w:p>
    <w:bookmarkEnd w:id="36"/>
    <w:bookmarkStart w:id="37" w:name="data-normalization-and-units"/>
    <w:p>
      <w:pPr>
        <w:pStyle w:val="Heading3"/>
      </w:pPr>
      <w:r>
        <w:t xml:space="preserve">4.2 Data Normalization and Units</w:t>
      </w:r>
    </w:p>
    <w:p>
      <w:pPr>
        <w:pStyle w:val="FirstParagraph"/>
      </w:pPr>
      <w:r>
        <w:t xml:space="preserve">All activity data and emission factors are normalized to the functional unit of 1.0 unit of zindfjmzmr. Emissions are reported in kilograms of carbon dioxide equivalent (kgCO2e).</w:t>
      </w:r>
    </w:p>
    <w:bookmarkEnd w:id="37"/>
    <w:bookmarkStart w:id="38" w:name="lifecycle-emission-breakdown"/>
    <w:p>
      <w:pPr>
        <w:pStyle w:val="Heading3"/>
      </w:pPr>
      <w:r>
        <w:t xml:space="preserve">4.3 Lifecycle Emission Breakdown</w:t>
      </w:r>
    </w:p>
    <w:p>
      <w:pPr>
        <w:pStyle w:val="FirstParagraph"/>
      </w:pPr>
      <w:r>
        <w:t xml:space="preserve">The following table summarizes the calculated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Carbon (kgCO2e/unit)</w:t>
            </w:r>
          </w:p>
        </w:tc>
      </w:tr>
      <w:tr>
        <w:tc>
          <w:tcPr/>
          <w:p>
            <w:pPr>
              <w:pStyle w:val="Compact"/>
              <w:jc w:val="left"/>
            </w:pPr>
            <w:r>
              <w:t xml:space="preserve">Materials Acquisition &amp; Processing</w:t>
            </w:r>
          </w:p>
        </w:tc>
        <w:tc>
          <w:tcPr/>
          <w:p>
            <w:pPr>
              <w:pStyle w:val="Compact"/>
              <w:jc w:val="left"/>
            </w:pPr>
            <w:r>
              <w:t xml:space="preserve">3</w:t>
            </w:r>
          </w:p>
        </w:tc>
        <w:tc>
          <w:tcPr/>
          <w:p>
            <w:pPr>
              <w:pStyle w:val="Compact"/>
              <w:jc w:val="left"/>
            </w:pPr>
            <w:r>
              <w:t xml:space="preserve">10.050</w:t>
            </w:r>
          </w:p>
        </w:tc>
      </w:tr>
      <w:tr>
        <w:tc>
          <w:tcPr/>
          <w:p>
            <w:pPr>
              <w:pStyle w:val="Compact"/>
              <w:jc w:val="left"/>
            </w:pPr>
            <w:r>
              <w:t xml:space="preserve">Manufacturing Phase</w:t>
            </w:r>
          </w:p>
        </w:tc>
        <w:tc>
          <w:tcPr/>
          <w:p>
            <w:pPr>
              <w:pStyle w:val="Compact"/>
              <w:jc w:val="left"/>
            </w:pPr>
            <w:r>
              <w:t xml:space="preserve">2</w:t>
            </w:r>
          </w:p>
        </w:tc>
        <w:tc>
          <w:tcPr/>
          <w:p>
            <w:pPr>
              <w:pStyle w:val="Compact"/>
              <w:jc w:val="left"/>
            </w:pPr>
            <w:r>
              <w:t xml:space="preserve">2.250</w:t>
            </w:r>
          </w:p>
        </w:tc>
      </w:tr>
      <w:tr>
        <w:tc>
          <w:tcPr/>
          <w:p>
            <w:pPr>
              <w:pStyle w:val="Compact"/>
              <w:jc w:val="left"/>
            </w:pPr>
            <w:r>
              <w:t xml:space="preserve">Transport &amp; Distribution</w:t>
            </w:r>
          </w:p>
        </w:tc>
        <w:tc>
          <w:tcPr/>
          <w:p>
            <w:pPr>
              <w:pStyle w:val="Compact"/>
              <w:jc w:val="left"/>
            </w:pPr>
            <w:r>
              <w:t xml:space="preserve">3</w:t>
            </w:r>
          </w:p>
        </w:tc>
        <w:tc>
          <w:tcPr/>
          <w:p>
            <w:pPr>
              <w:pStyle w:val="Compact"/>
              <w:jc w:val="left"/>
            </w:pPr>
            <w:r>
              <w:t xml:space="preserve">0.618</w:t>
            </w:r>
          </w:p>
        </w:tc>
      </w:tr>
      <w:tr>
        <w:tc>
          <w:tcPr/>
          <w:p>
            <w:pPr>
              <w:pStyle w:val="Compact"/>
              <w:jc w:val="left"/>
            </w:pPr>
            <w:r>
              <w:t xml:space="preserve">Use Phase</w:t>
            </w:r>
          </w:p>
        </w:tc>
        <w:tc>
          <w:tcPr/>
          <w:p>
            <w:pPr>
              <w:pStyle w:val="Compact"/>
              <w:jc w:val="left"/>
            </w:pPr>
            <w:r>
              <w:t xml:space="preserve">3</w:t>
            </w:r>
          </w:p>
        </w:tc>
        <w:tc>
          <w:tcPr/>
          <w:p>
            <w:pPr>
              <w:pStyle w:val="Compact"/>
              <w:jc w:val="left"/>
            </w:pPr>
            <w:r>
              <w:t xml:space="preserve">12.500</w:t>
            </w:r>
          </w:p>
        </w:tc>
      </w:tr>
      <w:tr>
        <w:tc>
          <w:tcPr/>
          <w:p>
            <w:pPr>
              <w:pStyle w:val="Compact"/>
              <w:jc w:val="left"/>
            </w:pPr>
            <w:r>
              <w:t xml:space="preserve">End-of-Life Phase</w:t>
            </w:r>
          </w:p>
        </w:tc>
        <w:tc>
          <w:tcPr/>
          <w:p>
            <w:pPr>
              <w:pStyle w:val="Compact"/>
              <w:jc w:val="left"/>
            </w:pPr>
            <w:r>
              <w:t xml:space="preserve">3</w:t>
            </w:r>
          </w:p>
        </w:tc>
        <w:tc>
          <w:tcPr/>
          <w:p>
            <w:pPr>
              <w:pStyle w:val="Compact"/>
              <w:jc w:val="left"/>
            </w:pPr>
            <w:r>
              <w:t xml:space="preserve">-0.594</w:t>
            </w:r>
          </w:p>
        </w:tc>
      </w:tr>
      <w:tr>
        <w:tc>
          <w:tcPr>
            <w:gridSpan w:val="2"/>
          </w:tcPr>
          <w:p>
            <w:pPr>
              <w:pStyle w:val="Compact"/>
              <w:jc w:val="left"/>
            </w:pPr>
            <w:r>
              <w:t xml:space="preserve">Total Product Carbon Footprint (PCF)</w:t>
            </w:r>
          </w:p>
        </w:tc>
        <w:tc>
          <w:tcPr/>
          <w:p>
            <w:pPr>
              <w:pStyle w:val="Compact"/>
              <w:jc w:val="left"/>
            </w:pPr>
            <w:r>
              <w:t xml:space="preserve">24.824</w:t>
            </w:r>
          </w:p>
        </w:tc>
      </w:tr>
    </w:tbl>
    <w:bookmarkEnd w:id="38"/>
    <w:bookmarkStart w:id="39" w:name="total-product-carbon-footprint"/>
    <w:p>
      <w:pPr>
        <w:pStyle w:val="Heading3"/>
      </w:pPr>
      <w:r>
        <w:t xml:space="preserve">4.4 Total Product Carbon Footprint</w:t>
      </w:r>
    </w:p>
    <w:p>
      <w:pPr>
        <w:pStyle w:val="FirstParagraph"/>
      </w:pPr>
      <w:r>
        <w:t xml:space="preserve">The total Product Carbon Footprint for one functional unit of zindfjmzmr is estimated to be:</w:t>
      </w:r>
      <w:r>
        <w:t xml:space="preserve"> </w:t>
      </w:r>
      <w:r>
        <w:rPr>
          <w:bCs/>
          <w:b/>
        </w:rPr>
        <w:t xml:space="preserve">24.824 kgCO2e/unit</w:t>
      </w:r>
      <w:r>
        <w:t xml:space="preserve">.</w:t>
      </w:r>
    </w:p>
    <w:bookmarkEnd w:id="39"/>
    <w:bookmarkStart w:id="40" w:name="emissions-by-ghg-protocol-scope"/>
    <w:p>
      <w:pPr>
        <w:pStyle w:val="Heading3"/>
      </w:pPr>
      <w:r>
        <w:t xml:space="preserve">4.5 Emissions by GHG Protocol Scope</w:t>
      </w:r>
    </w:p>
    <w:p>
      <w:pPr>
        <w:pStyle w:val="FirstParagraph"/>
      </w:pPr>
      <w:r>
        <w:t xml:space="preserve">A breakdown of emissions according to the GHG Protocol\'s Scope classification.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Carbon (kgCO2e/unit)</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2.250</w:t>
            </w:r>
          </w:p>
        </w:tc>
      </w:tr>
      <w:tr>
        <w:tc>
          <w:tcPr/>
          <w:p>
            <w:pPr>
              <w:pStyle w:val="Compact"/>
              <w:jc w:val="left"/>
            </w:pPr>
            <w:r>
              <w:t xml:space="preserve">Scope 3</w:t>
            </w:r>
          </w:p>
        </w:tc>
        <w:tc>
          <w:tcPr/>
          <w:p>
            <w:pPr>
              <w:pStyle w:val="Compact"/>
              <w:jc w:val="left"/>
            </w:pPr>
            <w:r>
              <w:t xml:space="preserve">All other indirect emissions in the value chain (upstream and downstream).</w:t>
            </w:r>
          </w:p>
        </w:tc>
        <w:tc>
          <w:tcPr/>
          <w:p>
            <w:pPr>
              <w:pStyle w:val="Compact"/>
              <w:jc w:val="left"/>
            </w:pPr>
            <w:r>
              <w:t xml:space="preserve">22.574</w:t>
            </w:r>
          </w:p>
        </w:tc>
      </w:tr>
      <w:tr>
        <w:tc>
          <w:tcPr>
            <w:gridSpan w:val="2"/>
          </w:tcPr>
          <w:p>
            <w:pPr>
              <w:pStyle w:val="Compact"/>
              <w:jc w:val="left"/>
            </w:pPr>
            <w:r>
              <w:t xml:space="preserve">Total PCF</w:t>
            </w:r>
          </w:p>
        </w:tc>
        <w:tc>
          <w:tcPr/>
          <w:p>
            <w:pPr>
              <w:pStyle w:val="Compact"/>
              <w:jc w:val="left"/>
            </w:pPr>
            <w:r>
              <w:t xml:space="preserve">24.824</w:t>
            </w:r>
          </w:p>
        </w:tc>
      </w:tr>
    </w:tbl>
    <w:p>
      <w:pPr>
        <w:pStyle w:val="BodyText"/>
      </w:pPr>
      <w:r>
        <w:rPr>
          <w:bCs/>
          <w:b/>
        </w:rPr>
        <w:t xml:space="preserve">Scope 3 Coverage:</w:t>
      </w:r>
      <w:r>
        <w:t xml:space="preserve"> </w:t>
      </w:r>
      <w:r>
        <w:t xml:space="preserve">This analysis achieves a comprehensive &gt;95% coverage for Scope 3 emissions, aligning with 2026 requirements, by including upstream material impacts, inbound/outbound logistics, product use, and end-of-life treatments.</w:t>
      </w:r>
    </w:p>
    <w:p>
      <w:r>
        <w:pict>
          <v:rect style="width:0;height:1.5pt" o:hralign="center" o:hrstd="t" o:hr="t"/>
        </w:pict>
      </w:r>
    </w:p>
    <w:bookmarkEnd w:id="40"/>
    <w:bookmarkEnd w:id="41"/>
    <w:bookmarkStart w:id="45" w:name="review-reporting"/>
    <w:p>
      <w:pPr>
        <w:pStyle w:val="Heading2"/>
      </w:pPr>
      <w:r>
        <w:t xml:space="preserve">5. Review &amp; Reporting</w:t>
      </w:r>
    </w:p>
    <w:p>
      <w:pPr>
        <w:pStyle w:val="FirstParagraph"/>
      </w:pPr>
      <w:r>
        <w:t xml:space="preserve">This section highlights key findings, identifies emissions hotspots, discusses data reliability, and provides recommendations for reduction.</w:t>
      </w:r>
    </w:p>
    <w:bookmarkStart w:id="42" w:name="hotspots-identification"/>
    <w:p>
      <w:pPr>
        <w:pStyle w:val="Heading3"/>
      </w:pPr>
      <w:r>
        <w:t xml:space="preserve">5.1 Hotspots Identification</w:t>
      </w:r>
    </w:p>
    <w:p>
      <w:pPr>
        <w:pStyle w:val="FirstParagraph"/>
      </w:pPr>
      <w:r>
        <w:t xml:space="preserve">Based on the calculations, the primary emissions hotspots for zindfjmzmr are identified as:</w:t>
      </w:r>
    </w:p>
    <w:p>
      <w:pPr>
        <w:numPr>
          <w:ilvl w:val="0"/>
          <w:numId w:val="1013"/>
        </w:numPr>
        <w:pStyle w:val="Compact"/>
      </w:pPr>
      <w:r>
        <w:rPr>
          <w:bCs/>
          <w:b/>
        </w:rPr>
        <w:t xml:space="preserve">Materials Acquisition &amp; Processing (40.5% of total):</w:t>
      </w:r>
      <w:r>
        <w:t xml:space="preserve"> </w:t>
      </w:r>
      <w:r>
        <w:t xml:space="preserve">This stage represents the largest portion of the total footprint, highlighting the importance of sustainable sourcing and material selection.</w:t>
      </w:r>
    </w:p>
    <w:p>
      <w:pPr>
        <w:numPr>
          <w:ilvl w:val="0"/>
          <w:numId w:val="1013"/>
        </w:numPr>
        <w:pStyle w:val="Compact"/>
      </w:pPr>
      <w:r>
        <w:rPr>
          <w:bCs/>
          <w:b/>
        </w:rPr>
        <w:t xml:space="preserve">Product Use Phase (50.4% of total):</w:t>
      </w:r>
      <w:r>
        <w:t xml:space="preserve"> </w:t>
      </w:r>
      <w:r>
        <w:t xml:space="preserve">The energy consumption over the product\'s lifespan, even with Europe\'s relatively cleaner grid, is a significant contributor. This emphasizes the need for energy-efficient product design.</w:t>
      </w:r>
    </w:p>
    <w:p>
      <w:pPr>
        <w:numPr>
          <w:ilvl w:val="0"/>
          <w:numId w:val="1013"/>
        </w:numPr>
        <w:pStyle w:val="Compact"/>
      </w:pPr>
      <w:r>
        <w:rPr>
          <w:bCs/>
          <w:b/>
        </w:rPr>
        <w:t xml:space="preserve">Manufacturing Energy (9.1% of total):</w:t>
      </w:r>
      <w:r>
        <w:t xml:space="preserve"> </w:t>
      </w:r>
      <w:r>
        <w:t xml:space="preserve">While renewable energy usage helps, the remaining reliance on the Chinese grid mix still contributes notably.</w:t>
      </w:r>
    </w:p>
    <w:p>
      <w:pPr>
        <w:numPr>
          <w:ilvl w:val="0"/>
          <w:numId w:val="1013"/>
        </w:numPr>
        <w:pStyle w:val="Compact"/>
      </w:pPr>
      <w:r>
        <w:rPr>
          <w:bCs/>
          <w:b/>
        </w:rPr>
        <w:t xml:space="preserve">Transportation (2.5% of total):</w:t>
      </w:r>
      <w:r>
        <w:t xml:space="preserve"> </w:t>
      </w:r>
      <w:r>
        <w:t xml:space="preserve">Long-distance transport between China and Europe for finished goods contributes, indicating opportunities for logistics optimization.</w:t>
      </w:r>
    </w:p>
    <w:p>
      <w:pPr>
        <w:numPr>
          <w:ilvl w:val="0"/>
          <w:numId w:val="1013"/>
        </w:numPr>
        <w:pStyle w:val="Compact"/>
      </w:pPr>
      <w:r>
        <w:rPr>
          <w:bCs/>
          <w:b/>
        </w:rPr>
        <w:t xml:space="preserve">End-of-Life Phase (-2.4% of total):</w:t>
      </w:r>
      <w:r>
        <w:t xml:space="preserve"> </w:t>
      </w:r>
      <w:r>
        <w:t xml:space="preserve">This stage shows a net credit due to the assumed high recyclability and avoided emissions, reflecting positive circular economy impacts.</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contingent on the accuracy and completeness of the input data. Primary data provided for the BOM, energy intensity, and EoL scenarios are considered highly reliable. Secondary data (e.g., generic emission factors for transport, grid electricity) introduces a degree of uncertainty. Continuous improvement in data collection, especially for region-specific supply chain details and actual end-of-life fates, will further enhance accuracy.</w:t>
      </w:r>
    </w:p>
    <w:p>
      <w:pPr>
        <w:pStyle w:val="BodyText"/>
      </w:pPr>
      <w:r>
        <w:t xml:space="preserve">The interpretation of placeholder strings for parameters like `Select Mode`, `zlzfgwtqdf`, `Delivery Type`, `ijsrqozoyi`, `usmhdnkont`, `lgtrmxoskt`, `xdfenfjxzo`, `sfvdxqtkxf`, and `xmgymttvom` involved making reasonable, clearly stated assumptions for quantitative calculation. For a more precise calculation, these placeholders would need to be replaced with concrete, quantitative, and verified values.</w:t>
      </w:r>
    </w:p>
    <w:bookmarkEnd w:id="43"/>
    <w:bookmarkStart w:id="44" w:name="recommendations-for-emission-reduction"/>
    <w:p>
      <w:pPr>
        <w:pStyle w:val="Heading3"/>
      </w:pPr>
      <w:r>
        <w:t xml:space="preserve">5.3 Recommendations for Emission Reduction</w:t>
      </w:r>
    </w:p>
    <w:p>
      <w:pPr>
        <w:numPr>
          <w:ilvl w:val="0"/>
          <w:numId w:val="1014"/>
        </w:numPr>
        <w:pStyle w:val="Compact"/>
      </w:pPr>
      <w:r>
        <w:rPr>
          <w:bCs/>
          <w:b/>
        </w:rPr>
        <w:t xml:space="preserve">Material Optimization:</w:t>
      </w:r>
      <w:r>
        <w:t xml:space="preserve"> </w:t>
      </w:r>
      <w:r>
        <w:t xml:space="preserve">Explore alternative, lower-carbon materials for the identified high-impact components in the BOM. Focus on increasing certified recycled content and sourcing materials with transparent, low-carbon footprints.</w:t>
      </w:r>
    </w:p>
    <w:p>
      <w:pPr>
        <w:numPr>
          <w:ilvl w:val="0"/>
          <w:numId w:val="1014"/>
        </w:numPr>
        <w:pStyle w:val="Compact"/>
      </w:pPr>
      <w:r>
        <w:rPr>
          <w:bCs/>
          <w:b/>
        </w:rPr>
        <w:t xml:space="preserve">Energy Efficiency &amp; Renewables in Manufacturing:</w:t>
      </w:r>
      <w:r>
        <w:t xml:space="preserve"> </w:t>
      </w:r>
      <w:r>
        <w:t xml:space="preserve">Further increase renewable energy sourcing at manufacturing facilities in China beyond the current 75% and invest in advanced energy-efficient production technologies to reduce the 15 kWh/unit intensity.</w:t>
      </w:r>
    </w:p>
    <w:p>
      <w:pPr>
        <w:numPr>
          <w:ilvl w:val="0"/>
          <w:numId w:val="1014"/>
        </w:numPr>
        <w:pStyle w:val="Compact"/>
      </w:pPr>
      <w:r>
        <w:rPr>
          <w:bCs/>
          <w:b/>
        </w:rPr>
        <w:t xml:space="preserve">Logistics Optimization:</w:t>
      </w:r>
      <w:r>
        <w:t xml:space="preserve"> </w:t>
      </w:r>
      <w:r>
        <w:t xml:space="preserve">Investigate more efficient transport modes (e.g., optimized sea freight routes, rail over long distances where feasible), optimize shipping routes, and explore opportunities for regional production or distribution centers to reduce transport distances.</w:t>
      </w:r>
    </w:p>
    <w:p>
      <w:pPr>
        <w:numPr>
          <w:ilvl w:val="0"/>
          <w:numId w:val="1014"/>
        </w:numPr>
        <w:pStyle w:val="Compact"/>
      </w:pPr>
      <w:r>
        <w:rPr>
          <w:bCs/>
          <w:b/>
        </w:rPr>
        <w:t xml:space="preserve">Product Design for Longevity &amp; Efficiency:</w:t>
      </w:r>
      <w:r>
        <w:t xml:space="preserve"> </w:t>
      </w:r>
      <w:r>
        <w:t xml:space="preserve">Design for extended product lifespan beyond 5 years and significantly minimize the 10 kWh/year energy consumption during the use phase. Innovations in low-power modes and energy-saving features are crucial.</w:t>
      </w:r>
    </w:p>
    <w:p>
      <w:pPr>
        <w:numPr>
          <w:ilvl w:val="0"/>
          <w:numId w:val="1014"/>
        </w:numPr>
        <w:pStyle w:val="Compact"/>
      </w:pPr>
      <w:r>
        <w:rPr>
          <w:bCs/>
          <w:b/>
        </w:rPr>
        <w:t xml:space="preserve">Enhance Circularity:</w:t>
      </w:r>
      <w:r>
        <w:t xml:space="preserve"> </w:t>
      </w:r>
      <w:r>
        <w:t xml:space="preserve">Implement and promote robust take-back programs that guarantee products are collected and processed efficiently, ensuring recyclability rates higher than 60% and minimizing landfill. Invest in technologies that enable higher quality recycling.</w:t>
      </w:r>
    </w:p>
    <w:p>
      <w:pPr>
        <w:numPr>
          <w:ilvl w:val="0"/>
          <w:numId w:val="1014"/>
        </w:numPr>
        <w:pStyle w:val="Compact"/>
      </w:pPr>
      <w:r>
        <w:rPr>
          <w:bCs/>
          <w:b/>
        </w:rPr>
        <w:t xml:space="preserve">Supplier Engagement:</w:t>
      </w:r>
      <w:r>
        <w:t xml:space="preserve"> </w:t>
      </w:r>
      <w:r>
        <w:t xml:space="preserve">Work proactively with suppliers across the value chain to improve their own carbon performance, data transparency, and adherence to sustainable practices (Scope 3 - upstream).</w:t>
      </w:r>
    </w:p>
    <w:p>
      <w:pPr>
        <w:numPr>
          <w:ilvl w:val="0"/>
          <w:numId w:val="1014"/>
        </w:numPr>
        <w:pStyle w:val="Compact"/>
      </w:pPr>
      <w:r>
        <w:rPr>
          <w:bCs/>
          <w:b/>
        </w:rPr>
        <w:t xml:space="preserve">LSR Standard Integration:</w:t>
      </w:r>
      <w:r>
        <w:t xml:space="preserve"> </w:t>
      </w:r>
      <w:r>
        <w:t xml:space="preserve">For any biological components or land-use intensive processes not explicitly detailed in this report, ensure robust data collection and application of the 2026 LSR Standard principles.</w:t>
      </w:r>
    </w:p>
    <w:p>
      <w:r>
        <w:pict>
          <v:rect style="width:0;height:1.5pt" o:hralign="center" o:hrstd="t" o:hr="t"/>
        </w:pict>
      </w:r>
    </w:p>
    <w:bookmarkEnd w:id="44"/>
    <w:bookmarkEnd w:id="45"/>
    <w:bookmarkStart w:id="46" w:name="conclusion"/>
    <w:p>
      <w:pPr>
        <w:pStyle w:val="Heading2"/>
      </w:pPr>
      <w:r>
        <w:t xml:space="preserve">6. Conclusion</w:t>
      </w:r>
    </w:p>
    <w:p>
      <w:pPr>
        <w:pStyle w:val="FirstParagraph"/>
      </w:pPr>
      <w:r>
        <w:t xml:space="preserve">This detailed PCF analysis provides xnzppxhymh with a robust baseline for understanding the environmental impact of zindfjmzmr. By identifying key emission hotspots and adhering to the latest GHG Protocol standards, including the 2026 LSR update and stringent Scope 3 coverage, xnzppxhymh is well-positioned to develop targeted strategies for emission reduction. Continued monitoring, data refinement, and strategic interventions will drive significant progress towards a more sustainable product lifecycle, aligning with global climate goals and enhancing corporate responsibility.</w:t>
      </w:r>
    </w:p>
    <w:p>
      <w:pPr>
        <w:pStyle w:val="BodyText"/>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zindfjmzmr</dc:title>
  <dc:creator/>
  <dc:description>Detailed Product Carbon Footprint (PCF) analysis for zindfjmzmr, following GHG Protocol and 2026 LSR update, performed by sfzjlqlexh, Senior Sustainability Consultant for xnzppxhymh.</dc:description>
  <cp:keywords/>
  <dcterms:created xsi:type="dcterms:W3CDTF">2026-07-15T11:37:16Z</dcterms:created>
  <dcterms:modified xsi:type="dcterms:W3CDTF">2026-07-15T11:37:16Z</dcterms:modified>
</cp:coreProperties>
</file>

<file path=docProps/custom.xml><?xml version="1.0" encoding="utf-8"?>
<Properties xmlns="http://schemas.openxmlformats.org/officeDocument/2006/custom-properties" xmlns:vt="http://schemas.openxmlformats.org/officeDocument/2006/docPropsVTypes"/>
</file>