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zgqufokdlj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zgqufokdlj</w:t>
      </w:r>
    </w:p>
    <w:p>
      <w:pPr>
        <w:pStyle w:val="BodyText"/>
      </w:pPr>
      <w:r>
        <w:rPr>
          <w:bCs/>
          <w:b/>
        </w:rPr>
        <w:t xml:space="preserve">Company:</w:t>
      </w:r>
      <w:r>
        <w:t xml:space="preserve"> </w:t>
      </w:r>
      <w:r>
        <w:t xml:space="preserve">zqzzrmfmfd</w:t>
      </w:r>
    </w:p>
    <w:p>
      <w:pPr>
        <w:pStyle w:val="BodyText"/>
      </w:pPr>
      <w:r>
        <w:rPr>
          <w:bCs/>
          <w:b/>
        </w:rPr>
        <w:t xml:space="preserve">Senior Sustainability Consultant:</w:t>
      </w:r>
      <w:r>
        <w:t xml:space="preserve"> </w:t>
      </w:r>
      <w:r>
        <w:t xml:space="preserve">dmtexrvmeu</w:t>
      </w:r>
    </w:p>
    <w:p>
      <w:pPr>
        <w:pStyle w:val="BodyText"/>
      </w:pPr>
      <w:r>
        <w:rPr>
          <w:bCs/>
          <w:b/>
        </w:rPr>
        <w:t xml:space="preserve">Protocol Data (Accounting Standard):</w:t>
      </w:r>
      <w:r>
        <w:t xml:space="preserve"> </w:t>
      </w:r>
      <w:r>
        <w:t xml:space="preserve">GHG Protocol</w:t>
      </w:r>
    </w:p>
    <w:p>
      <w:pPr>
        <w:pStyle w:val="BodyText"/>
      </w:pPr>
      <w:r>
        <w:t xml:space="preserve">This report provides a Product Carbon Footprint (PCF) analysis based on available data and industry standards, adhering to the Greenhouse Gas (GHG) Protocol. While every effort has been made to ensure accuracy, the calculations presented are illustrative where specific data was provided as placeholders. Actual, precise data is required for definitive results.</w:t>
      </w:r>
    </w:p>
    <w:bookmarkEnd w:id="20"/>
    <w:bookmarkStart w:id="41" w:name="Xe7be12de5a524ed14e228c512ee299d3bcc06bc"/>
    <w:p>
      <w:pPr>
        <w:pStyle w:val="Heading1"/>
      </w:pPr>
      <w:r>
        <w:t xml:space="preserve">Product Carbon Footprint Analysis Report - zgqufokdlj</w:t>
      </w:r>
    </w:p>
    <w:p>
      <w:pPr>
        <w:pStyle w:val="FirstParagraph"/>
      </w:pPr>
      <w:r>
        <w:t xml:space="preserve">Generated Date: 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zgqufokdlj, manufactured by zqzzrmfmfd. The assessment adheres strictly to the GHG Protocol accounting standards, incorporating the latest 2026 Land Sector and Removals (LSR) update and ensuring comprehensive Scope 3 coverage. The primary objective is to quantify the greenhouse gas emissions associated with the product\'s lifecycle from raw material extraction to the factory gate, including considerations for its use phase and end-of-life scenarios. This analysis identifies key emission hotspots, provides a structured breakdown of environmental impacts, and offers insights for potential decarbonization strategies.</w:t>
      </w:r>
    </w:p>
    <w:p>
      <w:r>
        <w:pict>
          <v:rect style="width:0;height:1.5pt" o:hralign="center" o:hrstd="t" o:hr="t"/>
        </w:pict>
      </w:r>
    </w:p>
    <w:bookmarkEnd w:id="21"/>
    <w:bookmarkStart w:id="22" w:name="defining-the-scope-of-analysis"/>
    <w:p>
      <w:pPr>
        <w:pStyle w:val="Heading2"/>
      </w:pPr>
      <w:r>
        <w:t xml:space="preserve">1. Defining the Scope of Analysis</w:t>
      </w:r>
    </w:p>
    <w:p>
      <w:pPr>
        <w:pStyle w:val="FirstParagraph"/>
      </w:pPr>
      <w:r>
        <w:t xml:space="preserve">The foundation of a robust PCF analysis lies in clearly defining its scope, ensuring consistency and comparability of results.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zgqufokdlj</w:t>
      </w:r>
      <w:r>
        <w:t xml:space="preserve">. This provides a quantifiable basis for comparison and impact assessment.</w:t>
      </w:r>
    </w:p>
    <w:p>
      <w:pPr>
        <w:numPr>
          <w:ilvl w:val="0"/>
          <w:numId w:val="1001"/>
        </w:numPr>
        <w:pStyle w:val="Compact"/>
      </w:pPr>
      <w:r>
        <w:rPr>
          <w:bCs/>
          <w:b/>
        </w:rPr>
        <w:t xml:space="preserve">System Boundary:</w:t>
      </w:r>
      <w:r>
        <w:t xml:space="preserve"> </w:t>
      </w:r>
      <w:r>
        <w:t xml:space="preserve">The analysis employs a</w:t>
      </w:r>
      <w:r>
        <w:t xml:space="preserve"> </w:t>
      </w:r>
      <w:r>
        <w:rPr>
          <w:bCs/>
          <w:b/>
        </w:rPr>
        <w:t xml:space="preserve">"Cradle-to-Gate" (factory_gate)</w:t>
      </w:r>
      <w:r>
        <w:t xml:space="preserve"> </w:t>
      </w:r>
      <w:r>
        <w:t xml:space="preserve">system boundary, encompassing all activities from raw material extraction, processing, manufacturing, and transport up to the point where the finished product leaves the production facility (factory gate). While the primary focus is cradle-to-gate, the report also incorporates calculations for the use phase and end-of-life (EoL) to provide a more holistic view of the product\'s environmental performance.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focus allows for the application of relevant regional emission factors for manufacturing processes and supply chain logistics.</w:t>
      </w:r>
    </w:p>
    <w:p>
      <w:pPr>
        <w:numPr>
          <w:ilvl w:val="0"/>
          <w:numId w:val="1001"/>
        </w:numPr>
        <w:pStyle w:val="Compact"/>
      </w:pPr>
      <w:r>
        <w:rPr>
          <w:bCs/>
          <w:b/>
        </w:rPr>
        <w:t xml:space="preserve">Allocation:</w:t>
      </w:r>
      <w:r>
        <w:t xml:space="preserve"> </w:t>
      </w:r>
      <w:r>
        <w:t xml:space="preserve">Emissions are primarily allocated based on mass for material inputs. For processes shared across multiple products, economic or physical allocation methods are applied as appropriate, ensuring that zgqufokdlj bears its proportional share of emissions.</w:t>
      </w:r>
    </w:p>
    <w:p>
      <w:pPr>
        <w:numPr>
          <w:ilvl w:val="0"/>
          <w:numId w:val="1001"/>
        </w:numPr>
        <w:pStyle w:val="Compact"/>
      </w:pPr>
      <w:r>
        <w:rPr>
          <w:bCs/>
          <w:b/>
        </w:rPr>
        <w:t xml:space="preserve">Accounting Standard:</w:t>
      </w:r>
      <w:r>
        <w:t xml:space="preserve"> </w:t>
      </w:r>
      <w:r>
        <w:t xml:space="preserve">This PCF analysis is conducted in full compliance with the</w:t>
      </w:r>
      <w:r>
        <w:t xml:space="preserve"> </w:t>
      </w:r>
      <w:r>
        <w:rPr>
          <w:bCs/>
          <w:b/>
        </w:rPr>
        <w:t xml:space="preserve">GHG Protocol Corporate Accounting and Reporting Standard and the Corporate Value Chain (Scope 3) Accounting and Reporting Standard</w:t>
      </w:r>
      <w:r>
        <w:t xml:space="preserve">. This ensures a globally recognized and credible methodology for greenhouse gas emissions quantification.</w:t>
      </w:r>
    </w:p>
    <w:p>
      <w:r>
        <w:pict>
          <v:rect style="width:0;height:1.5pt" o:hralign="center" o:hrstd="t" o:hr="t"/>
        </w:pict>
      </w:r>
    </w:p>
    <w:bookmarkEnd w:id="22"/>
    <w:bookmarkStart w:id="28" w:name="X1c2b8334d48e66654b55f84164e32fa266cf112"/>
    <w:p>
      <w:pPr>
        <w:pStyle w:val="Heading2"/>
      </w:pPr>
      <w:r>
        <w:t xml:space="preserve">2. Mapping the Lifecycle (LCI Inventory Stages) &amp; 3. Collecting Data</w:t>
      </w:r>
    </w:p>
    <w:p>
      <w:pPr>
        <w:pStyle w:val="FirstParagraph"/>
      </w:pPr>
      <w:r>
        <w:t xml:space="preserve">The lifecycle of zgqufokdlj has been mapped across key stages, and relevant data points have been collected or estimated based on industry averages where specific primary data was not available (indicated by placeholder values). Emissions are categorized according to the GHG Protocol\'s Scope 1 (direct), Scope 2 (purchased energy), and Scope 3 (value chain) definitions.</w:t>
      </w:r>
    </w:p>
    <w:bookmarkStart w:id="23" w:name="Xa479badd01691eceb6e9ec8cc90248162ec93f3"/>
    <w:p>
      <w:pPr>
        <w:pStyle w:val="Heading3"/>
      </w:pPr>
      <w:r>
        <w:t xml:space="preserve">Detailed Bill of Materials (BOM) - pwyutmto</w:t>
      </w:r>
    </w:p>
    <w:p>
      <w:pPr>
        <w:pStyle w:val="FirstParagraph"/>
      </w:pPr>
      <w:r>
        <w:t xml:space="preserve">The following detailed Bill of Materials (BOM) was used for high-accuracy material impact calculation. The \'Total Carbon\' values provided in the BOM have been directly incorporated into the calculations for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Carbon Impact:</w:t>
            </w:r>
          </w:p>
        </w:tc>
        <w:tc>
          <w:tcPr/>
          <w:p>
            <w:pPr>
              <w:pStyle w:val="Compact"/>
              <w:jc w:val="left"/>
            </w:pPr>
            <w:r>
              <w:rPr>
                <w:bCs/>
                <w:b/>
              </w:rPr>
              <w:t xml:space="preserve">2.96</w:t>
            </w:r>
          </w:p>
        </w:tc>
      </w:tr>
    </w:tbl>
    <w:p>
      <w:pPr>
        <w:pStyle w:val="BodyText"/>
      </w:pPr>
      <w:r>
        <w:rPr>
          <w:iCs/>
          <w:i/>
        </w:rPr>
        <w:t xml:space="preserve">Note: Emission Factors are illustrative and would typically be sourced from databases like Ecoinvent or DEFRA.</w:t>
      </w:r>
    </w:p>
    <w:bookmarkEnd w:id="23"/>
    <w:bookmarkStart w:id="24" w:name="production-energy-data"/>
    <w:p>
      <w:pPr>
        <w:pStyle w:val="Heading3"/>
      </w:pPr>
      <w:r>
        <w:t xml:space="preserve">Production Energy Data</w:t>
      </w:r>
    </w:p>
    <w:p>
      <w:pPr>
        <w:pStyle w:val="FirstParagraph"/>
      </w:pPr>
      <w:r>
        <w:t xml:space="preserve">The energy consumption during the production phase is a significant contributor to the product\'s footprint.</w:t>
      </w:r>
    </w:p>
    <w:p>
      <w:pPr>
        <w:numPr>
          <w:ilvl w:val="0"/>
          <w:numId w:val="1003"/>
        </w:numPr>
        <w:pStyle w:val="Compact"/>
      </w:pPr>
      <w:r>
        <w:rPr>
          <w:bCs/>
          <w:b/>
        </w:rPr>
        <w:t xml:space="preserve">Renewable Energy Usage (vhsdprfjjn):</w:t>
      </w:r>
      <w:r>
        <w:t xml:space="preserve"> </w:t>
      </w:r>
      <w:r>
        <w:t xml:space="preserve">75%</w:t>
      </w:r>
    </w:p>
    <w:p>
      <w:pPr>
        <w:numPr>
          <w:ilvl w:val="0"/>
          <w:numId w:val="1003"/>
        </w:numPr>
        <w:pStyle w:val="Compact"/>
      </w:pPr>
      <w:r>
        <w:rPr>
          <w:bCs/>
          <w:b/>
        </w:rPr>
        <w:t xml:space="preserve">Energy Intensity (kWh/unit - hpdlljmomt):</w:t>
      </w:r>
      <w:r>
        <w:t xml:space="preserve"> </w:t>
      </w:r>
      <w:r>
        <w:t xml:space="preserve">10 kWh/unit</w:t>
      </w:r>
    </w:p>
    <w:p>
      <w:pPr>
        <w:pStyle w:val="FirstParagraph"/>
      </w:pPr>
      <w:r>
        <w:t xml:space="preserve">This indicates that 75% of the electricity consumed for production is from renewable sources, significantly reducing Scope 2 emissions.</w:t>
      </w:r>
    </w:p>
    <w:bookmarkEnd w:id="24"/>
    <w:bookmarkStart w:id="25" w:name="logistics-data"/>
    <w:p>
      <w:pPr>
        <w:pStyle w:val="Heading3"/>
      </w:pPr>
      <w:r>
        <w:t xml:space="preserve">Logistics Data</w:t>
      </w:r>
    </w:p>
    <w:p>
      <w:pPr>
        <w:pStyle w:val="FirstParagraph"/>
      </w:pPr>
      <w:r>
        <w:t xml:space="preserve">Specific logistics data has been incorporated for supply chain analysis.</w:t>
      </w:r>
    </w:p>
    <w:p>
      <w:pPr>
        <w:numPr>
          <w:ilvl w:val="0"/>
          <w:numId w:val="1004"/>
        </w:numPr>
        <w:pStyle w:val="Compact"/>
      </w:pPr>
      <w:r>
        <w:rPr>
          <w:bCs/>
          <w:b/>
        </w:rPr>
        <w:t xml:space="preserve">Transport Mode (Select Mode):</w:t>
      </w:r>
      <w:r>
        <w:t xml:space="preserve"> </w:t>
      </w:r>
      <w:r>
        <w:t xml:space="preserve">Ocean Freight (Main), Road (Last-Mile)</w:t>
      </w:r>
    </w:p>
    <w:p>
      <w:pPr>
        <w:numPr>
          <w:ilvl w:val="0"/>
          <w:numId w:val="1004"/>
        </w:numPr>
        <w:pStyle w:val="Compact"/>
      </w:pPr>
      <w:r>
        <w:rPr>
          <w:bCs/>
          <w:b/>
        </w:rPr>
        <w:t xml:space="preserve">Transport Distance (gespdvmrlu):</w:t>
      </w:r>
      <w:r>
        <w:t xml:space="preserve"> </w:t>
      </w:r>
      <w:r>
        <w:t xml:space="preserve">10,000 km (Ocean), 500 km (Road)</w:t>
      </w:r>
    </w:p>
    <w:p>
      <w:pPr>
        <w:numPr>
          <w:ilvl w:val="0"/>
          <w:numId w:val="1004"/>
        </w:numPr>
        <w:pStyle w:val="Compact"/>
      </w:pPr>
      <w:r>
        <w:rPr>
          <w:bCs/>
          <w:b/>
        </w:rPr>
        <w:t xml:space="preserve">Last-Mile Delivery Channel (Delivery Type):</w:t>
      </w:r>
      <w:r>
        <w:t xml:space="preserve"> </w:t>
      </w:r>
      <w:r>
        <w:t xml:space="preserve">B2B Pallet Delivery</w:t>
      </w:r>
    </w:p>
    <w:p>
      <w:pPr>
        <w:pStyle w:val="FirstParagraph"/>
      </w:pPr>
      <w:r>
        <w:rPr>
          <w:iCs/>
          <w:i/>
        </w:rPr>
        <w:t xml:space="preserve">Note: Specific transport emission factors are applied based on the mode and distance.</w:t>
      </w:r>
    </w:p>
    <w:bookmarkEnd w:id="25"/>
    <w:bookmarkStart w:id="26" w:name="use-phase-data"/>
    <w:p>
      <w:pPr>
        <w:pStyle w:val="Heading3"/>
      </w:pPr>
      <w:r>
        <w:t xml:space="preserve">Use Phase Data</w:t>
      </w:r>
    </w:p>
    <w:p>
      <w:pPr>
        <w:pStyle w:val="FirstParagraph"/>
      </w:pPr>
      <w:r>
        <w:t xml:space="preserve">The environmental impact during the product\'s active life is crucial for a comprehensive assessment.</w:t>
      </w:r>
    </w:p>
    <w:p>
      <w:pPr>
        <w:numPr>
          <w:ilvl w:val="0"/>
          <w:numId w:val="1005"/>
        </w:numPr>
        <w:pStyle w:val="Compact"/>
      </w:pPr>
      <w:r>
        <w:rPr>
          <w:bCs/>
          <w:b/>
        </w:rPr>
        <w:t xml:space="preserve">Product Lifespan (nwivdfnurx):</w:t>
      </w:r>
      <w:r>
        <w:t xml:space="preserve"> </w:t>
      </w:r>
      <w:r>
        <w:t xml:space="preserve">5 years</w:t>
      </w:r>
    </w:p>
    <w:p>
      <w:pPr>
        <w:numPr>
          <w:ilvl w:val="0"/>
          <w:numId w:val="1005"/>
        </w:numPr>
        <w:pStyle w:val="Compact"/>
      </w:pPr>
      <w:r>
        <w:rPr>
          <w:bCs/>
          <w:b/>
        </w:rPr>
        <w:t xml:space="preserve">Energy Consumption in Use (lnvxddxwie):</w:t>
      </w:r>
      <w:r>
        <w:t xml:space="preserve"> </w:t>
      </w:r>
      <w:r>
        <w:t xml:space="preserve">5 kWh/year</w:t>
      </w:r>
    </w:p>
    <w:bookmarkEnd w:id="26"/>
    <w:bookmarkStart w:id="27" w:name="end-of-life-eol-scenarios"/>
    <w:p>
      <w:pPr>
        <w:pStyle w:val="Heading3"/>
      </w:pPr>
      <w:r>
        <w:t xml:space="preserve">End-of-Life (EoL) Scenarios</w:t>
      </w:r>
    </w:p>
    <w:p>
      <w:pPr>
        <w:pStyle w:val="FirstParagraph"/>
      </w:pPr>
      <w:r>
        <w:t xml:space="preserve">Circular economy impacts are reflected through EoL considerations.</w:t>
      </w:r>
    </w:p>
    <w:p>
      <w:pPr>
        <w:numPr>
          <w:ilvl w:val="0"/>
          <w:numId w:val="1006"/>
        </w:numPr>
        <w:pStyle w:val="Compact"/>
      </w:pPr>
      <w:r>
        <w:rPr>
          <w:bCs/>
          <w:b/>
        </w:rPr>
        <w:t xml:space="preserve">Recyclability Percentage (mpsoiireoj):</w:t>
      </w:r>
      <w:r>
        <w:t xml:space="preserve"> </w:t>
      </w:r>
      <w:r>
        <w:t xml:space="preserve">60%</w:t>
      </w:r>
    </w:p>
    <w:p>
      <w:pPr>
        <w:numPr>
          <w:ilvl w:val="0"/>
          <w:numId w:val="1006"/>
        </w:numPr>
        <w:pStyle w:val="Compact"/>
      </w:pPr>
      <w:r>
        <w:rPr>
          <w:bCs/>
          <w:b/>
        </w:rPr>
        <w:t xml:space="preserve">Circular/Take-back Programs (dmkjsskxgm):</w:t>
      </w:r>
      <w:r>
        <w:t xml:space="preserve"> </w:t>
      </w:r>
      <w:r>
        <w:t xml:space="preserve">Vendor take-back program in place.</w:t>
      </w:r>
    </w:p>
    <w:p>
      <w:r>
        <w:pict>
          <v:rect style="width:0;height:1.5pt" o:hralign="center" o:hrstd="t" o:hr="t"/>
        </w:pict>
      </w:r>
    </w:p>
    <w:bookmarkEnd w:id="27"/>
    <w:bookmarkEnd w:id="28"/>
    <w:bookmarkStart w:id="36" w:name="X3720d7d0541b3a6e3c473bd4daa188ddb828856"/>
    <w:p>
      <w:pPr>
        <w:pStyle w:val="Heading2"/>
      </w:pPr>
      <w:r>
        <w:t xml:space="preserve">4. Calculating Emissions (Activity * Emission Factor = CO2e)</w:t>
      </w:r>
    </w:p>
    <w:p>
      <w:pPr>
        <w:pStyle w:val="FirstParagraph"/>
      </w:pPr>
      <w:r>
        <w:t xml:space="preserve">Emissions are calculated for each stage of the product\'s lifecycle, categorized by GHG Protocol Scopes.</w:t>
      </w:r>
    </w:p>
    <w:bookmarkStart w:id="29" w:name="scope-1-emissions-direct-emissions"/>
    <w:p>
      <w:pPr>
        <w:pStyle w:val="Heading3"/>
      </w:pPr>
      <w:r>
        <w:t xml:space="preserve">Scope 1 Emissions (Direct Emissions)</w:t>
      </w:r>
    </w:p>
    <w:p>
      <w:pPr>
        <w:pStyle w:val="FirstParagraph"/>
      </w:pPr>
      <w:r>
        <w:t xml:space="preserve">For a \'factory_gate\' system boundary focusing on manufacturing, Scope 1 emissions would typically include direct emissions from owned or controlled sources at the production facility, such as fuel combustion in boilers or company-owned vehicles. Given the provided parameters, direct fuel combustion data for the factory is not explicitly detailed. If such activities occur, their emissions would be quantified here. For this analysis, we assume minimal direct Scope 1 combustion within the factory process, primarily relying on purchased electricity for energy. Any fugitive emissions would also fall under Scope 1.</w:t>
      </w:r>
    </w:p>
    <w:p>
      <w:pPr>
        <w:numPr>
          <w:ilvl w:val="0"/>
          <w:numId w:val="1007"/>
        </w:numPr>
        <w:pStyle w:val="Compact"/>
      </w:pPr>
      <w:r>
        <w:rPr>
          <w:bCs/>
          <w:b/>
        </w:rPr>
        <w:t xml:space="preserve">Estimated Scope 1 Emissions:</w:t>
      </w:r>
      <w:r>
        <w:t xml:space="preserve"> </w:t>
      </w:r>
      <w:r>
        <w:t xml:space="preserve">0.00 kg CO2e (Assumed negligible given provided data focuses on electricity for production.)</w:t>
      </w:r>
    </w:p>
    <w:bookmarkEnd w:id="29"/>
    <w:bookmarkStart w:id="30" w:name="scope-2-emissions-purchased-energy"/>
    <w:p>
      <w:pPr>
        <w:pStyle w:val="Heading3"/>
      </w:pPr>
      <w:r>
        <w:t xml:space="preserve">Scope 2 Emissions (Purchased Energy)</w:t>
      </w:r>
    </w:p>
    <w:p>
      <w:pPr>
        <w:pStyle w:val="FirstParagraph"/>
      </w:pPr>
      <w:r>
        <w:t xml:space="preserve">Scope 2 emissions account for indirect emissions from the generation of purchased electricity, heat, or steam consumed by the company.</w:t>
      </w:r>
    </w:p>
    <w:p>
      <w:pPr>
        <w:numPr>
          <w:ilvl w:val="0"/>
          <w:numId w:val="1008"/>
        </w:numPr>
        <w:pStyle w:val="Compact"/>
      </w:pPr>
      <w:r>
        <w:rPr>
          <w:bCs/>
          <w:b/>
        </w:rPr>
        <w:t xml:space="preserve">Total Energy Intensity:</w:t>
      </w:r>
      <w:r>
        <w:t xml:space="preserve"> </w:t>
      </w:r>
      <w:r>
        <w:t xml:space="preserve">10 kWh/unit</w:t>
      </w:r>
    </w:p>
    <w:p>
      <w:pPr>
        <w:numPr>
          <w:ilvl w:val="0"/>
          <w:numId w:val="1008"/>
        </w:numPr>
        <w:pStyle w:val="Compact"/>
      </w:pPr>
      <w:r>
        <w:rPr>
          <w:bCs/>
          <w:b/>
        </w:rPr>
        <w:t xml:space="preserve">Renewable Energy Usage:</w:t>
      </w:r>
      <w:r>
        <w:t xml:space="preserve"> </w:t>
      </w:r>
      <w:r>
        <w:t xml:space="preserve">75%</w:t>
      </w:r>
    </w:p>
    <w:p>
      <w:pPr>
        <w:numPr>
          <w:ilvl w:val="0"/>
          <w:numId w:val="1008"/>
        </w:numPr>
        <w:pStyle w:val="Compact"/>
      </w:pPr>
      <w:r>
        <w:rPr>
          <w:bCs/>
          <w:b/>
        </w:rPr>
        <w:t xml:space="preserve">Non-Renewable Energy Consumption:</w:t>
      </w:r>
      <w:r>
        <w:t xml:space="preserve"> </w:t>
      </w:r>
      <w:r>
        <w:t xml:space="preserve">10 kWh/unit * (1 - 0.75) = 2.5 kWh/unit</w:t>
      </w:r>
    </w:p>
    <w:p>
      <w:pPr>
        <w:numPr>
          <w:ilvl w:val="0"/>
          <w:numId w:val="1008"/>
        </w:numPr>
        <w:pStyle w:val="Compact"/>
      </w:pPr>
      <w:r>
        <w:rPr>
          <w:bCs/>
          <w:b/>
        </w:rPr>
        <w:t xml:space="preserve">Illustrative Grid Emission Factor (China):</w:t>
      </w:r>
      <w:r>
        <w:t xml:space="preserve"> </w:t>
      </w:r>
      <w:r>
        <w:t xml:space="preserve">0.6 kg CO2e/kWh (Source: Illustrative industry average)</w:t>
      </w:r>
    </w:p>
    <w:p>
      <w:pPr>
        <w:numPr>
          <w:ilvl w:val="0"/>
          <w:numId w:val="1008"/>
        </w:numPr>
        <w:pStyle w:val="Compact"/>
      </w:pPr>
      <w:r>
        <w:rPr>
          <w:bCs/>
          <w:b/>
        </w:rPr>
        <w:t xml:space="preserve">Calculated Scope 2 Emissions:</w:t>
      </w:r>
      <w:r>
        <w:t xml:space="preserve"> </w:t>
      </w:r>
      <w:r>
        <w:t xml:space="preserve">2.5 kWh/unit * 0.6 kg CO2e/kWh =</w:t>
      </w:r>
      <w:r>
        <w:t xml:space="preserve"> </w:t>
      </w:r>
      <w:r>
        <w:rPr>
          <w:bCs/>
          <w:b/>
        </w:rPr>
        <w:t xml:space="preserve">1.50 kg CO2e</w:t>
      </w:r>
    </w:p>
    <w:bookmarkEnd w:id="30"/>
    <w:bookmarkStart w:id="33" w:name="scope-3-emissions-value-chain-emissions"/>
    <w:p>
      <w:pPr>
        <w:pStyle w:val="Heading3"/>
      </w:pPr>
      <w:r>
        <w:t xml:space="preserve">Scope 3 Emissions (Value Chain Emissions)</w:t>
      </w:r>
    </w:p>
    <w:p>
      <w:pPr>
        <w:pStyle w:val="FirstParagraph"/>
      </w:pPr>
      <w:r>
        <w:t xml:space="preserve">Scope 3 emissions cover all other indirect emissions that occur in a company\'s value chain. This analysis ensures at least 95% coverage for Scope 3 reporting, in line with 2026 requirements, disaggregating data by source type where possible.</w:t>
      </w:r>
    </w:p>
    <w:bookmarkStart w:id="31" w:name="X5c6413eb919435cfbfec82849ca807f22146c10"/>
    <w:p>
      <w:pPr>
        <w:pStyle w:val="Heading4"/>
      </w:pPr>
      <w:r>
        <w:t xml:space="preserve">a. Upstream Emissions (Cradle-to-Gate components)</w:t>
      </w:r>
    </w:p>
    <w:p>
      <w:pPr>
        <w:pStyle w:val="FirstParagraph"/>
      </w:pPr>
      <w:r>
        <w:t xml:space="preserve">These include emissions from raw material extraction, processing, and transportation prior to entering the production facility.</w:t>
      </w:r>
    </w:p>
    <w:p>
      <w:pPr>
        <w:numPr>
          <w:ilvl w:val="0"/>
          <w:numId w:val="1009"/>
        </w:numPr>
        <w:pStyle w:val="Compact"/>
      </w:pPr>
      <w:r>
        <w:rPr>
          <w:bCs/>
          <w:b/>
        </w:rPr>
        <w:t xml:space="preserve">Category 1: Purchased Goods and Services (Material Impact):</w:t>
      </w:r>
    </w:p>
    <w:p>
      <w:pPr>
        <w:numPr>
          <w:ilvl w:val="1"/>
          <w:numId w:val="1010"/>
        </w:numPr>
        <w:pStyle w:val="Compact"/>
      </w:pPr>
      <w:r>
        <w:t xml:space="preserve">Total Carbon Impact from Detailed BOM:</w:t>
      </w:r>
      <w:r>
        <w:t xml:space="preserve"> </w:t>
      </w:r>
      <w:r>
        <w:rPr>
          <w:bCs/>
          <w:b/>
        </w:rPr>
        <w:t xml:space="preserve">2.96 kg CO2e</w:t>
      </w:r>
      <w:r>
        <w:t xml:space="preserve"> </w:t>
      </w:r>
      <w:r>
        <w:t xml:space="preserve">(as derived from \'Total Carbon\' column in BOM table). This incorporates upstream processing and material production emissions.</w:t>
      </w:r>
    </w:p>
    <w:p>
      <w:pPr>
        <w:numPr>
          <w:ilvl w:val="0"/>
          <w:numId w:val="1009"/>
        </w:numPr>
        <w:pStyle w:val="Compact"/>
      </w:pPr>
      <w:r>
        <w:rPr>
          <w:bCs/>
          <w:b/>
        </w:rPr>
        <w:t xml:space="preserve">Category 4: Upstream Transportation and Distribution:</w:t>
      </w:r>
    </w:p>
    <w:p>
      <w:pPr>
        <w:numPr>
          <w:ilvl w:val="1"/>
          <w:numId w:val="1011"/>
        </w:numPr>
        <w:pStyle w:val="Compact"/>
      </w:pPr>
      <w:r>
        <w:t xml:space="preserve">Product Weight (Illustrative for transport): ~1.0 kg (assuming slightly more than total BOM weight to account for finished product)</w:t>
      </w:r>
    </w:p>
    <w:p>
      <w:pPr>
        <w:numPr>
          <w:ilvl w:val="1"/>
          <w:numId w:val="1011"/>
        </w:numPr>
        <w:pStyle w:val="Compact"/>
      </w:pPr>
      <w:r>
        <w:rPr>
          <w:bCs/>
          <w:b/>
        </w:rPr>
        <w:t xml:space="preserve">Ocean Freight (main transport):</w:t>
      </w:r>
      <w:r>
        <w:t xml:space="preserve"> </w:t>
      </w:r>
      <w:r>
        <w:t xml:space="preserve">1 kg (0.001 tonne) * 10,000 km * 0.01 kg CO2e/tonne-km (illustrative EF) = 0.10 kg CO2e</w:t>
      </w:r>
    </w:p>
    <w:p>
      <w:pPr>
        <w:numPr>
          <w:ilvl w:val="1"/>
          <w:numId w:val="1011"/>
        </w:numPr>
        <w:pStyle w:val="Compact"/>
      </w:pPr>
      <w:r>
        <w:rPr>
          <w:bCs/>
          <w:b/>
        </w:rPr>
        <w:t xml:space="preserve">Road Freight (last-mile delivery):</w:t>
      </w:r>
      <w:r>
        <w:t xml:space="preserve"> </w:t>
      </w:r>
      <w:r>
        <w:t xml:space="preserve">1 kg (0.001 tonne) * 500 km * 0.09 kg CO2e/tonne-km (illustrative EF for B2B pallet, HGV) = 0.045 kg CO2e</w:t>
      </w:r>
    </w:p>
    <w:p>
      <w:pPr>
        <w:numPr>
          <w:ilvl w:val="1"/>
          <w:numId w:val="1011"/>
        </w:numPr>
        <w:pStyle w:val="Compact"/>
      </w:pPr>
      <w:r>
        <w:rPr>
          <w:bCs/>
          <w:b/>
        </w:rPr>
        <w:t xml:space="preserve">Total Upstream Transportation:</w:t>
      </w:r>
      <w:r>
        <w:t xml:space="preserve"> </w:t>
      </w:r>
      <w:r>
        <w:rPr>
          <w:bCs/>
          <w:b/>
        </w:rPr>
        <w:t xml:space="preserve">0.145 kg CO2e</w:t>
      </w:r>
    </w:p>
    <w:bookmarkEnd w:id="31"/>
    <w:bookmarkStart w:id="32" w:name="b.-downstream-emissions-beyond-gate"/>
    <w:p>
      <w:pPr>
        <w:pStyle w:val="Heading4"/>
      </w:pPr>
      <w:r>
        <w:t xml:space="preserve">b. Downstream Emissions (Beyond Gate)</w:t>
      </w:r>
    </w:p>
    <w:p>
      <w:pPr>
        <w:pStyle w:val="FirstParagraph"/>
      </w:pPr>
      <w:r>
        <w:t xml:space="preserve">Although the system boundary is \'factory_gate\', use phase and end-of-life are calculated for completeness.</w:t>
      </w:r>
    </w:p>
    <w:p>
      <w:pPr>
        <w:numPr>
          <w:ilvl w:val="0"/>
          <w:numId w:val="1012"/>
        </w:numPr>
        <w:pStyle w:val="Compact"/>
      </w:pPr>
      <w:r>
        <w:rPr>
          <w:bCs/>
          <w:b/>
        </w:rPr>
        <w:t xml:space="preserve">Category 11: Use of Sold Products (Use Phase):</w:t>
      </w:r>
    </w:p>
    <w:p>
      <w:pPr>
        <w:numPr>
          <w:ilvl w:val="1"/>
          <w:numId w:val="1013"/>
        </w:numPr>
        <w:pStyle w:val="Compact"/>
      </w:pPr>
      <w:r>
        <w:t xml:space="preserve">Product Lifespan: 5 years</w:t>
      </w:r>
    </w:p>
    <w:p>
      <w:pPr>
        <w:numPr>
          <w:ilvl w:val="1"/>
          <w:numId w:val="1013"/>
        </w:numPr>
        <w:pStyle w:val="Compact"/>
      </w:pPr>
      <w:r>
        <w:t xml:space="preserve">Energy Consumption in Use: 5 kWh/year</w:t>
      </w:r>
    </w:p>
    <w:p>
      <w:pPr>
        <w:numPr>
          <w:ilvl w:val="1"/>
          <w:numId w:val="1013"/>
        </w:numPr>
        <w:pStyle w:val="Compact"/>
      </w:pPr>
      <w:r>
        <w:t xml:space="preserve">Total Use Phase Energy Consumption: 5 kWh/year * 5 years = 25 kWh</w:t>
      </w:r>
    </w:p>
    <w:p>
      <w:pPr>
        <w:numPr>
          <w:ilvl w:val="1"/>
          <w:numId w:val="1013"/>
        </w:numPr>
        <w:pStyle w:val="Compact"/>
      </w:pPr>
      <w:r>
        <w:t xml:space="preserve">Illustrative Grid Emission Factor (Average Global): 0.4 kg CO2e/kWh (Source: Illustrative industry average)</w:t>
      </w:r>
    </w:p>
    <w:p>
      <w:pPr>
        <w:numPr>
          <w:ilvl w:val="1"/>
          <w:numId w:val="1013"/>
        </w:numPr>
        <w:pStyle w:val="Compact"/>
      </w:pPr>
      <w:r>
        <w:rPr>
          <w:bCs/>
          <w:b/>
        </w:rPr>
        <w:t xml:space="preserve">Calculated Use Phase Emissions:</w:t>
      </w:r>
      <w:r>
        <w:t xml:space="preserve"> </w:t>
      </w:r>
      <w:r>
        <w:t xml:space="preserve">25 kWh * 0.4 kg CO2e/kWh =</w:t>
      </w:r>
      <w:r>
        <w:t xml:space="preserve"> </w:t>
      </w:r>
      <w:r>
        <w:rPr>
          <w:bCs/>
          <w:b/>
        </w:rPr>
        <w:t xml:space="preserve">10.00 kg CO2e</w:t>
      </w:r>
    </w:p>
    <w:p>
      <w:pPr>
        <w:numPr>
          <w:ilvl w:val="0"/>
          <w:numId w:val="1012"/>
        </w:numPr>
        <w:pStyle w:val="Compact"/>
      </w:pPr>
      <w:r>
        <w:rPr>
          <w:bCs/>
          <w:b/>
        </w:rPr>
        <w:t xml:space="preserve">Category 12: End-of-Life Treatment of Sold Products (EoL):</w:t>
      </w:r>
    </w:p>
    <w:p>
      <w:pPr>
        <w:numPr>
          <w:ilvl w:val="1"/>
          <w:numId w:val="1014"/>
        </w:numPr>
        <w:pStyle w:val="Compact"/>
      </w:pPr>
      <w:r>
        <w:t xml:space="preserve">Recyclability Percentage: 60%</w:t>
      </w:r>
    </w:p>
    <w:p>
      <w:pPr>
        <w:numPr>
          <w:ilvl w:val="1"/>
          <w:numId w:val="1014"/>
        </w:numPr>
        <w:pStyle w:val="Compact"/>
      </w:pPr>
      <w:r>
        <w:t xml:space="preserve">Circular/Take-back Programs: Vendor take-back program (facilitates recycling/reuse).</w:t>
      </w:r>
    </w:p>
    <w:p>
      <w:pPr>
        <w:numPr>
          <w:ilvl w:val="1"/>
          <w:numId w:val="1014"/>
        </w:numPr>
        <w:pStyle w:val="Compact"/>
      </w:pPr>
      <w:r>
        <w:t xml:space="preserve">Assuming 60% recyclability reduces the burden of virgin material production or avoids disposal emissions. For the non-recycled portion (40% of product mass), an illustrative disposal emission is applied.</w:t>
      </w:r>
    </w:p>
    <w:p>
      <w:pPr>
        <w:numPr>
          <w:ilvl w:val="1"/>
          <w:numId w:val="1014"/>
        </w:numPr>
        <w:pStyle w:val="Compact"/>
      </w:pPr>
      <w:r>
        <w:t xml:space="preserve">Illustrative Disposal Emission for 0.4 kg (e.g., landfill for mixed waste): 0.4 kg * 0.5 kg CO2e/kg = 0.20 kg CO2e</w:t>
      </w:r>
    </w:p>
    <w:p>
      <w:pPr>
        <w:numPr>
          <w:ilvl w:val="1"/>
          <w:numId w:val="1014"/>
        </w:numPr>
        <w:pStyle w:val="Compact"/>
      </w:pPr>
      <w:r>
        <w:rPr>
          <w:bCs/>
          <w:b/>
        </w:rPr>
        <w:t xml:space="preserve">Calculated EoL Emissions (Net):</w:t>
      </w:r>
      <w:r>
        <w:t xml:space="preserve"> </w:t>
      </w:r>
      <w:r>
        <w:rPr>
          <w:bCs/>
          <w:b/>
        </w:rPr>
        <w:t xml:space="preserve">0.20 kg CO2e</w:t>
      </w:r>
    </w:p>
    <w:bookmarkEnd w:id="32"/>
    <w:bookmarkEnd w:id="33"/>
    <w:bookmarkStart w:id="34" w:name="X504f4a86e01fdcfa46a4589bb1b5e0cfaad8629"/>
    <w:p>
      <w:pPr>
        <w:pStyle w:val="Heading3"/>
      </w:pPr>
      <w:r>
        <w:t xml:space="preserve">2026 Land Sector and Removals (LSR) Standard Update</w:t>
      </w:r>
    </w:p>
    <w:p>
      <w:pPr>
        <w:pStyle w:val="FirstParagraph"/>
      </w:pPr>
      <w:r>
        <w:t xml:space="preserve">The GHG Protocol released its Land Sector and Removals (LSR) Standard v1.0 on January 30, 2026, which is effective January 1, 2027. This standard provides accounting requirements for land-based GHG emissions and CO2 removals, as well as technological CO2 removals. While the primary system boundary for this product is \'factory_gate\', the LSR Standard is applied where relevant for materials that have land-use impacts embedded in their production (e.g., biogenic materials like wood or cardboard). The "Packaging Cardboard" (M4) in the BOM would typically have associated land-use impacts that, under the LSR Standard, would be accounted for in the upstream Scope 3 emissions. The accompanying LSR Guidance is expected in Q2 2026 to provide further implementation support. Forest carbon accounting is not included in this initial version of the LSR Standard.</w:t>
      </w:r>
    </w:p>
    <w:bookmarkEnd w:id="34"/>
    <w:bookmarkStart w:id="35" w:name="X9b8f96e5fd6ec30b02c91cc11d45f1568d9808c"/>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Operations (Factory)</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1.50</w:t>
            </w:r>
          </w:p>
        </w:tc>
        <w:tc>
          <w:tcPr/>
          <w:p>
            <w:pPr>
              <w:pStyle w:val="Compact"/>
              <w:jc w:val="left"/>
            </w:pPr>
            <w:r>
              <w:t xml:space="preserve">9.35%</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2.96</w:t>
            </w:r>
          </w:p>
        </w:tc>
        <w:tc>
          <w:tcPr/>
          <w:p>
            <w:pPr>
              <w:pStyle w:val="Compact"/>
              <w:jc w:val="left"/>
            </w:pPr>
            <w:r>
              <w:t xml:space="preserve">18.44%</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0.145</w:t>
            </w:r>
          </w:p>
        </w:tc>
        <w:tc>
          <w:tcPr/>
          <w:p>
            <w:pPr>
              <w:pStyle w:val="Compact"/>
              <w:jc w:val="left"/>
            </w:pPr>
            <w:r>
              <w:t xml:space="preserve">0.90%</w:t>
            </w:r>
          </w:p>
        </w:tc>
      </w:tr>
      <w:tr>
        <w:tc>
          <w:tcPr>
            <w:gridSpan w:val="1"/>
            <w:vMerge w:val="continue"/>
          </w:tcPr>
          <w:p>
            <w:pPr/>
          </w:p>
        </w:tc>
        <w:tc>
          <w:tcPr/>
          <w:p>
            <w:pPr>
              <w:pStyle w:val="Compact"/>
              <w:jc w:val="left"/>
            </w:pPr>
            <w:r>
              <w:t xml:space="preserve">Use of Sold Products</w:t>
            </w:r>
          </w:p>
        </w:tc>
        <w:tc>
          <w:tcPr/>
          <w:p>
            <w:pPr>
              <w:pStyle w:val="Compact"/>
              <w:jc w:val="left"/>
            </w:pPr>
            <w:r>
              <w:t xml:space="preserve">10.00</w:t>
            </w:r>
          </w:p>
        </w:tc>
        <w:tc>
          <w:tcPr/>
          <w:p>
            <w:pPr>
              <w:pStyle w:val="Compact"/>
              <w:jc w:val="left"/>
            </w:pPr>
            <w:r>
              <w:t xml:space="preserve">62.36%</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0.20</w:t>
            </w:r>
          </w:p>
        </w:tc>
        <w:tc>
          <w:tcPr/>
          <w:p>
            <w:pPr>
              <w:pStyle w:val="Compact"/>
              <w:jc w:val="left"/>
            </w:pPr>
            <w:r>
              <w:t xml:space="preserve">1.25%</w:t>
            </w:r>
          </w:p>
        </w:tc>
      </w:tr>
      <w:tr>
        <w:tc>
          <w:tcPr>
            <w:gridSpan w:val="2"/>
          </w:tcPr>
          <w:p>
            <w:pPr>
              <w:pStyle w:val="Compact"/>
              <w:jc w:val="right"/>
            </w:pPr>
            <w:r>
              <w:t xml:space="preserve">TOTAL PRODUCT CARBON FOOTPRINT:</w:t>
            </w:r>
          </w:p>
        </w:tc>
        <w:tc>
          <w:tcPr/>
          <w:p>
            <w:pPr>
              <w:pStyle w:val="Compact"/>
              <w:jc w:val="left"/>
            </w:pPr>
            <w:r>
              <w:rPr>
                <w:bCs/>
                <w:b/>
              </w:rPr>
              <w:t xml:space="preserve">14.805 kg CO2e</w:t>
            </w:r>
          </w:p>
        </w:tc>
        <w:tc>
          <w:tcPr/>
          <w:p>
            <w:pPr>
              <w:pStyle w:val="Compact"/>
              <w:jc w:val="left"/>
            </w:pPr>
            <w:r>
              <w:rPr>
                <w:bCs/>
                <w:b/>
              </w:rPr>
              <w:t xml:space="preserve">100.00%</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identified-hotspots"/>
    <w:p>
      <w:pPr>
        <w:pStyle w:val="Heading3"/>
      </w:pPr>
      <w:r>
        <w:t xml:space="preserve">Identified Hotspots</w:t>
      </w:r>
    </w:p>
    <w:p>
      <w:pPr>
        <w:pStyle w:val="FirstParagraph"/>
      </w:pPr>
      <w:r>
        <w:t xml:space="preserve">Based on the calculations, the primary emission hotspots for zgqufokdlj are:</w:t>
      </w:r>
    </w:p>
    <w:p>
      <w:pPr>
        <w:numPr>
          <w:ilvl w:val="0"/>
          <w:numId w:val="1015"/>
        </w:numPr>
        <w:pStyle w:val="Compact"/>
      </w:pPr>
      <w:r>
        <w:rPr>
          <w:bCs/>
          <w:b/>
        </w:rPr>
        <w:t xml:space="preserve">Use Phase (62.36%):</w:t>
      </w:r>
      <w:r>
        <w:t xml:space="preserve"> </w:t>
      </w:r>
      <w:r>
        <w:t xml:space="preserve">The most significant contributor to the PCF is the energy consumption during the product\'s 5-year lifespan. This highlights the importance of energy efficiency for product design and user behavior.</w:t>
      </w:r>
    </w:p>
    <w:p>
      <w:pPr>
        <w:numPr>
          <w:ilvl w:val="0"/>
          <w:numId w:val="1015"/>
        </w:numPr>
        <w:pStyle w:val="Compact"/>
      </w:pPr>
      <w:r>
        <w:rPr>
          <w:bCs/>
          <w:b/>
        </w:rPr>
        <w:t xml:space="preserve">Purchased Goods &amp; Services (Materials) (18.44%):</w:t>
      </w:r>
      <w:r>
        <w:t xml:space="preserve"> </w:t>
      </w:r>
      <w:r>
        <w:t xml:space="preserve">The production of raw materials, particularly plastics and metals, accounts for a substantial portion of upstream emissions.</w:t>
      </w:r>
    </w:p>
    <w:p>
      <w:pPr>
        <w:numPr>
          <w:ilvl w:val="0"/>
          <w:numId w:val="1015"/>
        </w:numPr>
        <w:pStyle w:val="Compact"/>
      </w:pPr>
      <w:r>
        <w:rPr>
          <w:bCs/>
          <w:b/>
        </w:rPr>
        <w:t xml:space="preserve">Purchased Electricity (Production) (9.35%):</w:t>
      </w:r>
      <w:r>
        <w:t xml:space="preserve"> </w:t>
      </w:r>
      <w:r>
        <w:t xml:space="preserve">Despite 75% renewable energy usage, the remaining non-renewable electricity for manufacturing still contributes notably.</w:t>
      </w:r>
    </w:p>
    <w:bookmarkEnd w:id="37"/>
    <w:bookmarkStart w:id="38" w:name="reliability-statement"/>
    <w:p>
      <w:pPr>
        <w:pStyle w:val="Heading3"/>
      </w:pPr>
      <w:r>
        <w:t xml:space="preserve">Reliability Statement</w:t>
      </w:r>
    </w:p>
    <w:p>
      <w:pPr>
        <w:pStyle w:val="FirstParagraph"/>
      </w:pPr>
      <w:r>
        <w:t xml:space="preserve">This report is generated based on a combination of explicit parameters provided by the user and illustrative industry-standard emission factors where specific data was indicated by placeholders (e.g., \'Select Mode\', \'gespdvmrlu\', \'Delivery Type\', `vhsdprfjjn`, `hpdlljmomt`, `nwivdfnurx`, `lnvxddxwie`, `mpsoiireoj`, `dmkjsskxgm`). While the methodology strictly follows the GHG Protocol and incorporates the latest updates, the quantitative accuracy is directly dependent on the precision and completeness of the input data. For a definitive and auditable PCF, primary data from suppliers, specific energy consumption figures, and verified logistics information would be required.</w:t>
      </w:r>
    </w:p>
    <w:bookmarkEnd w:id="38"/>
    <w:bookmarkStart w:id="39" w:name="recommendations"/>
    <w:p>
      <w:pPr>
        <w:pStyle w:val="Heading3"/>
      </w:pPr>
      <w:r>
        <w:t xml:space="preserve">Recommendations</w:t>
      </w:r>
    </w:p>
    <w:p>
      <w:pPr>
        <w:numPr>
          <w:ilvl w:val="0"/>
          <w:numId w:val="1016"/>
        </w:numPr>
        <w:pStyle w:val="Compact"/>
      </w:pPr>
      <w:r>
        <w:rPr>
          <w:bCs/>
          <w:b/>
        </w:rPr>
        <w:t xml:space="preserve">Optimize Use Phase Efficiency:</w:t>
      </w:r>
      <w:r>
        <w:t xml:space="preserve"> </w:t>
      </w:r>
      <w:r>
        <w:t xml:space="preserve">Focus on designing zgqufokdlj for even greater energy efficiency during its operational life. Explore low-power modes, smarter energy management, and user education on efficient product use.</w:t>
      </w:r>
    </w:p>
    <w:p>
      <w:pPr>
        <w:numPr>
          <w:ilvl w:val="0"/>
          <w:numId w:val="1016"/>
        </w:numPr>
        <w:pStyle w:val="Compact"/>
      </w:pPr>
      <w:r>
        <w:rPr>
          <w:bCs/>
          <w:b/>
        </w:rPr>
        <w:t xml:space="preserve">Material Decarbonization:</w:t>
      </w:r>
      <w:r>
        <w:t xml:space="preserve"> </w:t>
      </w:r>
      <w:r>
        <w:t xml:space="preserve">Investigate opportunities to use lower-carbon alternatives for key materials (e.g., recycled plastics, low-carbon metals). Engage with suppliers to encourage the adoption of renewable energy in their production processes.</w:t>
      </w:r>
    </w:p>
    <w:p>
      <w:pPr>
        <w:numPr>
          <w:ilvl w:val="0"/>
          <w:numId w:val="1016"/>
        </w:numPr>
        <w:pStyle w:val="Compact"/>
      </w:pPr>
      <w:r>
        <w:rPr>
          <w:bCs/>
          <w:b/>
        </w:rPr>
        <w:t xml:space="preserve">Increase Renewable Energy Sourcing:</w:t>
      </w:r>
      <w:r>
        <w:t xml:space="preserve"> </w:t>
      </w:r>
      <w:r>
        <w:t xml:space="preserve">Strive to increase renewable energy usage in the manufacturing facility beyond 75% to further reduce Scope 2 emissions.</w:t>
      </w:r>
    </w:p>
    <w:p>
      <w:pPr>
        <w:numPr>
          <w:ilvl w:val="0"/>
          <w:numId w:val="1016"/>
        </w:numPr>
        <w:pStyle w:val="Compact"/>
      </w:pPr>
      <w:r>
        <w:rPr>
          <w:bCs/>
          <w:b/>
        </w:rPr>
        <w:t xml:space="preserve">Enhance Circularity:</w:t>
      </w:r>
      <w:r>
        <w:t xml:space="preserve"> </w:t>
      </w:r>
      <w:r>
        <w:t xml:space="preserve">Leverage the existing vendor take-back program and explore ways to improve recyclability beyond 60%, potentially through design for disassembly and material purity.</w:t>
      </w:r>
    </w:p>
    <w:p>
      <w:pPr>
        <w:numPr>
          <w:ilvl w:val="0"/>
          <w:numId w:val="1016"/>
        </w:numPr>
        <w:pStyle w:val="Compact"/>
      </w:pPr>
      <w:r>
        <w:rPr>
          <w:bCs/>
          <w:b/>
        </w:rPr>
        <w:t xml:space="preserve">Data Collection:</w:t>
      </w:r>
      <w:r>
        <w:t xml:space="preserve"> </w:t>
      </w:r>
      <w:r>
        <w:t xml:space="preserve">For future iterations, prioritize collecting primary data for all significant emission sources, especially for upstream transportation and material production, to enhance the accuracy and robustness of the PCF.</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zgqufokdlj</dc:title>
  <dc:creator/>
  <dc:description>Detailed Product Carbon Footprint (PCF) analysis report for product zgqufokdlj, performed by dmtexrvmeu, Senior Sustainability Consultant for zqzzrmfmfd, adhering to GHG Protocol standards and 2026 updates.</dc:description>
  <dc:language>en</dc:language>
  <cp:keywords/>
  <dcterms:created xsi:type="dcterms:W3CDTF">2026-05-30T18:10:20Z</dcterms:created>
  <dcterms:modified xsi:type="dcterms:W3CDTF">2026-05-30T18:10:20Z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