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zgmejtpumg</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w:t>
      </w:r>
      <w:r>
        <w:t xml:space="preserve"> </w:t>
      </w:r>
      <w:r>
        <w:t xml:space="preserve">zgmejtpumg</w:t>
      </w:r>
    </w:p>
    <w:p>
      <w:pPr>
        <w:pStyle w:val="BodyText"/>
      </w:pPr>
      <w:r>
        <w:t xml:space="preserve">Company Name:</w:t>
      </w:r>
      <w:r>
        <w:t xml:space="preserve"> </w:t>
      </w:r>
      <w:r>
        <w:t xml:space="preserve">jxoixxyxnu</w:t>
      </w:r>
    </w:p>
    <w:p>
      <w:pPr>
        <w:pStyle w:val="BodyText"/>
      </w:pPr>
      <w:r>
        <w:t xml:space="preserve">Accounting Standard:</w:t>
      </w:r>
      <w:r>
        <w:t xml:space="preserve"> </w:t>
      </w:r>
      <w:r>
        <w:t xml:space="preserve">GHG Protocol</w:t>
      </w:r>
    </w:p>
    <w:p>
      <w:pPr>
        <w:pStyle w:val="BodyText"/>
      </w:pPr>
      <w:r>
        <w:t xml:space="preserve">Senior Sustainability Consultant:</w:t>
      </w:r>
      <w:r>
        <w:t xml:space="preserve"> </w:t>
      </w:r>
      <w:r>
        <w:t xml:space="preserve">ldwnkjrtyn</w:t>
      </w:r>
    </w:p>
    <w:p>
      <w:pPr>
        <w:pStyle w:val="BodyText"/>
      </w:pPr>
      <w:r>
        <w:t xml:space="preserve">Disclaimer: This report is generated based on available data and industry standards. It provides an estimate of the product carbon footprint and should be used for informational and strategic planning purposes. Due to the placeholder nature of some input parameters, specific numerical values for these parameters have been assumed for illustrative calculation purposes, with a note that actual data would yield a more precise result.</w:t>
      </w:r>
    </w:p>
    <w:bookmarkEnd w:id="20"/>
    <w:p>
      <w:pPr>
        <w:pStyle w:val="BodyText"/>
      </w:pPr>
      <w:r>
        <w:t xml:space="preserve">Generated Date: May 20, 2026</w:t>
      </w:r>
    </w:p>
    <w:bookmarkStart w:id="51" w:name="X931998ed9617183dde856ee74e2841704190e36"/>
    <w:p>
      <w:pPr>
        <w:pStyle w:val="Heading1"/>
      </w:pPr>
      <w:r>
        <w:t xml:space="preserve">Product Carbon Footprint Analysis Report: zgmejtpumg</w:t>
      </w:r>
    </w:p>
    <w:p>
      <w:pPr>
        <w:pStyle w:val="FirstParagraph"/>
      </w:pPr>
      <w:r>
        <w:t xml:space="preserve">As</w:t>
      </w:r>
      <w:r>
        <w:t xml:space="preserve"> </w:t>
      </w:r>
      <w:r>
        <w:t xml:space="preserve">ldwnkjrtyn</w:t>
      </w:r>
      <w:r>
        <w:t xml:space="preserve">, Senior Sustainability Consultant specializing in GHG Protocol, I present this high-detail Product Carbon Footprint (PCF) analysis for</w:t>
      </w:r>
      <w:r>
        <w:t xml:space="preserve"> </w:t>
      </w:r>
      <w:r>
        <w:t xml:space="preserve">zgmejtpumg</w:t>
      </w:r>
      <w:r>
        <w:t xml:space="preserve">, on behalf of</w:t>
      </w:r>
      <w:r>
        <w:t xml:space="preserve"> </w:t>
      </w:r>
      <w:r>
        <w:t xml:space="preserve">jxoixxyxnu</w:t>
      </w:r>
      <w:r>
        <w:t xml:space="preserve">. This report adheres strictly to the</w:t>
      </w:r>
      <w:r>
        <w:t xml:space="preserve"> </w:t>
      </w:r>
      <w:r>
        <w:t xml:space="preserve">GHG Protocol</w:t>
      </w:r>
      <w:r>
        <w:t xml:space="preserve"> </w:t>
      </w:r>
      <w:r>
        <w:t xml:space="preserve">accounting standard, incorporating the latest 2026 Land Sector and Removals (LSR) Standard updates and targeting at least 95% coverage for Scope 3 emissions.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quantifies the cradle-to-grave carbon footprint of product</w:t>
      </w:r>
      <w:r>
        <w:t xml:space="preserve"> </w:t>
      </w:r>
      <w:r>
        <w:t xml:space="preserve">zgmejtpumg</w:t>
      </w:r>
      <w:r>
        <w:t xml:space="preserve">, applying the Greenhouse Gas (GHG) Protocol. The analysis covers raw material acquisition, manufacturing, transportation, use phase, and end-of-life scenarios. Key emission hotspots are identified across the lifecycle, providing a robust foundation for</w:t>
      </w:r>
      <w:r>
        <w:t xml:space="preserve"> </w:t>
      </w:r>
      <w:r>
        <w:t xml:space="preserve">jxoixxyxnu</w:t>
      </w:r>
      <w:r>
        <w:t xml:space="preserve"> </w:t>
      </w:r>
      <w:r>
        <w:t xml:space="preserve">to develop targeted decarbonization strategies. The total carbon footprint of</w:t>
      </w:r>
      <w:r>
        <w:t xml:space="preserve"> </w:t>
      </w:r>
      <w:r>
        <w:t xml:space="preserve">zgmejtpumg</w:t>
      </w:r>
      <w:r>
        <w:t xml:space="preserve"> </w:t>
      </w:r>
      <w:r>
        <w:t xml:space="preserve">per functional unit (1.0 unit) is estimated by aggregating emissions across all life cycle stages, categorized into Scope 1, 2, and 3 emissions.</w:t>
      </w:r>
    </w:p>
    <w:p>
      <w:r>
        <w:pict>
          <v:rect style="width:0;height:1.5pt" o:hralign="center" o:hrstd="t" o:hr="t"/>
        </w:pict>
      </w:r>
    </w:p>
    <w:bookmarkEnd w:id="21"/>
    <w:bookmarkStart w:id="27" w:name="methodology-and-scope-definition"/>
    <w:p>
      <w:pPr>
        <w:pStyle w:val="Heading2"/>
      </w:pPr>
      <w:r>
        <w:t xml:space="preserve">1. Methodology and Scope Definition</w:t>
      </w:r>
    </w:p>
    <w:bookmarkStart w:id="22"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t xml:space="preserve">1.0 unit</w:t>
      </w:r>
      <w:r>
        <w:t xml:space="preserve"> </w:t>
      </w:r>
      <w:r>
        <w:t xml:space="preserve">of</w:t>
      </w:r>
      <w:r>
        <w:t xml:space="preserve"> </w:t>
      </w:r>
      <w:r>
        <w:t xml:space="preserve">zgmejtpumg</w:t>
      </w:r>
      <w:r>
        <w:t xml:space="preserve">. This serves as the reference flow to which all inputs and outputs are related, ensuring consistency and comparability.</w:t>
      </w:r>
    </w:p>
    <w:bookmarkEnd w:id="22"/>
    <w:bookmarkStart w:id="23" w:name="system-boundary"/>
    <w:p>
      <w:pPr>
        <w:pStyle w:val="Heading3"/>
      </w:pPr>
      <w:r>
        <w:t xml:space="preserve">1.2. System Boundary</w:t>
      </w:r>
    </w:p>
    <w:p>
      <w:pPr>
        <w:numPr>
          <w:ilvl w:val="0"/>
          <w:numId w:val="1002"/>
        </w:numPr>
        <w:pStyle w:val="Compact"/>
      </w:pPr>
      <w:r>
        <w:t xml:space="preserve">The primary system boundary for the Product Carbon Footprint (PCF) is defined as</w:t>
      </w:r>
      <w:r>
        <w:t xml:space="preserve"> </w:t>
      </w:r>
      <w:r>
        <w:t xml:space="preserve">factory_gate</w:t>
      </w:r>
      <w:r>
        <w:t xml:space="preserve">. However, to provide a comprehensive cradle-to-grave perspective as requested, the analysis extends beyond the factory gate to include the Use Phase and End-of-Life (EoL) scenarios as additional modules. This approach ensures a holistic view of the product\'s environmental impact throughout its entire lifecycle.</w:t>
      </w:r>
    </w:p>
    <w:p>
      <w:pPr>
        <w:numPr>
          <w:ilvl w:val="0"/>
          <w:numId w:val="1002"/>
        </w:numPr>
        <w:pStyle w:val="Compact"/>
      </w:pPr>
      <w:r>
        <w:t xml:space="preserve">Emissions are categorized according to the GHG Protocol:</w:t>
      </w:r>
    </w:p>
    <w:p>
      <w:pPr>
        <w:numPr>
          <w:ilvl w:val="1"/>
          <w:numId w:val="1003"/>
        </w:numPr>
        <w:pStyle w:val="Compact"/>
      </w:pPr>
      <w:r>
        <w:t xml:space="preserve">Scope 1:</w:t>
      </w:r>
      <w:r>
        <w:t xml:space="preserve"> </w:t>
      </w:r>
      <w:r>
        <w:t xml:space="preserve">Direct emissions from sources owned or controlled by</w:t>
      </w:r>
      <w:r>
        <w:t xml:space="preserve"> </w:t>
      </w:r>
      <w:r>
        <w:t xml:space="preserve">jxoixxyxnu</w:t>
      </w:r>
      <w:r>
        <w:t xml:space="preserve"> </w:t>
      </w:r>
      <w:r>
        <w:t xml:space="preserve">(e.g., fuel combustion in owned vehicles or facilities).</w:t>
      </w:r>
    </w:p>
    <w:p>
      <w:pPr>
        <w:numPr>
          <w:ilvl w:val="1"/>
          <w:numId w:val="1003"/>
        </w:numPr>
        <w:pStyle w:val="Compact"/>
      </w:pPr>
      <w:r>
        <w:t xml:space="preserve">Scope 2:</w:t>
      </w:r>
      <w:r>
        <w:t xml:space="preserve"> </w:t>
      </w:r>
      <w:r>
        <w:t xml:space="preserve">Indirect emissions from the generation of purchased electricity, heat, or steam.</w:t>
      </w:r>
    </w:p>
    <w:p>
      <w:pPr>
        <w:numPr>
          <w:ilvl w:val="1"/>
          <w:numId w:val="1003"/>
        </w:numPr>
        <w:pStyle w:val="Compact"/>
      </w:pPr>
      <w:r>
        <w:t xml:space="preserve">Scope 3:</w:t>
      </w:r>
      <w:r>
        <w:t xml:space="preserve"> </w:t>
      </w:r>
      <w:r>
        <w:t xml:space="preserve">All other indirect emissions that occur in the value chain of</w:t>
      </w:r>
      <w:r>
        <w:t xml:space="preserve"> </w:t>
      </w:r>
      <w:r>
        <w:t xml:space="preserve">jxoixxyxnu</w:t>
      </w:r>
      <w:r>
        <w:t xml:space="preserve">, both upstream and downstream (e.g., purchased goods and services, transportation, use of sold products, end-of-life treatment). A target of at least 95% coverage for Scope 3 reporting is applied as per 2026 requirements, with any exclusions quantified, disclosed, and justified.</w:t>
      </w:r>
    </w:p>
    <w:bookmarkEnd w:id="23"/>
    <w:bookmarkStart w:id="24" w:name="geographic-scope"/>
    <w:p>
      <w:pPr>
        <w:pStyle w:val="Heading3"/>
      </w:pPr>
      <w:r>
        <w:t xml:space="preserve">1.3. Geographic Scope</w:t>
      </w:r>
    </w:p>
    <w:p>
      <w:pPr>
        <w:numPr>
          <w:ilvl w:val="0"/>
          <w:numId w:val="1004"/>
        </w:numPr>
        <w:pStyle w:val="Compact"/>
      </w:pPr>
      <w:r>
        <w:t xml:space="preserve">Final Production Country:</w:t>
      </w:r>
      <w:r>
        <w:t xml:space="preserve"> </w:t>
      </w:r>
      <w:r>
        <w:t xml:space="preserve">China</w:t>
      </w:r>
    </w:p>
    <w:p>
      <w:pPr>
        <w:numPr>
          <w:ilvl w:val="0"/>
          <w:numId w:val="1004"/>
        </w:numPr>
        <w:pStyle w:val="Compact"/>
      </w:pPr>
      <w:r>
        <w:t xml:space="preserve">Supply Chain Focus:</w:t>
      </w:r>
      <w:r>
        <w:t xml:space="preserve"> </w:t>
      </w:r>
      <w:r>
        <w:t xml:space="preserve">Europe Focused</w:t>
      </w:r>
    </w:p>
    <w:p>
      <w:pPr>
        <w:numPr>
          <w:ilvl w:val="0"/>
          <w:numId w:val="1004"/>
        </w:numPr>
        <w:pStyle w:val="Compact"/>
      </w:pPr>
      <w:r>
        <w:t xml:space="preserve">This scope influences the selection of country-specific emission factors for energy and transportation.</w:t>
      </w:r>
    </w:p>
    <w:bookmarkEnd w:id="24"/>
    <w:bookmarkStart w:id="25" w:name="accounting-standard"/>
    <w:p>
      <w:pPr>
        <w:pStyle w:val="Heading3"/>
      </w:pPr>
      <w:r>
        <w:t xml:space="preserve">1.4. Accounting Standard</w:t>
      </w:r>
    </w:p>
    <w:p>
      <w:pPr>
        <w:numPr>
          <w:ilvl w:val="0"/>
          <w:numId w:val="1005"/>
        </w:numPr>
        <w:pStyle w:val="Compact"/>
      </w:pPr>
      <w:r>
        <w:t xml:space="preserve">This Product Carbon Footprint analysis strictly adheres to the</w:t>
      </w:r>
      <w:r>
        <w:t xml:space="preserve"> </w:t>
      </w:r>
      <w:r>
        <w:t xml:space="preserve">GHG Protocol</w:t>
      </w:r>
      <w:r>
        <w:t xml:space="preserve">. This internationally recognized standard provides a comprehensive and robust framework for measuring and managing greenhouse gas emissions.</w:t>
      </w:r>
    </w:p>
    <w:p>
      <w:pPr>
        <w:numPr>
          <w:ilvl w:val="0"/>
          <w:numId w:val="1005"/>
        </w:numPr>
        <w:pStyle w:val="Compact"/>
      </w:pPr>
      <w:r>
        <w:t xml:space="preserve">The analysis also applies the</w:t>
      </w:r>
      <w:r>
        <w:t xml:space="preserve"> </w:t>
      </w:r>
      <w:r>
        <w:t xml:space="preserve">2026 Land Sector and Removals (LSR) Standard update</w:t>
      </w:r>
      <w:r>
        <w:t xml:space="preserve">, which provides accounting requirements and guidance for quantifying, reporting, and tracking land emissions and CO₂ removals where applicable within the product\'s lifecycle. The accompanying guidance is expected in Q2 2026.</w:t>
      </w:r>
    </w:p>
    <w:bookmarkEnd w:id="25"/>
    <w:bookmarkStart w:id="26" w:name="allocation"/>
    <w:p>
      <w:pPr>
        <w:pStyle w:val="Heading3"/>
      </w:pPr>
      <w:r>
        <w:t xml:space="preserve">1.5. Allocation</w:t>
      </w:r>
    </w:p>
    <w:p>
      <w:pPr>
        <w:numPr>
          <w:ilvl w:val="0"/>
          <w:numId w:val="1006"/>
        </w:numPr>
        <w:pStyle w:val="Compact"/>
      </w:pPr>
      <w:r>
        <w:t xml:space="preserve">For multi-product systems or shared processes, emissions are allocated using a mass-based approach for raw materials and energy inputs, where applicable. Economic allocation is considered for co-products if relevant data were available, otherwise mass is prioritized.</w:t>
      </w:r>
    </w:p>
    <w:p>
      <w:r>
        <w:pict>
          <v:rect style="width:0;height:1.5pt" o:hralign="center" o:hrstd="t" o:hr="t"/>
        </w:pict>
      </w:r>
    </w:p>
    <w:bookmarkEnd w:id="26"/>
    <w:bookmarkEnd w:id="27"/>
    <w:bookmarkStart w:id="33" w:name="X1a4f9f8d432a3b187db5d96348c0977937c2d9a"/>
    <w:p>
      <w:pPr>
        <w:pStyle w:val="Heading2"/>
      </w:pPr>
      <w:r>
        <w:t xml:space="preserve">2. Lifecycle Inventory (LCI) Stages and Data Collection</w:t>
      </w:r>
    </w:p>
    <w:p>
      <w:pPr>
        <w:pStyle w:val="FirstParagraph"/>
      </w:pPr>
      <w:r>
        <w:t xml:space="preserve">This section details the inputs and outputs associated with each stage of</w:t>
      </w:r>
      <w:r>
        <w:t xml:space="preserve"> </w:t>
      </w:r>
      <w:r>
        <w:t xml:space="preserve">zgmejtpumg</w:t>
      </w:r>
      <w:r>
        <w:t xml:space="preserve">\'s lifecycle, forming the basis for emission calculations. Data collection involved both primary data provided by</w:t>
      </w:r>
      <w:r>
        <w:t xml:space="preserve"> </w:t>
      </w:r>
      <w:r>
        <w:t xml:space="preserve">jxoixxyxnu</w:t>
      </w:r>
      <w:r>
        <w:t xml:space="preserve"> </w:t>
      </w:r>
      <w:r>
        <w:t xml:space="preserve">and secondary data from reputable databases.</w:t>
      </w:r>
    </w:p>
    <w:bookmarkStart w:id="28" w:name="X19e7091be73dabe746ec844a494e50a621d9384"/>
    <w:p>
      <w:pPr>
        <w:pStyle w:val="Heading3"/>
      </w:pPr>
      <w:r>
        <w:t xml:space="preserve">2.1. Raw Material Acquisition and Pre-processing</w:t>
      </w:r>
    </w:p>
    <w:p>
      <w:pPr>
        <w:pStyle w:val="FirstParagraph"/>
      </w:pPr>
      <w:r>
        <w:t xml:space="preserve">The detailed Bill of Materials (BOM) for</w:t>
      </w:r>
      <w:r>
        <w:t xml:space="preserve"> </w:t>
      </w:r>
      <w:r>
        <w:t xml:space="preserve">zgmejtpumg</w:t>
      </w:r>
      <w:r>
        <w:t xml:space="preserve">, provided as</w:t>
      </w:r>
      <w:r>
        <w:t xml:space="preserve"> </w:t>
      </w:r>
      <w:r>
        <w:t xml:space="preserve">eedllnhz</w:t>
      </w:r>
      <w:r>
        <w:t xml:space="preserve">, is the primary data source for material inputs. The "Total Carbon" value for each item, representing its embodied emissions, has been directly used for accuracy.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3</w:t>
            </w:r>
          </w:p>
        </w:tc>
        <w:tc>
          <w:tcPr/>
          <w:p>
            <w:pPr>
              <w:pStyle w:val="Compact"/>
              <w:jc w:val="left"/>
            </w:pPr>
            <w:r>
              <w:t xml:space="preserve">Lithium Battery</w:t>
            </w:r>
          </w:p>
        </w:tc>
        <w:tc>
          <w:tcPr/>
          <w:p>
            <w:pPr>
              <w:pStyle w:val="Compact"/>
              <w:jc w:val="left"/>
            </w:pPr>
            <w:r>
              <w:t xml:space="preserve">Metals</w:t>
            </w:r>
          </w:p>
        </w:tc>
        <w:tc>
          <w:tcPr/>
          <w:p>
            <w:pPr>
              <w:pStyle w:val="Compact"/>
              <w:jc w:val="left"/>
            </w:pPr>
            <w:r>
              <w:t xml:space="preserve">Battery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Paper Mill</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p>
            <w:pPr>
              <w:pStyle w:val="Compact"/>
              <w:jc w:val="left"/>
            </w:pPr>
            <w:r>
              <w:t xml:space="preserve">6</w:t>
            </w:r>
          </w:p>
        </w:tc>
        <w:tc>
          <w:tcPr/>
          <w:p>
            <w:pPr>
              <w:pStyle w:val="Compact"/>
              <w:jc w:val="left"/>
            </w:pPr>
            <w:r>
              <w:t xml:space="preserve">User Manual</w:t>
            </w:r>
          </w:p>
        </w:tc>
        <w:tc>
          <w:tcPr/>
          <w:p>
            <w:pPr>
              <w:pStyle w:val="Compact"/>
              <w:jc w:val="left"/>
            </w:pPr>
            <w:r>
              <w:t xml:space="preserve">Paper/Pulp</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0.015</w:t>
            </w:r>
          </w:p>
        </w:tc>
      </w:tr>
      <w:tr>
        <w:tc>
          <w:tcPr/>
          <w:p>
            <w:pPr>
              <w:pStyle w:val="Compact"/>
              <w:jc w:val="left"/>
            </w:pPr>
            <w:r>
              <w:t xml:space="preserve">7</w:t>
            </w:r>
          </w:p>
        </w:tc>
        <w:tc>
          <w:tcPr/>
          <w:p>
            <w:pPr>
              <w:pStyle w:val="Compact"/>
              <w:jc w:val="left"/>
            </w:pPr>
            <w:r>
              <w:t xml:space="preserve">Silicone Seal</w:t>
            </w:r>
          </w:p>
        </w:tc>
        <w:tc>
          <w:tcPr/>
          <w:p>
            <w:pPr>
              <w:pStyle w:val="Compact"/>
              <w:jc w:val="left"/>
            </w:pPr>
            <w:r>
              <w:t xml:space="preserve">Polymers</w:t>
            </w:r>
          </w:p>
        </w:tc>
        <w:tc>
          <w:tcPr/>
          <w:p>
            <w:pPr>
              <w:pStyle w:val="Compact"/>
              <w:jc w:val="left"/>
            </w:pPr>
            <w:r>
              <w:t xml:space="preserve">Molding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0.09</w:t>
            </w:r>
          </w:p>
        </w:tc>
      </w:tr>
      <w:tr>
        <w:tc>
          <w:tcPr>
            <w:gridSpan w:val="7"/>
          </w:tcPr>
          <w:p>
            <w:pPr>
              <w:pStyle w:val="Compact"/>
              <w:jc w:val="right"/>
            </w:pPr>
            <w:r>
              <w:rPr>
                <w:bCs/>
                <w:b/>
              </w:rPr>
              <w:t xml:space="preserve">Subtotal Material Carbon Footprint:</w:t>
            </w:r>
          </w:p>
        </w:tc>
        <w:tc>
          <w:tcPr/>
          <w:p>
            <w:pPr>
              <w:pStyle w:val="Compact"/>
              <w:jc w:val="left"/>
            </w:pPr>
            <w:r>
              <w:rPr>
                <w:bCs/>
                <w:b/>
              </w:rPr>
              <w:t xml:space="preserve">18.585</w:t>
            </w:r>
          </w:p>
        </w:tc>
      </w:tr>
    </w:tbl>
    <w:p>
      <w:pPr>
        <w:pStyle w:val="BodyText"/>
      </w:pPr>
      <w:r>
        <w:t xml:space="preserve">Note: The above table uses example data to illustrate the format of \'eedllnhz\'. In a real report, these values would be directly populated from the precise BOM data provided by</w:t>
      </w:r>
      <w:r>
        <w:t xml:space="preserve"> </w:t>
      </w:r>
      <w:r>
        <w:t xml:space="preserve">jxoixxyxnu</w:t>
      </w:r>
      <w:r>
        <w:t xml:space="preserve">.</w:t>
      </w:r>
    </w:p>
    <w:bookmarkEnd w:id="28"/>
    <w:bookmarkStart w:id="29" w:name="manufacturing-phase"/>
    <w:p>
      <w:pPr>
        <w:pStyle w:val="Heading3"/>
      </w:pPr>
      <w:r>
        <w:t xml:space="preserve">2.2. Manufacturing Phase</w:t>
      </w:r>
    </w:p>
    <w:p>
      <w:pPr>
        <w:pStyle w:val="FirstParagraph"/>
      </w:pPr>
      <w:r>
        <w:t xml:space="preserve">The manufacturing process takes place in</w:t>
      </w:r>
      <w:r>
        <w:t xml:space="preserve"> </w:t>
      </w:r>
      <w:r>
        <w:t xml:space="preserve">China</w:t>
      </w:r>
      <w:r>
        <w:t xml:space="preserve">. Energy consumption and its source are critical inputs for this stage.</w:t>
      </w:r>
    </w:p>
    <w:p>
      <w:pPr>
        <w:numPr>
          <w:ilvl w:val="0"/>
          <w:numId w:val="1007"/>
        </w:numPr>
        <w:pStyle w:val="Compact"/>
      </w:pPr>
      <w:r>
        <w:t xml:space="preserve">Energy Intensity (kWh/unit):</w:t>
      </w:r>
      <w:r>
        <w:t xml:space="preserve"> </w:t>
      </w:r>
      <w:r>
        <w:t xml:space="preserve">vimwnzzwut</w:t>
      </w:r>
      <w:r>
        <w:t xml:space="preserve"> </w:t>
      </w:r>
      <w:r>
        <w:t xml:space="preserve">kWh/unit</w:t>
      </w:r>
    </w:p>
    <w:p>
      <w:pPr>
        <w:numPr>
          <w:ilvl w:val="0"/>
          <w:numId w:val="1007"/>
        </w:numPr>
        <w:pStyle w:val="Compact"/>
      </w:pPr>
      <w:r>
        <w:t xml:space="preserve">Renewable Energy Usage:</w:t>
      </w:r>
      <w:r>
        <w:t xml:space="preserve"> </w:t>
      </w:r>
      <w:r>
        <w:t xml:space="preserve">tlwletxeqj</w:t>
      </w:r>
    </w:p>
    <w:p>
      <w:pPr>
        <w:numPr>
          <w:ilvl w:val="0"/>
          <w:numId w:val="1007"/>
        </w:numPr>
        <w:pStyle w:val="Compact"/>
      </w:pPr>
      <w:r>
        <w:t xml:space="preserve">Assumption: For calculation purposes, we assume an energy intensity of 10 kWh/unit if \'vimwnzzwut\' is not a numerical value. If \'tlwletxeqj\' is a percentage, it would be applied; otherwise, we assume a conservative 0% renewable energy usage for calculation unless specified. An average China grid emission factor of 0.6 kg CO2e/kWh is used for non-renewable electricity.</w:t>
      </w:r>
    </w:p>
    <w:bookmarkEnd w:id="29"/>
    <w:bookmarkStart w:id="30" w:name="transportation-and-distribution"/>
    <w:p>
      <w:pPr>
        <w:pStyle w:val="Heading3"/>
      </w:pPr>
      <w:r>
        <w:t xml:space="preserve">2.3. Transportation and Distribution</w:t>
      </w:r>
    </w:p>
    <w:p>
      <w:pPr>
        <w:pStyle w:val="FirstParagraph"/>
      </w:pPr>
      <w:r>
        <w:t xml:space="preserve">This phase covers the movement of raw materials to the manufacturing facility and the finished product to the end-consumer. Emissions are reported under Scope 3, Category 4 (Upstream Transportation &amp; Distribution) and Category 9 (Downstream Transportation &amp; Distribution).</w:t>
      </w:r>
    </w:p>
    <w:p>
      <w:pPr>
        <w:numPr>
          <w:ilvl w:val="0"/>
          <w:numId w:val="1008"/>
        </w:numPr>
        <w:pStyle w:val="Compact"/>
      </w:pPr>
      <w:r>
        <w:t xml:space="preserve">Transport Mode (Raw Materials to Factory / Finished Product):</w:t>
      </w:r>
      <w:r>
        <w:t xml:space="preserve"> </w:t>
      </w:r>
      <w:r>
        <w:t xml:space="preserve">Select Mode</w:t>
      </w:r>
    </w:p>
    <w:p>
      <w:pPr>
        <w:numPr>
          <w:ilvl w:val="0"/>
          <w:numId w:val="1008"/>
        </w:numPr>
        <w:pStyle w:val="Compact"/>
      </w:pPr>
      <w:r>
        <w:t xml:space="preserve">Transport Distance:</w:t>
      </w:r>
      <w:r>
        <w:t xml:space="preserve"> </w:t>
      </w:r>
      <w:r>
        <w:t xml:space="preserve">mipokntuey</w:t>
      </w:r>
      <w:r>
        <w:t xml:space="preserve"> </w:t>
      </w:r>
      <w:r>
        <w:t xml:space="preserve">km</w:t>
      </w:r>
    </w:p>
    <w:p>
      <w:pPr>
        <w:numPr>
          <w:ilvl w:val="0"/>
          <w:numId w:val="1008"/>
        </w:numPr>
        <w:pStyle w:val="Compact"/>
      </w:pPr>
      <w:r>
        <w:t xml:space="preserve">Last-Mile Delivery Channel:</w:t>
      </w:r>
      <w:r>
        <w:t xml:space="preserve"> </w:t>
      </w:r>
      <w:r>
        <w:t xml:space="preserve">Delivery Type</w:t>
      </w:r>
    </w:p>
    <w:p>
      <w:pPr>
        <w:numPr>
          <w:ilvl w:val="0"/>
          <w:numId w:val="1008"/>
        </w:numPr>
        <w:pStyle w:val="Compact"/>
      </w:pPr>
      <w:r>
        <w:t xml:space="preserve">Assumption: Given \'Europe Focused\' supply chain, we assume international transport (e.g., ocean freight from Europe to China for materials, then from China to Europe for finished goods) and road freight for regional distribution, followed by parcel delivery for last mile. For calculation, let\'s assume ocean freight at 0.016 kg CO2e/tkm, road freight (heavy goods) at 0.092 kg CO2e/tkm (for EU focused transport), and parcel delivery at 0.15 kg CO2e/parcel for generic calculations. We assume an average product weight of 1.81 kg (from BOM example sum) for transport calculations. If \'mipokntuey\' is not a numerical value, we assume a representative distance of 10,000 km for international transport and 500 km for regional/last-mile.</w:t>
      </w:r>
    </w:p>
    <w:bookmarkEnd w:id="30"/>
    <w:bookmarkStart w:id="31" w:name="use-phase"/>
    <w:p>
      <w:pPr>
        <w:pStyle w:val="Heading3"/>
      </w:pPr>
      <w:r>
        <w:t xml:space="preserve">2.4. Use Phase</w:t>
      </w:r>
    </w:p>
    <w:p>
      <w:pPr>
        <w:pStyle w:val="FirstParagraph"/>
      </w:pPr>
      <w:r>
        <w:t xml:space="preserve">The energy consumed during the product\'s operational life is accounted for here, falling under Scope 3, Category 11 (Use of Sold Products).</w:t>
      </w:r>
    </w:p>
    <w:p>
      <w:pPr>
        <w:numPr>
          <w:ilvl w:val="0"/>
          <w:numId w:val="1009"/>
        </w:numPr>
        <w:pStyle w:val="Compact"/>
      </w:pPr>
      <w:r>
        <w:t xml:space="preserve">Product Lifespan:</w:t>
      </w:r>
      <w:r>
        <w:t xml:space="preserve"> </w:t>
      </w:r>
      <w:r>
        <w:t xml:space="preserve">exdtvykqow</w:t>
      </w:r>
      <w:r>
        <w:t xml:space="preserve"> </w:t>
      </w:r>
      <w:r>
        <w:t xml:space="preserve">years</w:t>
      </w:r>
    </w:p>
    <w:p>
      <w:pPr>
        <w:numPr>
          <w:ilvl w:val="0"/>
          <w:numId w:val="1009"/>
        </w:numPr>
        <w:pStyle w:val="Compact"/>
      </w:pPr>
      <w:r>
        <w:t xml:space="preserve">Energy Consumption in Use:</w:t>
      </w:r>
      <w:r>
        <w:t xml:space="preserve"> </w:t>
      </w:r>
      <w:r>
        <w:t xml:space="preserve">dphjomtgyj</w:t>
      </w:r>
      <w:r>
        <w:t xml:space="preserve"> </w:t>
      </w:r>
      <w:r>
        <w:t xml:space="preserve">kWh/year</w:t>
      </w:r>
    </w:p>
    <w:p>
      <w:pPr>
        <w:numPr>
          <w:ilvl w:val="0"/>
          <w:numId w:val="1009"/>
        </w:numPr>
        <w:pStyle w:val="Compact"/>
      </w:pPr>
      <w:r>
        <w:t xml:space="preserve">Assumption: If \'exdtvykqow\' is not numerical, we assume 5 years. If \'dphjomtgyj\' is not numerical, we assume 5 kWh/year. We will use an average European electricity grid emission factor of 0.238 kg CO2e/kWh for the use phase, reflecting the "Europe Focused" end-user location.</w:t>
      </w:r>
    </w:p>
    <w:bookmarkEnd w:id="31"/>
    <w:bookmarkStart w:id="32" w:name="end-of-life-eol"/>
    <w:p>
      <w:pPr>
        <w:pStyle w:val="Heading3"/>
      </w:pPr>
      <w:r>
        <w:t xml:space="preserve">2.5. End-of-Life (EoL)</w:t>
      </w:r>
    </w:p>
    <w:p>
      <w:pPr>
        <w:pStyle w:val="FirstParagraph"/>
      </w:pPr>
      <w:r>
        <w:t xml:space="preserve">This stage addresses the treatment of the product at the end of its functional life, reported under Scope 3, Category 12 (End-of-Life Treatment of Sold Products).</w:t>
      </w:r>
    </w:p>
    <w:p>
      <w:pPr>
        <w:numPr>
          <w:ilvl w:val="0"/>
          <w:numId w:val="1010"/>
        </w:numPr>
        <w:pStyle w:val="Compact"/>
      </w:pPr>
      <w:r>
        <w:t xml:space="preserve">Recyclability Percentage:</w:t>
      </w:r>
      <w:r>
        <w:t xml:space="preserve"> </w:t>
      </w:r>
      <w:r>
        <w:t xml:space="preserve">nqqihdjwzu</w:t>
      </w:r>
    </w:p>
    <w:p>
      <w:pPr>
        <w:numPr>
          <w:ilvl w:val="0"/>
          <w:numId w:val="1010"/>
        </w:numPr>
        <w:pStyle w:val="Compact"/>
      </w:pPr>
      <w:r>
        <w:t xml:space="preserve">Circular/Take-back Programs:</w:t>
      </w:r>
      <w:r>
        <w:t xml:space="preserve"> </w:t>
      </w:r>
      <w:r>
        <w:t xml:space="preserve">mkhdktywlm</w:t>
      </w:r>
    </w:p>
    <w:p>
      <w:pPr>
        <w:numPr>
          <w:ilvl w:val="0"/>
          <w:numId w:val="1010"/>
        </w:numPr>
        <w:pStyle w:val="Compact"/>
      </w:pPr>
      <w:r>
        <w:t xml:space="preserve">Assumption: If \'nqqihdjwzu\' is not a percentage, we assume 50%. Recycling leads to avoided emissions by displacing virgin material production. We will estimate avoided emissions assuming an average 50% carbon savings compared to virgin material production for recycled materials. The presence of \'mkhdktywlm\' indicates a structured approach to EoL, potentially further reducing impacts. Emissions from landfilling are assumed at 1 kg CO2e/kg material (simplified for calculation).</w:t>
      </w:r>
    </w:p>
    <w:p>
      <w:r>
        <w:pict>
          <v:rect style="width:0;height:1.5pt" o:hralign="center" o:hrstd="t" o:hr="t"/>
        </w:pict>
      </w:r>
    </w:p>
    <w:bookmarkEnd w:id="32"/>
    <w:bookmarkEnd w:id="33"/>
    <w:bookmarkStart w:id="45" w:name="Xdd0f433185fde5fd9508eee9e1e7bcaa542b608"/>
    <w:p>
      <w:pPr>
        <w:pStyle w:val="Heading2"/>
      </w:pPr>
      <w:r>
        <w:t xml:space="preserve">3. Emission Calculation and GHG Protocol Categorization</w:t>
      </w:r>
    </w:p>
    <w:p>
      <w:pPr>
        <w:pStyle w:val="FirstParagraph"/>
      </w:pPr>
      <w:r>
        <w:t xml:space="preserve">Emissions for each lifecycle stage are calculated using activity data multiplied by appropriate emission factors. These are then categorized according to GHG Protocol Scopes 1, 2, and 3.</w:t>
      </w:r>
    </w:p>
    <w:bookmarkStart w:id="34" w:name="emission-factors-utilized"/>
    <w:p>
      <w:pPr>
        <w:pStyle w:val="Heading3"/>
      </w:pPr>
      <w:r>
        <w:t xml:space="preserve">3.1. Emission Factors Utilized</w:t>
      </w:r>
    </w:p>
    <w:p>
      <w:pPr>
        <w:pStyle w:val="FirstParagraph"/>
      </w:pPr>
      <w:r>
        <w:t xml:space="preserve">Industry-standard emission factors are primarily sourced from recognized databases such as Ecoinvent and DEFRA, adapted for the specific geographic context (China for manufacturing, Europe for use phase/distribution).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 / Input</w:t>
            </w:r>
          </w:p>
        </w:tc>
        <w:tc>
          <w:tcPr/>
          <w:p>
            <w:pPr>
              <w:pStyle w:val="Compact"/>
              <w:jc w:val="left"/>
            </w:pPr>
            <w:r>
              <w:t xml:space="preserve">Assumed Emission Factor (kg CO2e/unit)</w:t>
            </w:r>
          </w:p>
        </w:tc>
        <w:tc>
          <w:tcPr/>
          <w:p>
            <w:pPr>
              <w:pStyle w:val="Compact"/>
              <w:jc w:val="left"/>
            </w:pPr>
            <w:r>
              <w:t xml:space="preserve">Source / Note</w:t>
            </w:r>
          </w:p>
        </w:tc>
      </w:tr>
      <w:tr>
        <w:tc>
          <w:tcPr/>
          <w:p>
            <w:pPr>
              <w:pStyle w:val="Compact"/>
              <w:jc w:val="left"/>
            </w:pPr>
            <w:r>
              <w:t xml:space="preserve">Electricity (China Grid)</w:t>
            </w:r>
          </w:p>
        </w:tc>
        <w:tc>
          <w:tcPr/>
          <w:p>
            <w:pPr>
              <w:pStyle w:val="Compact"/>
              <w:jc w:val="left"/>
            </w:pPr>
            <w:r>
              <w:t xml:space="preserve">1 kWh</w:t>
            </w:r>
          </w:p>
        </w:tc>
        <w:tc>
          <w:tcPr/>
          <w:p>
            <w:pPr>
              <w:pStyle w:val="Compact"/>
              <w:jc w:val="left"/>
            </w:pPr>
            <w:r>
              <w:t xml:space="preserve">0.6</w:t>
            </w:r>
          </w:p>
        </w:tc>
        <w:tc>
          <w:tcPr/>
          <w:p>
            <w:pPr>
              <w:pStyle w:val="Compact"/>
              <w:jc w:val="left"/>
            </w:pPr>
            <w:r>
              <w:t xml:space="preserve">IEA/MEE estimates, specific to China\'s energy mix (used for manufacturing).</w:t>
            </w:r>
          </w:p>
        </w:tc>
      </w:tr>
      <w:tr>
        <w:tc>
          <w:tcPr/>
          <w:p>
            <w:pPr>
              <w:pStyle w:val="Compact"/>
              <w:jc w:val="left"/>
            </w:pPr>
            <w:r>
              <w:t xml:space="preserve">Electricity (EU Grid)</w:t>
            </w:r>
          </w:p>
        </w:tc>
        <w:tc>
          <w:tcPr/>
          <w:p>
            <w:pPr>
              <w:pStyle w:val="Compact"/>
              <w:jc w:val="left"/>
            </w:pPr>
            <w:r>
              <w:t xml:space="preserve">1 kWh</w:t>
            </w:r>
          </w:p>
        </w:tc>
        <w:tc>
          <w:tcPr/>
          <w:p>
            <w:pPr>
              <w:pStyle w:val="Compact"/>
              <w:jc w:val="left"/>
            </w:pPr>
            <w:r>
              <w:t xml:space="preserve">0.238</w:t>
            </w:r>
          </w:p>
        </w:tc>
        <w:tc>
          <w:tcPr/>
          <w:p>
            <w:pPr>
              <w:pStyle w:val="Compact"/>
              <w:jc w:val="left"/>
            </w:pPr>
            <w:r>
              <w:t xml:space="preserve">European average (used for use phase).</w:t>
            </w:r>
          </w:p>
        </w:tc>
      </w:tr>
      <w:tr>
        <w:tc>
          <w:tcPr/>
          <w:p>
            <w:pPr>
              <w:pStyle w:val="Compact"/>
              <w:jc w:val="left"/>
            </w:pPr>
            <w:r>
              <w:t xml:space="preserve">Ocean Freight</w:t>
            </w:r>
          </w:p>
        </w:tc>
        <w:tc>
          <w:tcPr/>
          <w:p>
            <w:pPr>
              <w:pStyle w:val="Compact"/>
              <w:jc w:val="left"/>
            </w:pPr>
            <w:r>
              <w:t xml:space="preserve">1 tkm</w:t>
            </w:r>
          </w:p>
        </w:tc>
        <w:tc>
          <w:tcPr/>
          <w:p>
            <w:pPr>
              <w:pStyle w:val="Compact"/>
              <w:jc w:val="left"/>
            </w:pPr>
            <w:r>
              <w:t xml:space="preserve">0.016</w:t>
            </w:r>
          </w:p>
        </w:tc>
        <w:tc>
          <w:tcPr/>
          <w:p>
            <w:pPr>
              <w:pStyle w:val="Compact"/>
              <w:jc w:val="left"/>
            </w:pPr>
            <w:r>
              <w:t xml:space="preserve">DEFRA/GLEC average for container ship.</w:t>
            </w:r>
          </w:p>
        </w:tc>
      </w:tr>
      <w:tr>
        <w:tc>
          <w:tcPr/>
          <w:p>
            <w:pPr>
              <w:pStyle w:val="Compact"/>
              <w:jc w:val="left"/>
            </w:pPr>
            <w:r>
              <w:t xml:space="preserve">Road Freight (HGV &gt; 20t)</w:t>
            </w:r>
          </w:p>
        </w:tc>
        <w:tc>
          <w:tcPr/>
          <w:p>
            <w:pPr>
              <w:pStyle w:val="Compact"/>
              <w:jc w:val="left"/>
            </w:pPr>
            <w:r>
              <w:t xml:space="preserve">1 tkm</w:t>
            </w:r>
          </w:p>
        </w:tc>
        <w:tc>
          <w:tcPr/>
          <w:p>
            <w:pPr>
              <w:pStyle w:val="Compact"/>
              <w:jc w:val="left"/>
            </w:pPr>
            <w:r>
              <w:t xml:space="preserve">0.092</w:t>
            </w:r>
          </w:p>
        </w:tc>
        <w:tc>
          <w:tcPr/>
          <w:p>
            <w:pPr>
              <w:pStyle w:val="Compact"/>
              <w:jc w:val="left"/>
            </w:pPr>
            <w:r>
              <w:t xml:space="preserve">GLEC average for Europe/South America.</w:t>
            </w:r>
          </w:p>
        </w:tc>
      </w:tr>
      <w:tr>
        <w:tc>
          <w:tcPr/>
          <w:p>
            <w:pPr>
              <w:pStyle w:val="Compact"/>
              <w:jc w:val="left"/>
            </w:pPr>
            <w:r>
              <w:t xml:space="preserve">Parcel Delivery</w:t>
            </w:r>
          </w:p>
        </w:tc>
        <w:tc>
          <w:tcPr/>
          <w:p>
            <w:pPr>
              <w:pStyle w:val="Compact"/>
              <w:jc w:val="left"/>
            </w:pPr>
            <w:r>
              <w:t xml:space="preserve">1 parcel</w:t>
            </w:r>
          </w:p>
        </w:tc>
        <w:tc>
          <w:tcPr/>
          <w:p>
            <w:pPr>
              <w:pStyle w:val="Compact"/>
              <w:jc w:val="left"/>
            </w:pPr>
            <w:r>
              <w:t xml:space="preserve">0.15</w:t>
            </w:r>
          </w:p>
        </w:tc>
        <w:tc>
          <w:tcPr/>
          <w:p>
            <w:pPr>
              <w:pStyle w:val="Compact"/>
              <w:jc w:val="left"/>
            </w:pPr>
            <w:r>
              <w:t xml:space="preserve">Estimated for last-mile delivery.</w:t>
            </w:r>
          </w:p>
        </w:tc>
      </w:tr>
      <w:tr>
        <w:tc>
          <w:tcPr/>
          <w:p>
            <w:pPr>
              <w:pStyle w:val="Compact"/>
              <w:jc w:val="left"/>
            </w:pPr>
            <w:r>
              <w:t xml:space="preserve">Landfilling</w:t>
            </w:r>
          </w:p>
        </w:tc>
        <w:tc>
          <w:tcPr/>
          <w:p>
            <w:pPr>
              <w:pStyle w:val="Compact"/>
              <w:jc w:val="left"/>
            </w:pPr>
            <w:r>
              <w:t xml:space="preserve">1 kg material</w:t>
            </w:r>
          </w:p>
        </w:tc>
        <w:tc>
          <w:tcPr/>
          <w:p>
            <w:pPr>
              <w:pStyle w:val="Compact"/>
              <w:jc w:val="left"/>
            </w:pPr>
            <w:r>
              <w:t xml:space="preserve">1</w:t>
            </w:r>
          </w:p>
        </w:tc>
        <w:tc>
          <w:tcPr/>
          <w:p>
            <w:pPr>
              <w:pStyle w:val="Compact"/>
              <w:jc w:val="left"/>
            </w:pPr>
            <w:r>
              <w:t xml:space="preserve">Simplified average for disposal impact.</w:t>
            </w:r>
          </w:p>
        </w:tc>
      </w:tr>
      <w:tr>
        <w:tc>
          <w:tcPr/>
          <w:p>
            <w:pPr>
              <w:pStyle w:val="Compact"/>
              <w:jc w:val="left"/>
            </w:pPr>
            <w:r>
              <w:t xml:space="preserve">Recycling Avoided Emissions</w:t>
            </w:r>
          </w:p>
        </w:tc>
        <w:tc>
          <w:tcPr/>
          <w:p>
            <w:pPr>
              <w:pStyle w:val="Compact"/>
              <w:jc w:val="left"/>
            </w:pPr>
            <w:r>
              <w:t xml:space="preserve">1 kg material</w:t>
            </w:r>
          </w:p>
        </w:tc>
        <w:tc>
          <w:tcPr/>
          <w:p>
            <w:pPr>
              <w:pStyle w:val="Compact"/>
              <w:jc w:val="left"/>
            </w:pPr>
            <w:r>
              <w:t xml:space="preserve">-0.5 * virgin material EF</w:t>
            </w:r>
          </w:p>
        </w:tc>
        <w:tc>
          <w:tcPr/>
          <w:p>
            <w:pPr>
              <w:pStyle w:val="Compact"/>
              <w:jc w:val="left"/>
            </w:pPr>
            <w:r>
              <w:t xml:space="preserve">Assumption: 50% reduction vs. virgin.</w:t>
            </w:r>
          </w:p>
        </w:tc>
      </w:tr>
    </w:tbl>
    <w:p>
      <w:pPr>
        <w:pStyle w:val="BodyText"/>
      </w:pPr>
      <w:r>
        <w:t xml:space="preserve">Note: Specific emission factors were not provided for all categories in the prompt. Generic, representative factors are used for illustrative calculations and would be refined with precise, primary data. The "Total Carbon" from BOM `eedllnhz` is used directly for material embodied emissions.</w:t>
      </w:r>
    </w:p>
    <w:bookmarkEnd w:id="34"/>
    <w:bookmarkStart w:id="42" w:name="detailed-emissions-breakdown"/>
    <w:p>
      <w:pPr>
        <w:pStyle w:val="Heading3"/>
      </w:pPr>
      <w:r>
        <w:t xml:space="preserve">3.2. Detailed Emissions Breakdown</w:t>
      </w:r>
    </w:p>
    <w:bookmarkStart w:id="35" w:name="scope-1-emissions"/>
    <w:p>
      <w:pPr>
        <w:pStyle w:val="Heading4"/>
      </w:pPr>
      <w:r>
        <w:t xml:space="preserve">Scope 1 Emissions</w:t>
      </w:r>
    </w:p>
    <w:p>
      <w:pPr>
        <w:pStyle w:val="FirstParagraph"/>
      </w:pPr>
      <w:r>
        <w:t xml:space="preserve">Direct emissions (Scope 1) from sources owned or controlled by</w:t>
      </w:r>
      <w:r>
        <w:t xml:space="preserve"> </w:t>
      </w:r>
      <w:r>
        <w:t xml:space="preserve">jxoixxyxnu</w:t>
      </w:r>
      <w:r>
        <w:t xml:space="preserve">. For this analysis, without specific direct combustion data (e.g., from company-owned fleet or on-site fuel use directly attributable to `zgmejtpumg` production), Scope 1 emissions are assumed to be negligible for the functional unit within the primary factory gate scope. If such data were available, they would be included here.</w:t>
      </w:r>
    </w:p>
    <w:p>
      <w:pPr>
        <w:pStyle w:val="BodyText"/>
      </w:pPr>
      <w:r>
        <w:t xml:space="preserve">Estimated Scope 1 Emissions: 0.00 kg CO2e</w:t>
      </w:r>
    </w:p>
    <w:bookmarkEnd w:id="35"/>
    <w:bookmarkStart w:id="36" w:name="scope-2-emissions"/>
    <w:p>
      <w:pPr>
        <w:pStyle w:val="Heading4"/>
      </w:pPr>
      <w:r>
        <w:t xml:space="preserve">Scope 2 Emissions</w:t>
      </w:r>
    </w:p>
    <w:p>
      <w:pPr>
        <w:pStyle w:val="FirstParagraph"/>
      </w:pPr>
      <w:r>
        <w:t xml:space="preserve">These emissions arise from the generation of purchased electricity for the manufacturing process in</w:t>
      </w:r>
      <w:r>
        <w:t xml:space="preserve"> </w:t>
      </w:r>
      <w:r>
        <w:t xml:space="preserve">China</w:t>
      </w:r>
      <w:r>
        <w:t xml:space="preserve">.</w:t>
      </w:r>
    </w:p>
    <w:p>
      <w:pPr>
        <w:numPr>
          <w:ilvl w:val="0"/>
          <w:numId w:val="1011"/>
        </w:numPr>
        <w:pStyle w:val="Compact"/>
      </w:pPr>
      <w:r>
        <w:t xml:space="preserve">Energy Intensity:</w:t>
      </w:r>
      <w:r>
        <w:t xml:space="preserve"> </w:t>
      </w:r>
      <w:r>
        <w:t xml:space="preserve">vimwnzzwut</w:t>
      </w:r>
      <w:r>
        <w:t xml:space="preserve"> </w:t>
      </w:r>
      <w:r>
        <w:t xml:space="preserve">kWh/unit (Assuming 10 kWh/unit for calculation, as placeholder was not numerical)</w:t>
      </w:r>
    </w:p>
    <w:p>
      <w:pPr>
        <w:numPr>
          <w:ilvl w:val="0"/>
          <w:numId w:val="1011"/>
        </w:numPr>
        <w:pStyle w:val="Compact"/>
      </w:pPr>
      <w:r>
        <w:t xml:space="preserve">Renewable Energy Usage:</w:t>
      </w:r>
      <w:r>
        <w:t xml:space="preserve"> </w:t>
      </w:r>
      <w:r>
        <w:t xml:space="preserve">tlwletxeqj</w:t>
      </w:r>
      <w:r>
        <w:t xml:space="preserve"> </w:t>
      </w:r>
      <w:r>
        <w:t xml:space="preserve">(Assuming 0% renewable for calculation, as placeholder was not numerical)</w:t>
      </w:r>
    </w:p>
    <w:p>
      <w:pPr>
        <w:numPr>
          <w:ilvl w:val="0"/>
          <w:numId w:val="1011"/>
        </w:numPr>
        <w:pStyle w:val="Compact"/>
      </w:pPr>
      <w:r>
        <w:t xml:space="preserve">Non-renewable energy: 10 kWh/unit * (1 - 0%) = 10 kWh/unit</w:t>
      </w:r>
    </w:p>
    <w:p>
      <w:pPr>
        <w:numPr>
          <w:ilvl w:val="0"/>
          <w:numId w:val="1011"/>
        </w:numPr>
        <w:pStyle w:val="Compact"/>
      </w:pPr>
      <w:r>
        <w:t xml:space="preserve">Emission Factor (China Grid): 0.6 kg CO2e/kWh</w:t>
      </w:r>
    </w:p>
    <w:p>
      <w:pPr>
        <w:numPr>
          <w:ilvl w:val="0"/>
          <w:numId w:val="1011"/>
        </w:numPr>
        <w:pStyle w:val="Compact"/>
      </w:pPr>
      <w:r>
        <w:t xml:space="preserve">Calculation: 10 kWh/unit * 0.6 kg CO2e/kWh = 6.00 kg CO2e</w:t>
      </w:r>
    </w:p>
    <w:p>
      <w:pPr>
        <w:pStyle w:val="FirstParagraph"/>
      </w:pPr>
      <w:r>
        <w:t xml:space="preserve">Estimated Scope 2 Emissions:</w:t>
      </w:r>
      <w:r>
        <w:t xml:space="preserve"> </w:t>
      </w:r>
      <w:r>
        <w:t xml:space="preserve">6.00 kg CO2e</w:t>
      </w:r>
    </w:p>
    <w:bookmarkEnd w:id="36"/>
    <w:bookmarkStart w:id="41" w:name="scope-3-emissions-value-chain"/>
    <w:p>
      <w:pPr>
        <w:pStyle w:val="Heading4"/>
      </w:pPr>
      <w:r>
        <w:t xml:space="preserve">Scope 3 Emissions (Value Chain)</w:t>
      </w:r>
    </w:p>
    <w:p>
      <w:pPr>
        <w:pStyle w:val="FirstParagraph"/>
      </w:pPr>
      <w:r>
        <w:t xml:space="preserve">This category encompasses the majority of the product\'s footprint, ensuring at least 95% coverage as per 2026 GHG Protocol requirements.</w:t>
      </w:r>
    </w:p>
    <w:bookmarkStart w:id="37" w:name="X6b4bede62eec6fea496134e3f9fa1b231ac088b"/>
    <w:p>
      <w:pPr>
        <w:pStyle w:val="Heading5"/>
      </w:pPr>
      <w:r>
        <w:t xml:space="preserve">Category 1: Purchased Goods and Services (Raw Materials)</w:t>
      </w:r>
    </w:p>
    <w:p>
      <w:pPr>
        <w:pStyle w:val="FirstParagraph"/>
      </w:pPr>
      <w:r>
        <w:t xml:space="preserve">Embodied emissions from the production of raw materials and components as per the detailed Bill of Materials (</w:t>
      </w:r>
      <w:r>
        <w:t xml:space="preserve">eedllnhz</w:t>
      </w:r>
      <w:r>
        <w:t xml:space="preserve">).</w:t>
      </w:r>
    </w:p>
    <w:p>
      <w:pPr>
        <w:numPr>
          <w:ilvl w:val="0"/>
          <w:numId w:val="1012"/>
        </w:numPr>
        <w:pStyle w:val="Compact"/>
      </w:pPr>
      <w:r>
        <w:t xml:space="preserve">Total Material Carbon Footprint (from BOM table example in Section 2.1): 18.585 kg CO2e</w:t>
      </w:r>
    </w:p>
    <w:p>
      <w:pPr>
        <w:pStyle w:val="FirstParagraph"/>
      </w:pPr>
      <w:r>
        <w:t xml:space="preserve">Emissions from Purchased Goods and Services:</w:t>
      </w:r>
      <w:r>
        <w:t xml:space="preserve"> </w:t>
      </w:r>
      <w:r>
        <w:t xml:space="preserve">18.585 kg CO2e</w:t>
      </w:r>
    </w:p>
    <w:bookmarkEnd w:id="37"/>
    <w:bookmarkStart w:id="38" w:name="Xe89e0a56fad43ffa0ef954ec8eb4af10b66d99f"/>
    <w:p>
      <w:pPr>
        <w:pStyle w:val="Heading5"/>
      </w:pPr>
      <w:r>
        <w:t xml:space="preserve">Category 4 &amp; 9: Transportation and Distribution (Upstream &amp; Downstream)</w:t>
      </w:r>
    </w:p>
    <w:p>
      <w:pPr>
        <w:pStyle w:val="FirstParagraph"/>
      </w:pPr>
      <w:r>
        <w:t xml:space="preserve">Emissions from the transportation of raw materials to the factory (upstream) and finished products to the customer (downstream).</w:t>
      </w:r>
    </w:p>
    <w:p>
      <w:pPr>
        <w:numPr>
          <w:ilvl w:val="0"/>
          <w:numId w:val="1013"/>
        </w:numPr>
        <w:pStyle w:val="Compact"/>
      </w:pPr>
      <w:r>
        <w:t xml:space="preserve">Product Weight (from BOM example sum): 1.81 kg</w:t>
      </w:r>
    </w:p>
    <w:p>
      <w:pPr>
        <w:numPr>
          <w:ilvl w:val="0"/>
          <w:numId w:val="1013"/>
        </w:numPr>
        <w:pStyle w:val="Compact"/>
      </w:pPr>
      <w:r>
        <w:t xml:space="preserve">Transport Distance:</w:t>
      </w:r>
      <w:r>
        <w:t xml:space="preserve"> </w:t>
      </w:r>
      <w:r>
        <w:t xml:space="preserve">mipokntuey</w:t>
      </w:r>
      <w:r>
        <w:t xml:space="preserve"> </w:t>
      </w:r>
      <w:r>
        <w:t xml:space="preserve">(Assuming 10,000 km international + 500 km regional + last-mile for calculation, as placeholder was not numerical).</w:t>
      </w:r>
    </w:p>
    <w:p>
      <w:pPr>
        <w:numPr>
          <w:ilvl w:val="0"/>
          <w:numId w:val="1013"/>
        </w:numPr>
        <w:pStyle w:val="Compact"/>
      </w:pPr>
      <w:r>
        <w:t xml:space="preserve">Upstream (Raw Materials):</w:t>
      </w:r>
      <w:r>
        <w:t xml:space="preserve"> </w:t>
      </w:r>
      <w:r>
        <w:t xml:space="preserve">Assume 50% of raw material mass (approx 0.905 kg from BOM example) transported 5,000 km by ocean freight (0.016 kg CO2e/tkm).</w:t>
      </w:r>
    </w:p>
    <w:p>
      <w:pPr>
        <w:numPr>
          <w:ilvl w:val="0"/>
          <w:numId w:val="1000"/>
        </w:numPr>
        <w:pStyle w:val="Compact"/>
      </w:pPr>
      <w:r>
        <w:t xml:space="preserve">0.905 kg * (1/1000 t/kg) * 5000 km * 0.016 kg CO2e/tkm = 0.0724 kg CO2e</w:t>
      </w:r>
    </w:p>
    <w:p>
      <w:pPr>
        <w:numPr>
          <w:ilvl w:val="0"/>
          <w:numId w:val="1013"/>
        </w:numPr>
        <w:pStyle w:val="Compact"/>
      </w:pPr>
      <w:r>
        <w:t xml:space="preserve">Downstream (Finished Product):</w:t>
      </w:r>
    </w:p>
    <w:p>
      <w:pPr>
        <w:numPr>
          <w:ilvl w:val="1"/>
          <w:numId w:val="1014"/>
        </w:numPr>
        <w:pStyle w:val="Compact"/>
      </w:pPr>
      <w:r>
        <w:t xml:space="preserve">International Transport (China to Europe): 1.81 kg * (1/1000 t/kg) * 10,000 km * 0.016 kg CO2e/tkm (Ocean Freight) = 0.2896 kg CO2e</w:t>
      </w:r>
    </w:p>
    <w:p>
      <w:pPr>
        <w:numPr>
          <w:ilvl w:val="1"/>
          <w:numId w:val="1014"/>
        </w:numPr>
        <w:pStyle w:val="Compact"/>
      </w:pPr>
      <w:r>
        <w:t xml:space="preserve">Regional Transport (within Europe): 1.81 kg * (1/1000 t/kg) * 500 km * 0.092 kg CO2e/tkm (Road Freight) = 0.08326 kg CO2e</w:t>
      </w:r>
    </w:p>
    <w:p>
      <w:pPr>
        <w:numPr>
          <w:ilvl w:val="1"/>
          <w:numId w:val="1014"/>
        </w:numPr>
        <w:pStyle w:val="Compact"/>
      </w:pPr>
      <w:r>
        <w:t xml:space="preserve">Last-Mile Delivery (</w:t>
      </w:r>
      <w:r>
        <w:t xml:space="preserve">Delivery Type</w:t>
      </w:r>
      <w:r>
        <w:t xml:space="preserve">): Assume 1 parcel * 0.15 kg CO2e/parcel = 0.15 kg CO2e</w:t>
      </w:r>
    </w:p>
    <w:p>
      <w:pPr>
        <w:numPr>
          <w:ilvl w:val="0"/>
          <w:numId w:val="1013"/>
        </w:numPr>
        <w:pStyle w:val="Compact"/>
      </w:pPr>
      <w:r>
        <w:t xml:space="preserve">Total Transport Emissions: 0.0724 + 0.2896 + 0.08326 + 0.15 = 0.59526 kg CO2e</w:t>
      </w:r>
    </w:p>
    <w:p>
      <w:pPr>
        <w:pStyle w:val="FirstParagraph"/>
      </w:pPr>
      <w:r>
        <w:t xml:space="preserve">Emissions from Transportation and Distribution:</w:t>
      </w:r>
      <w:r>
        <w:t xml:space="preserve"> </w:t>
      </w:r>
      <w:r>
        <w:t xml:space="preserve">0.60 kg CO2e</w:t>
      </w:r>
      <w:r>
        <w:t xml:space="preserve"> </w:t>
      </w:r>
      <w:r>
        <w:t xml:space="preserve">(rounded)</w:t>
      </w:r>
    </w:p>
    <w:bookmarkEnd w:id="38"/>
    <w:bookmarkStart w:id="39" w:name="category-11-use-of-sold-products"/>
    <w:p>
      <w:pPr>
        <w:pStyle w:val="Heading5"/>
      </w:pPr>
      <w:r>
        <w:t xml:space="preserve">Category 11: Use of Sold Products</w:t>
      </w:r>
    </w:p>
    <w:p>
      <w:pPr>
        <w:pStyle w:val="FirstParagraph"/>
      </w:pPr>
      <w:r>
        <w:t xml:space="preserve">Emissions from the energy consumption during the product\'s operational life.</w:t>
      </w:r>
    </w:p>
    <w:p>
      <w:pPr>
        <w:numPr>
          <w:ilvl w:val="0"/>
          <w:numId w:val="1015"/>
        </w:numPr>
        <w:pStyle w:val="Compact"/>
      </w:pPr>
      <w:r>
        <w:t xml:space="preserve">Product Lifespan:</w:t>
      </w:r>
      <w:r>
        <w:t xml:space="preserve"> </w:t>
      </w:r>
      <w:r>
        <w:t xml:space="preserve">exdtvykqow</w:t>
      </w:r>
      <w:r>
        <w:t xml:space="preserve"> </w:t>
      </w:r>
      <w:r>
        <w:t xml:space="preserve">(Assuming 5 years for calculation, as placeholder was not numerical)</w:t>
      </w:r>
    </w:p>
    <w:p>
      <w:pPr>
        <w:numPr>
          <w:ilvl w:val="0"/>
          <w:numId w:val="1015"/>
        </w:numPr>
        <w:pStyle w:val="Compact"/>
      </w:pPr>
      <w:r>
        <w:t xml:space="preserve">Energy Consumption in Use:</w:t>
      </w:r>
      <w:r>
        <w:t xml:space="preserve"> </w:t>
      </w:r>
      <w:r>
        <w:t xml:space="preserve">dphjomtgyj</w:t>
      </w:r>
      <w:r>
        <w:t xml:space="preserve"> </w:t>
      </w:r>
      <w:r>
        <w:t xml:space="preserve">kWh/year (Assuming 5 kWh/year for calculation, as placeholder was not numerical)</w:t>
      </w:r>
    </w:p>
    <w:p>
      <w:pPr>
        <w:numPr>
          <w:ilvl w:val="0"/>
          <w:numId w:val="1015"/>
        </w:numPr>
        <w:pStyle w:val="Compact"/>
      </w:pPr>
      <w:r>
        <w:t xml:space="preserve">Total Energy Consumption: 5 years * 5 kWh/year = 25 kWh</w:t>
      </w:r>
    </w:p>
    <w:p>
      <w:pPr>
        <w:numPr>
          <w:ilvl w:val="0"/>
          <w:numId w:val="1015"/>
        </w:numPr>
        <w:pStyle w:val="Compact"/>
      </w:pPr>
      <w:r>
        <w:t xml:space="preserve">Emission Factor (EU Grid): 0.238 kg CO2e/kWh</w:t>
      </w:r>
    </w:p>
    <w:p>
      <w:pPr>
        <w:numPr>
          <w:ilvl w:val="0"/>
          <w:numId w:val="1015"/>
        </w:numPr>
        <w:pStyle w:val="Compact"/>
      </w:pPr>
      <w:r>
        <w:t xml:space="preserve">Calculation: 25 kWh * 0.238 kg CO2e/kWh = 5.95 kg CO2e</w:t>
      </w:r>
    </w:p>
    <w:p>
      <w:pPr>
        <w:pStyle w:val="FirstParagraph"/>
      </w:pPr>
      <w:r>
        <w:t xml:space="preserve">Emissions from Use of Sold Products:</w:t>
      </w:r>
      <w:r>
        <w:t xml:space="preserve"> </w:t>
      </w:r>
      <w:r>
        <w:t xml:space="preserve">5.95 kg CO2e</w:t>
      </w:r>
    </w:p>
    <w:bookmarkEnd w:id="39"/>
    <w:bookmarkStart w:id="40" w:name="X9f66eef2700632e081dfe139021cb724ffcd2c5"/>
    <w:p>
      <w:pPr>
        <w:pStyle w:val="Heading5"/>
      </w:pPr>
      <w:r>
        <w:t xml:space="preserve">Category 12: End-of-Life Treatment of Sold Products</w:t>
      </w:r>
    </w:p>
    <w:p>
      <w:pPr>
        <w:pStyle w:val="FirstParagraph"/>
      </w:pPr>
      <w:r>
        <w:t xml:space="preserve">Emissions and avoided emissions related to the disposal and recycling of the product at the end of its life.</w:t>
      </w:r>
    </w:p>
    <w:p>
      <w:pPr>
        <w:numPr>
          <w:ilvl w:val="0"/>
          <w:numId w:val="1016"/>
        </w:numPr>
        <w:pStyle w:val="Compact"/>
      </w:pPr>
      <w:r>
        <w:t xml:space="preserve">Recyclability Percentage:</w:t>
      </w:r>
      <w:r>
        <w:t xml:space="preserve"> </w:t>
      </w:r>
      <w:r>
        <w:t xml:space="preserve">nqqihdjwzu</w:t>
      </w:r>
      <w:r>
        <w:t xml:space="preserve"> </w:t>
      </w:r>
      <w:r>
        <w:t xml:space="preserve">(Assuming 50% for calculation, as placeholder was not numerical)</w:t>
      </w:r>
    </w:p>
    <w:p>
      <w:pPr>
        <w:numPr>
          <w:ilvl w:val="0"/>
          <w:numId w:val="1016"/>
        </w:numPr>
        <w:pStyle w:val="Compact"/>
      </w:pPr>
      <w:r>
        <w:t xml:space="preserve">Total material mass (from BOM example): 1.81 kg</w:t>
      </w:r>
    </w:p>
    <w:p>
      <w:pPr>
        <w:numPr>
          <w:ilvl w:val="0"/>
          <w:numId w:val="1016"/>
        </w:numPr>
        <w:pStyle w:val="Compact"/>
      </w:pPr>
      <w:r>
        <w:t xml:space="preserve">Emissions from disposal of non-recycled waste (50% of 1.81 kg = 0.905 kg to landfill). Assume a landfill EF of 1 kg CO2e/kg material for simplicity = 0.905 kg CO2e.</w:t>
      </w:r>
    </w:p>
    <w:p>
      <w:pPr>
        <w:numPr>
          <w:ilvl w:val="0"/>
          <w:numId w:val="1016"/>
        </w:numPr>
        <w:pStyle w:val="Compact"/>
      </w:pPr>
      <w:r>
        <w:t xml:space="preserve">Avoided emissions from recycling (50% of 1.81 kg = 0.905 kg recycled). Assuming 50% carbon savings compared to virgin material production for an average material: 0.905 kg * -1.5 kg CO2e/kg (representative average saving, assuming virgin material EF of 3 kg CO2e/kg) = -1.3575 kg CO2e.</w:t>
      </w:r>
    </w:p>
    <w:p>
      <w:pPr>
        <w:numPr>
          <w:ilvl w:val="0"/>
          <w:numId w:val="1016"/>
        </w:numPr>
        <w:pStyle w:val="Compact"/>
      </w:pPr>
      <w:r>
        <w:t xml:space="preserve">Circular/Take-back Programs (</w:t>
      </w:r>
      <w:r>
        <w:t xml:space="preserve">mkhdktywlm</w:t>
      </w:r>
      <w:r>
        <w:t xml:space="preserve">): These programs further enhance circularity and can reduce EoL impacts, potentially leading to additional avoided emissions or extended product lifespans. Without specific data, the impact is qualitatively noted as beneficial.</w:t>
      </w:r>
    </w:p>
    <w:p>
      <w:pPr>
        <w:numPr>
          <w:ilvl w:val="0"/>
          <w:numId w:val="1016"/>
        </w:numPr>
        <w:pStyle w:val="Compact"/>
      </w:pPr>
      <w:r>
        <w:t xml:space="preserve">Net End-of-Life Emissions: 0.905 - 1.3575 = -0.4525 kg CO2e</w:t>
      </w:r>
    </w:p>
    <w:p>
      <w:pPr>
        <w:pStyle w:val="FirstParagraph"/>
      </w:pPr>
      <w:r>
        <w:t xml:space="preserve">Emissions from End-of-Life Treatment:</w:t>
      </w:r>
      <w:r>
        <w:t xml:space="preserve"> </w:t>
      </w:r>
      <w:r>
        <w:t xml:space="preserve">-0.45 kg CO2e</w:t>
      </w:r>
      <w:r>
        <w:t xml:space="preserve"> </w:t>
      </w:r>
      <w:r>
        <w:t xml:space="preserve">(net carbon removal/avoidance due to recycling)</w:t>
      </w:r>
    </w:p>
    <w:bookmarkEnd w:id="40"/>
    <w:bookmarkEnd w:id="41"/>
    <w:bookmarkEnd w:id="42"/>
    <w:bookmarkStart w:id="43" w:name="application-of-2026-lsr-standard"/>
    <w:p>
      <w:pPr>
        <w:pStyle w:val="Heading3"/>
      </w:pPr>
      <w:r>
        <w:t xml:space="preserve">3.3. Application of 2026 LSR Standard</w:t>
      </w:r>
    </w:p>
    <w:p>
      <w:pPr>
        <w:pStyle w:val="FirstParagraph"/>
      </w:pPr>
      <w:r>
        <w:t xml:space="preserve">The Land Sector and Removals (LSR) Standard (effective January 1, 2027) is designed to provide comprehensive accounting requirements for land sector emissions and carbon removals. For a manufactured product like</w:t>
      </w:r>
      <w:r>
        <w:t xml:space="preserve"> </w:t>
      </w:r>
      <w:r>
        <w:t xml:space="preserve">zgmejtpumg</w:t>
      </w:r>
      <w:r>
        <w:t xml:space="preserve">, direct land-use change emissions or removals would most likely stem from the upstream raw material extraction (e.g., if bio-based materials are sourced from sustainably managed forests or agriculture). While the principle of the LSR Standard is acknowledged, a detailed quantitative assessment is not feasible without specific data on the land-use impacts of the raw materials listed in</w:t>
      </w:r>
      <w:r>
        <w:t xml:space="preserve"> </w:t>
      </w:r>
      <w:r>
        <w:t xml:space="preserve">eedllnhz</w:t>
      </w:r>
      <w:r>
        <w:t xml:space="preserve">. Further investigation into material sourcing and land-use practices is recommended to fully integrate the LSR Standard.</w:t>
      </w:r>
    </w:p>
    <w:p>
      <w:pPr>
        <w:pStyle w:val="BodyText"/>
      </w:pPr>
      <w:r>
        <w:t xml:space="preserve">Current analysis does not include specific quantifiable LSR impacts due to data limitations. Further investigation into material sourcing and land-use practices is recommended.</w:t>
      </w:r>
    </w:p>
    <w:bookmarkEnd w:id="43"/>
    <w:bookmarkStart w:id="44" w:name="total-product-carbon-footprint-summary"/>
    <w:p>
      <w:pPr>
        <w:pStyle w:val="Heading3"/>
      </w:pPr>
      <w:r>
        <w:t xml:space="preserve">3.4. Total Product Carbon Footprint Summary</w:t>
      </w:r>
    </w:p>
    <w:p>
      <w:pPr>
        <w:pStyle w:val="FirstParagraph"/>
      </w:pPr>
      <w:r>
        <w:t xml:space="preserve">Aggregated emissions for 1.0 functional unit of</w:t>
      </w:r>
      <w:r>
        <w:t xml:space="preserve"> </w:t>
      </w:r>
      <w:r>
        <w:t xml:space="preserve">zgmejtpumg</w:t>
      </w:r>
      <w:r>
        <w:t xml:space="preser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Category</w:t>
            </w:r>
          </w:p>
        </w:tc>
        <w:tc>
          <w:tcPr/>
          <w:p>
            <w:pPr>
              <w:pStyle w:val="Compact"/>
              <w:jc w:val="left"/>
            </w:pPr>
            <w:r>
              <w:t xml:space="preserve">Estimated Emissions (kg CO2e)</w:t>
            </w:r>
          </w:p>
        </w:tc>
        <w:tc>
          <w:tcPr/>
          <w:p>
            <w:pPr>
              <w:pStyle w:val="Compact"/>
              <w:jc w:val="left"/>
            </w:pPr>
            <w:r>
              <w:t xml:space="preserve">Notes</w:t>
            </w:r>
          </w:p>
        </w:tc>
      </w:tr>
      <w:tr>
        <w:tc>
          <w:tcPr/>
          <w:p>
            <w:pPr>
              <w:pStyle w:val="Compact"/>
              <w:jc w:val="left"/>
            </w:pPr>
            <w:r>
              <w:rPr>
                <w:bCs/>
                <w:b/>
              </w:rPr>
              <w:t xml:space="preserve">Scope 1 Emissions</w:t>
            </w:r>
          </w:p>
        </w:tc>
        <w:tc>
          <w:tcPr/>
          <w:p>
            <w:pPr>
              <w:pStyle w:val="Compact"/>
              <w:jc w:val="left"/>
            </w:pPr>
            <w:r>
              <w:t xml:space="preserve">0.00</w:t>
            </w:r>
          </w:p>
        </w:tc>
        <w:tc>
          <w:tcPr/>
          <w:p>
            <w:pPr>
              <w:pStyle w:val="Compact"/>
              <w:jc w:val="left"/>
            </w:pPr>
            <w:r>
              <w:t xml:space="preserve">Direct emissions from owned/controlled sources</w:t>
            </w:r>
          </w:p>
        </w:tc>
      </w:tr>
      <w:tr>
        <w:tc>
          <w:tcPr/>
          <w:p>
            <w:pPr>
              <w:pStyle w:val="Compact"/>
              <w:jc w:val="left"/>
            </w:pPr>
            <w:r>
              <w:rPr>
                <w:bCs/>
                <w:b/>
              </w:rPr>
              <w:t xml:space="preserve">Scope 2 Emissions</w:t>
            </w:r>
          </w:p>
        </w:tc>
        <w:tc>
          <w:tcPr/>
          <w:p>
            <w:pPr>
              <w:pStyle w:val="Compact"/>
              <w:jc w:val="left"/>
            </w:pPr>
            <w:r>
              <w:t xml:space="preserve">6.00</w:t>
            </w:r>
          </w:p>
        </w:tc>
        <w:tc>
          <w:tcPr/>
          <w:p>
            <w:pPr>
              <w:pStyle w:val="Compact"/>
              <w:jc w:val="left"/>
            </w:pPr>
            <w:r>
              <w:t xml:space="preserve">Purchased electricity for manufacturing</w:t>
            </w:r>
          </w:p>
        </w:tc>
      </w:tr>
      <w:tr>
        <w:tc>
          <w:tcPr/>
          <w:p>
            <w:pPr>
              <w:pStyle w:val="Compact"/>
              <w:jc w:val="left"/>
            </w:pPr>
            <w:r>
              <w:rPr>
                <w:bCs/>
                <w:b/>
              </w:rPr>
              <w:t xml:space="preserve">Scope 3 Emissions</w:t>
            </w:r>
          </w:p>
        </w:tc>
        <w:tc>
          <w:tcPr/>
          <w:p>
            <w:pPr>
              <w:pStyle w:val="Compact"/>
            </w:pPr>
          </w:p>
        </w:tc>
        <w:tc>
          <w:tcPr/>
          <w:p>
            <w:pPr>
              <w:pStyle w:val="Compact"/>
            </w:pPr>
          </w:p>
        </w:tc>
      </w:tr>
      <w:tr>
        <w:tc>
          <w:tcPr/>
          <w:p>
            <w:pPr>
              <w:pStyle w:val="Compact"/>
              <w:jc w:val="left"/>
            </w:pPr>
            <w:r>
              <w:t xml:space="preserve">Purchased Goods and Services</w:t>
            </w:r>
          </w:p>
        </w:tc>
        <w:tc>
          <w:tcPr/>
          <w:p>
            <w:pPr>
              <w:pStyle w:val="Compact"/>
              <w:jc w:val="left"/>
            </w:pPr>
            <w:r>
              <w:t xml:space="preserve">18.585</w:t>
            </w:r>
          </w:p>
        </w:tc>
        <w:tc>
          <w:tcPr/>
          <w:p>
            <w:pPr>
              <w:pStyle w:val="Compact"/>
              <w:jc w:val="left"/>
            </w:pPr>
            <w:r>
              <w:t xml:space="preserve">Raw materials (from BOM example)</w:t>
            </w:r>
          </w:p>
        </w:tc>
      </w:tr>
      <w:tr>
        <w:tc>
          <w:tcPr/>
          <w:p>
            <w:pPr>
              <w:pStyle w:val="Compact"/>
              <w:jc w:val="left"/>
            </w:pPr>
            <w:r>
              <w:t xml:space="preserve">Transportation &amp; Distribution (Up/Downstream)</w:t>
            </w:r>
          </w:p>
        </w:tc>
        <w:tc>
          <w:tcPr/>
          <w:p>
            <w:pPr>
              <w:pStyle w:val="Compact"/>
              <w:jc w:val="left"/>
            </w:pPr>
            <w:r>
              <w:t xml:space="preserve">0.60</w:t>
            </w:r>
          </w:p>
        </w:tc>
        <w:tc>
          <w:tcPr/>
          <w:p>
            <w:pPr>
              <w:pStyle w:val="Compact"/>
              <w:jc w:val="left"/>
            </w:pPr>
            <w:r>
              <w:t xml:space="preserve">Logistics for raw materials and finished product</w:t>
            </w:r>
          </w:p>
        </w:tc>
      </w:tr>
      <w:tr>
        <w:tc>
          <w:tcPr/>
          <w:p>
            <w:pPr>
              <w:pStyle w:val="Compact"/>
              <w:jc w:val="left"/>
            </w:pPr>
            <w:r>
              <w:t xml:space="preserve">Use of Sold Products</w:t>
            </w:r>
          </w:p>
        </w:tc>
        <w:tc>
          <w:tcPr/>
          <w:p>
            <w:pPr>
              <w:pStyle w:val="Compact"/>
              <w:jc w:val="left"/>
            </w:pPr>
            <w:r>
              <w:t xml:space="preserve">5.95</w:t>
            </w:r>
          </w:p>
        </w:tc>
        <w:tc>
          <w:tcPr/>
          <w:p>
            <w:pPr>
              <w:pStyle w:val="Compact"/>
              <w:jc w:val="left"/>
            </w:pPr>
            <w:r>
              <w:t xml:space="preserve">Energy consumption during product lifespan</w:t>
            </w:r>
          </w:p>
        </w:tc>
      </w:tr>
      <w:tr>
        <w:tc>
          <w:tcPr/>
          <w:p>
            <w:pPr>
              <w:pStyle w:val="Compact"/>
              <w:jc w:val="left"/>
            </w:pPr>
            <w:r>
              <w:t xml:space="preserve">End-of-Life Treatment of Sold Products</w:t>
            </w:r>
          </w:p>
        </w:tc>
        <w:tc>
          <w:tcPr/>
          <w:p>
            <w:pPr>
              <w:pStyle w:val="Compact"/>
              <w:jc w:val="left"/>
            </w:pPr>
            <w:r>
              <w:t xml:space="preserve">-0.45</w:t>
            </w:r>
          </w:p>
        </w:tc>
        <w:tc>
          <w:tcPr/>
          <w:p>
            <w:pPr>
              <w:pStyle w:val="Compact"/>
              <w:jc w:val="left"/>
            </w:pPr>
            <w:r>
              <w:t xml:space="preserve">Net impact from disposal and recycling</w:t>
            </w:r>
          </w:p>
        </w:tc>
      </w:tr>
      <w:tr>
        <w:tc>
          <w:tcPr/>
          <w:p>
            <w:pPr>
              <w:pStyle w:val="Compact"/>
              <w:jc w:val="left"/>
            </w:pPr>
            <w:r>
              <w:rPr>
                <w:bCs/>
                <w:b/>
              </w:rPr>
              <w:t xml:space="preserve">Total Product Carbon Footprint (Cradle-to-Grave)</w:t>
            </w:r>
          </w:p>
        </w:tc>
        <w:tc>
          <w:tcPr/>
          <w:p>
            <w:pPr>
              <w:pStyle w:val="Compact"/>
              <w:jc w:val="left"/>
            </w:pPr>
            <w:r>
              <w:rPr>
                <w:bCs/>
                <w:b/>
              </w:rPr>
              <w:t xml:space="preserve">30.685</w:t>
            </w:r>
          </w:p>
        </w:tc>
        <w:tc>
          <w:tcPr/>
          <w:p>
            <w:pPr>
              <w:pStyle w:val="Compact"/>
              <w:jc w:val="left"/>
            </w:pPr>
            <w:r>
              <w:t xml:space="preserve">Sum of all scopes for 1.0 unit zgmejtpumg</w:t>
            </w:r>
          </w:p>
        </w:tc>
      </w:tr>
    </w:tbl>
    <w:p>
      <w:pPr>
        <w:pStyle w:val="BodyText"/>
      </w:pPr>
      <w:r>
        <w:t xml:space="preserve">Note: The above calculations are based on placeholder values for parameters (e.g., transport distance, energy intensity, lifespan) where specific numerical values were not provided in the prompt. Actual calculations would utilize the precise numerical data provided by</w:t>
      </w:r>
      <w:r>
        <w:t xml:space="preserve"> </w:t>
      </w:r>
      <w:r>
        <w:t xml:space="preserve">jxoixxyxnu</w:t>
      </w:r>
      <w:r>
        <w:t xml:space="preserve"> </w:t>
      </w:r>
      <w:r>
        <w:t xml:space="preserve">to achieve a more accurate and auditable PCF.</w:t>
      </w:r>
    </w:p>
    <w:p>
      <w:r>
        <w:pict>
          <v:rect style="width:0;height:1.5pt" o:hralign="center" o:hrstd="t" o:hr="t"/>
        </w:pict>
      </w:r>
    </w:p>
    <w:bookmarkEnd w:id="44"/>
    <w:bookmarkEnd w:id="45"/>
    <w:bookmarkStart w:id="48" w:name="review-and-reporting"/>
    <w:p>
      <w:pPr>
        <w:pStyle w:val="Heading2"/>
      </w:pPr>
      <w:r>
        <w:t xml:space="preserve">4. Review and Reporting</w:t>
      </w:r>
    </w:p>
    <w:bookmarkStart w:id="46" w:name="hotspot-identification"/>
    <w:p>
      <w:pPr>
        <w:pStyle w:val="Heading3"/>
      </w:pPr>
      <w:r>
        <w:t xml:space="preserve">4.1. Hotspot Identification</w:t>
      </w:r>
    </w:p>
    <w:p>
      <w:pPr>
        <w:pStyle w:val="FirstParagraph"/>
      </w:pPr>
      <w:r>
        <w:t xml:space="preserve">Based on the current analysis, the primary hotspots for</w:t>
      </w:r>
      <w:r>
        <w:t xml:space="preserve"> </w:t>
      </w:r>
      <w:r>
        <w:t xml:space="preserve">zgmejtpumg</w:t>
      </w:r>
      <w:r>
        <w:t xml:space="preserve">\'s carbon footprint are:</w:t>
      </w:r>
    </w:p>
    <w:p>
      <w:pPr>
        <w:numPr>
          <w:ilvl w:val="0"/>
          <w:numId w:val="1017"/>
        </w:numPr>
        <w:pStyle w:val="Compact"/>
      </w:pPr>
      <w:r>
        <w:t xml:space="preserve">Purchased Goods and Services (Raw Materials):</w:t>
      </w:r>
      <w:r>
        <w:t xml:space="preserve"> </w:t>
      </w:r>
      <w:r>
        <w:t xml:space="preserve">Representing a significant portion of Scope 3, the embodied emissions in materials are substantial (18.585 kg CO2e). This highlights the importance of sustainable sourcing and material selection.</w:t>
      </w:r>
    </w:p>
    <w:p>
      <w:pPr>
        <w:numPr>
          <w:ilvl w:val="0"/>
          <w:numId w:val="1017"/>
        </w:numPr>
        <w:pStyle w:val="Compact"/>
      </w:pPr>
      <w:r>
        <w:t xml:space="preserve">Manufacturing Energy (Scope 2):</w:t>
      </w:r>
      <w:r>
        <w:t xml:space="preserve"> </w:t>
      </w:r>
      <w:r>
        <w:t xml:space="preserve">The electricity consumption during production in China (6.00 kg CO2e) is a notable contributor, indicating opportunities for renewable energy integration and efficiency improvements.</w:t>
      </w:r>
    </w:p>
    <w:p>
      <w:pPr>
        <w:numPr>
          <w:ilvl w:val="0"/>
          <w:numId w:val="1017"/>
        </w:numPr>
        <w:pStyle w:val="Compact"/>
      </w:pPr>
      <w:r>
        <w:t xml:space="preserve">Use of Sold Products (Scope 3):</w:t>
      </w:r>
      <w:r>
        <w:t xml:space="preserve"> </w:t>
      </w:r>
      <w:r>
        <w:t xml:space="preserve">The energy consumed during the product\'s lifespan (5.95 kg CO2e) also presents a significant impact, suggesting potential for energy-efficient design improvements.</w:t>
      </w:r>
    </w:p>
    <w:bookmarkEnd w:id="46"/>
    <w:bookmarkStart w:id="47" w:name="reliability-and-limitations"/>
    <w:p>
      <w:pPr>
        <w:pStyle w:val="Heading3"/>
      </w:pPr>
      <w:r>
        <w:t xml:space="preserve">4.2. Reliability and Limitations</w:t>
      </w:r>
    </w:p>
    <w:p>
      <w:pPr>
        <w:pStyle w:val="FirstParagraph"/>
      </w:pPr>
      <w:r>
        <w:t xml:space="preserve">The reliability of this PCF analysis is contingent upon the accuracy and completeness of the provided data. Key limitations include:</w:t>
      </w:r>
    </w:p>
    <w:p>
      <w:pPr>
        <w:numPr>
          <w:ilvl w:val="0"/>
          <w:numId w:val="1018"/>
        </w:numPr>
        <w:pStyle w:val="Compact"/>
      </w:pPr>
      <w:r>
        <w:t xml:space="preserve">Reliance on placeholder values for certain parameters (e.g., transport mode/distance, energy usage, lifespan, recyclability percentages) where specific numerical inputs were not provided in the prompt.</w:t>
      </w:r>
    </w:p>
    <w:p>
      <w:pPr>
        <w:numPr>
          <w:ilvl w:val="0"/>
          <w:numId w:val="1018"/>
        </w:numPr>
        <w:pStyle w:val="Compact"/>
      </w:pPr>
      <w:r>
        <w:t xml:space="preserve">Use of generic emission factors for certain lifecycle stages (e.g., transport, energy grids outside specific company data), which may not perfectly reflect actual operational specifics.</w:t>
      </w:r>
    </w:p>
    <w:p>
      <w:pPr>
        <w:numPr>
          <w:ilvl w:val="0"/>
          <w:numId w:val="1018"/>
        </w:numPr>
        <w:pStyle w:val="Compact"/>
      </w:pPr>
      <w:r>
        <w:t xml:space="preserve">The qualitative assessment of the 2026 LSR Standard and circular economy programs due to lack of specific, quantifiable data.</w:t>
      </w:r>
    </w:p>
    <w:p>
      <w:pPr>
        <w:pStyle w:val="FirstParagraph"/>
      </w:pPr>
      <w:r>
        <w:t xml:space="preserve">Further improvement in data granularity, especially for primary operational data from</w:t>
      </w:r>
      <w:r>
        <w:t xml:space="preserve"> </w:t>
      </w:r>
      <w:r>
        <w:t xml:space="preserve">jxoixxyxnu</w:t>
      </w:r>
      <w:r>
        <w:t xml:space="preserve">, would enhance the accuracy and robustness of this analysis. The GHG Protocol\'s 2026 revisions to the Scope 3 Standard emphasize mandatory data disaggregation by source type (primary vs. secondary) and setting data quality improvement targets, moving towards financial-grade reporting.</w:t>
      </w:r>
    </w:p>
    <w:p>
      <w:r>
        <w:pict>
          <v:rect style="width:0;height:1.5pt" o:hralign="center" o:hrstd="t" o:hr="t"/>
        </w:pict>
      </w:r>
    </w:p>
    <w:bookmarkEnd w:id="47"/>
    <w:bookmarkEnd w:id="48"/>
    <w:bookmarkStart w:id="50" w:name="recommendations-for-jxoixxyxnu"/>
    <w:p>
      <w:pPr>
        <w:pStyle w:val="Heading2"/>
      </w:pPr>
      <w:r>
        <w:t xml:space="preserve">Recommendations for</w:t>
      </w:r>
      <w:r>
        <w:t xml:space="preserve"> </w:t>
      </w:r>
      <w:r>
        <w:t xml:space="preserve">jxoixxyxnu</w:t>
      </w:r>
    </w:p>
    <w:p>
      <w:pPr>
        <w:numPr>
          <w:ilvl w:val="0"/>
          <w:numId w:val="1019"/>
        </w:numPr>
        <w:pStyle w:val="Compact"/>
      </w:pPr>
      <w:r>
        <w:t xml:space="preserve">Material Optimization:</w:t>
      </w:r>
      <w:r>
        <w:t xml:space="preserve"> </w:t>
      </w:r>
      <w:r>
        <w:t xml:space="preserve">Investigate opportunities for using lower-carbon materials, increasing recycled content, or designing for material efficiency to reduce emissions from purchased goods.</w:t>
      </w:r>
    </w:p>
    <w:p>
      <w:pPr>
        <w:numPr>
          <w:ilvl w:val="0"/>
          <w:numId w:val="1019"/>
        </w:numPr>
        <w:pStyle w:val="Compact"/>
      </w:pPr>
      <w:r>
        <w:t xml:space="preserve">Renewable Energy Integration:</w:t>
      </w:r>
      <w:r>
        <w:t xml:space="preserve"> </w:t>
      </w:r>
      <w:r>
        <w:t xml:space="preserve">Explore transitioning to 100% renewable electricity for manufacturing operations in China, or purchasing renewable energy certificates to decarbonize Scope 2 emissions.</w:t>
      </w:r>
    </w:p>
    <w:p>
      <w:pPr>
        <w:numPr>
          <w:ilvl w:val="0"/>
          <w:numId w:val="1019"/>
        </w:numPr>
        <w:pStyle w:val="Compact"/>
      </w:pPr>
      <w:r>
        <w:t xml:space="preserve">Energy Efficiency:</w:t>
      </w:r>
      <w:r>
        <w:t xml:space="preserve"> </w:t>
      </w:r>
      <w:r>
        <w:t xml:space="preserve">Implement energy-saving measures in manufacturing processes and design products for lower energy consumption during the use phase.</w:t>
      </w:r>
    </w:p>
    <w:p>
      <w:pPr>
        <w:numPr>
          <w:ilvl w:val="0"/>
          <w:numId w:val="1019"/>
        </w:numPr>
        <w:pStyle w:val="Compact"/>
      </w:pPr>
      <w:r>
        <w:t xml:space="preserve">Supply Chain Engagement:</w:t>
      </w:r>
      <w:r>
        <w:t xml:space="preserve"> </w:t>
      </w:r>
      <w:r>
        <w:t xml:space="preserve">Collaborate with suppliers to obtain more accurate primary data on their emissions and to encourage their decarbonization efforts, crucial for meeting 95% Scope 3 coverage and data quality requirements.</w:t>
      </w:r>
    </w:p>
    <w:p>
      <w:pPr>
        <w:numPr>
          <w:ilvl w:val="0"/>
          <w:numId w:val="1019"/>
        </w:numPr>
        <w:pStyle w:val="Compact"/>
      </w:pPr>
      <w:r>
        <w:t xml:space="preserve">Circular Economy Initiatives:</w:t>
      </w:r>
      <w:r>
        <w:t xml:space="preserve"> </w:t>
      </w:r>
      <w:r>
        <w:t xml:space="preserve">Enhance and promote circular design principles, product longevity, repairability, and take-back programs to maximize material value and minimize waste at End-of-Life.</w:t>
      </w:r>
    </w:p>
    <w:p>
      <w:pPr>
        <w:numPr>
          <w:ilvl w:val="0"/>
          <w:numId w:val="1019"/>
        </w:numPr>
        <w:pStyle w:val="Compact"/>
      </w:pPr>
      <w:r>
        <w:t xml:space="preserve">Data Refinement:</w:t>
      </w:r>
      <w:r>
        <w:t xml:space="preserve"> </w:t>
      </w:r>
      <w:r>
        <w:t xml:space="preserve">Collect more precise data for logistics (actual modes, distances, weights), actual energy consumption and sources, and detailed end-of-life fates to improve future PCF accuracy and compliance with evolving GHG Protocol standards.</w:t>
      </w:r>
    </w:p>
    <w:p>
      <w:pPr>
        <w:pStyle w:val="FirstParagraph"/>
      </w:pPr>
      <w:r>
        <w:t xml:space="preserve">Confidential - Internal Use Only | Page</w:t>
      </w:r>
      <w:r>
        <w:t xml:space="preserve"> </w:t>
      </w:r>
      <w:bookmarkStart w:id="49" w:name="pageNumber"/>
      <w:bookmarkEnd w:id="49"/>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zgmejtpumg</dc:title>
  <dc:creator/>
  <dc:description>Detailed Product Carbon Footprint (PCF) analysis report for product zgmejtpumg, following GHG Protocol standards, conducted by jxoixxyxnu and ldwnkjrtyn.</dc:description>
  <cp:keywords/>
  <dcterms:created xsi:type="dcterms:W3CDTF">2026-07-15T15:30:52Z</dcterms:created>
  <dcterms:modified xsi:type="dcterms:W3CDTF">2026-07-15T15:30:52Z</dcterms:modified>
</cp:coreProperties>
</file>

<file path=docProps/custom.xml><?xml version="1.0" encoding="utf-8"?>
<Properties xmlns="http://schemas.openxmlformats.org/officeDocument/2006/custom-properties" xmlns:vt="http://schemas.openxmlformats.org/officeDocument/2006/docPropsVTypes"/>
</file>