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zegukzjsnf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zegukzjsnf</w:t>
      </w:r>
    </w:p>
    <w:p>
      <w:pPr>
        <w:pStyle w:val="BodyText"/>
      </w:pPr>
      <w:r>
        <w:rPr>
          <w:bCs/>
          <w:b/>
        </w:rPr>
        <w:t xml:space="preserve">Company Name:</w:t>
      </w:r>
      <w:r>
        <w:t xml:space="preserve"> </w:t>
      </w:r>
      <w:r>
        <w:t xml:space="preserve">mefssqyqli</w:t>
      </w:r>
    </w:p>
    <w:p>
      <w:pPr>
        <w:pStyle w:val="BodyText"/>
      </w:pPr>
      <w:r>
        <w:rPr>
          <w:bCs/>
          <w:b/>
        </w:rPr>
        <w:t xml:space="preserve">Senior Sustainability Consultant:</w:t>
      </w:r>
      <w:r>
        <w:t xml:space="preserve"> </w:t>
      </w:r>
      <w:r>
        <w:t xml:space="preserve">hzeqqwlkwt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precision and completeness of the input data. This report serves as a foundational analysis for further sustainability initiatives.</w:t>
      </w:r>
    </w:p>
    <w:bookmarkEnd w:id="20"/>
    <w:bookmarkStart w:id="45" w:name="X42c7179ef553c8cfafe73e0c2cfc9b242d0b061"/>
    <w:p>
      <w:pPr>
        <w:pStyle w:val="Heading1"/>
      </w:pPr>
      <w:r>
        <w:t xml:space="preserve">Product Carbon Footprint Analysis for zegukzjsnf</w:t>
      </w:r>
    </w:p>
    <w:p>
      <w:pPr>
        <w:pStyle w:val="FirstParagraph"/>
      </w:pPr>
      <w:r>
        <w:rPr>
          <w:bCs/>
          <w:b/>
        </w:rPr>
        <w:t xml:space="preserve">Generated Date:</w:t>
      </w:r>
      <w:r>
        <w:t xml:space="preserve"> </w:t>
      </w:r>
      <w:r>
        <w:t xml:space="preserve">June 02, 2026</w:t>
      </w:r>
    </w:p>
    <w:p>
      <w:pPr>
        <w:pStyle w:val="BodyText"/>
      </w:pPr>
      <w:r>
        <w:rPr>
          <w:bCs/>
          <w:b/>
        </w:rPr>
        <w:t xml:space="preserve">Senior Sustainability Consultant:</w:t>
      </w:r>
      <w:r>
        <w:t xml:space="preserve"> </w:t>
      </w:r>
      <w:r>
        <w:t xml:space="preserve">hzeqqwlkwt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zegukzjsnf</w:t>
      </w:r>
      <w:r>
        <w:t xml:space="preserve">, manufactured by</w:t>
      </w:r>
      <w:r>
        <w:t xml:space="preserve"> </w:t>
      </w:r>
      <w:r>
        <w:t xml:space="preserve">mefssqyqli</w:t>
      </w:r>
      <w:r>
        <w:t xml:space="preserve">. The analysis adheres strictly to the</w:t>
      </w:r>
      <w:r>
        <w:t xml:space="preserve"> </w:t>
      </w:r>
      <w:r>
        <w:t xml:space="preserve">GHG Protocol</w:t>
      </w:r>
      <w:r>
        <w:t xml:space="preserve"> </w:t>
      </w:r>
      <w:r>
        <w:t xml:space="preserve">and incorporates the latest 2026 Land Sector and Removals (LSR) Standard. The goal is to quantify the greenhouse gas emissions associated with the product across its lifecycle, identify key emission hotspots, and provide actionable insights for sustainability improvements. The total PCF for one functional unit of zegukzjsnf, considering a cradle-to-grave perspective as specified, is calculated to be</w:t>
      </w:r>
      <w:r>
        <w:t xml:space="preserve"> </w:t>
      </w:r>
      <w:r>
        <w:t xml:space="preserve">22.25 kg CO2e</w:t>
      </w:r>
      <w:r>
        <w:t xml:space="preserve">.</w:t>
      </w:r>
    </w:p>
    <w:p>
      <w:r>
        <w:pict>
          <v:rect style="width:0;height:1.5pt" o:hralign="center" o:hrstd="t" o:hr="t"/>
        </w:pict>
      </w:r>
    </w:p>
    <w:bookmarkEnd w:id="21"/>
    <w:bookmarkStart w:id="30" w:name="Xc00b7f83e4016d59f798f62a89ec34223bcd3f8"/>
    <w:p>
      <w:pPr>
        <w:pStyle w:val="Heading2"/>
      </w:pPr>
      <w:r>
        <w:t xml:space="preserve">1. Methodology: GHG Protocol Assessment Framework</w:t>
      </w:r>
    </w:p>
    <w:p>
      <w:pPr>
        <w:pStyle w:val="FirstParagraph"/>
      </w:pPr>
      <w:r>
        <w:t xml:space="preserve">The Product Carbon Footprint (PCF) for zegukzjsnf was calculated following the five-step methodology recommended by the GHG Protocol Product Standard, extended to incorporate specific lifecycle stages as detailed in the parameters. Emissions are categorized into Scope 1 (direct emissions), Scope 2 (indirect emissions from purchased energy), and Scope 3 (all other indirect emissions in the value chain). A critical focus has been placed on achieving at least 95% coverage for Scope 3 reporting, in line with 2026 requirements. The 2026 Land Sector and Removals (LSR) Standard is acknowledged for future integration of relevant land-use data.</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zegukzjsnf. This unit serves as the reference basis for quantifying inputs and outputs.</w:t>
      </w:r>
    </w:p>
    <w:p>
      <w:pPr>
        <w:numPr>
          <w:ilvl w:val="0"/>
          <w:numId w:val="1001"/>
        </w:numPr>
        <w:pStyle w:val="Compact"/>
      </w:pPr>
      <w:r>
        <w:rPr>
          <w:bCs/>
          <w:b/>
        </w:rPr>
        <w:t xml:space="preserve">System Boundary:</w:t>
      </w:r>
      <w:r>
        <w:t xml:space="preserve"> </w:t>
      </w:r>
      <w:r>
        <w:t xml:space="preserve">While the primary production boundary is defined as</w:t>
      </w:r>
      <w:r>
        <w:t xml:space="preserve"> </w:t>
      </w:r>
      <w:r>
        <w:t xml:space="preserve">factory_gate</w:t>
      </w:r>
      <w:r>
        <w:t xml:space="preserve">, this analysis extends to a</w:t>
      </w:r>
      <w:r>
        <w:t xml:space="preserve"> </w:t>
      </w:r>
      <w:r>
        <w:t xml:space="preserve">cradle-to-grave</w:t>
      </w:r>
      <w:r>
        <w:t xml:space="preserve"> </w:t>
      </w:r>
      <w:r>
        <w:t xml:space="preserve">perspective to fully incorporate the specified use phase and end-of-life scenarios. This means emissions from raw material extraction, manufacturing, transport to customer, use phase, and end-of-life disposal/recycling are included.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raw materials and components primarily sourced from or transported through Europe to China).</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transportation distances.</w:t>
      </w:r>
    </w:p>
    <w:bookmarkEnd w:id="22"/>
    <w:bookmarkStart w:id="23" w:name="map-lifecycle-lci-inventory-stages"/>
    <w:p>
      <w:pPr>
        <w:pStyle w:val="Heading3"/>
      </w:pPr>
      <w:r>
        <w:t xml:space="preserve">1.2. Map Lifecycle (LCI Inventory Stages)</w:t>
      </w:r>
    </w:p>
    <w:p>
      <w:pPr>
        <w:pStyle w:val="FirstParagraph"/>
      </w:pPr>
      <w:r>
        <w:t xml:space="preserve">The lifecycle of zegukzjsnf has been mapped into the following stages, facilitating a comprehensive Life Cycle Inventory (LCI):</w:t>
      </w:r>
    </w:p>
    <w:p>
      <w:pPr>
        <w:numPr>
          <w:ilvl w:val="0"/>
          <w:numId w:val="1003"/>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3"/>
        </w:numPr>
        <w:pStyle w:val="Compact"/>
      </w:pPr>
      <w:r>
        <w:rPr>
          <w:bCs/>
          <w:b/>
        </w:rPr>
        <w:t xml:space="preserve">Manufacturing/Production:</w:t>
      </w:r>
      <w:r>
        <w:t xml:space="preserve"> </w:t>
      </w:r>
      <w:r>
        <w:t xml:space="preserve">Energy consumption and direct emissions from the assembly and production processes at the factory in China.</w:t>
      </w:r>
    </w:p>
    <w:p>
      <w:pPr>
        <w:numPr>
          <w:ilvl w:val="0"/>
          <w:numId w:val="1003"/>
        </w:numPr>
        <w:pStyle w:val="Compact"/>
      </w:pPr>
      <w:r>
        <w:rPr>
          <w:bCs/>
          <w:b/>
        </w:rPr>
        <w:t xml:space="preserve">Transportation (to Customer):</w:t>
      </w:r>
      <w:r>
        <w:t xml:space="preserve"> </w:t>
      </w:r>
      <w:r>
        <w:t xml:space="preserve">Logistics from the factory gate to the end-user.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Emissions/credits associated with disposal, recycling, or recovery processes.</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a combination of primary data (provided parameters) and secondary data (industry-standard emission factors for materials, energy, and transport).</w:t>
      </w:r>
    </w:p>
    <w:bookmarkStart w:id="24" w:name="X18ec6b794fbd675fde501db8788ce0e30f6cebe"/>
    <w:p>
      <w:pPr>
        <w:pStyle w:val="Heading4"/>
      </w:pPr>
      <w:r>
        <w:t xml:space="preserve">Detailed Bill of Materials (BOM) for zegukzjsnf</w:t>
      </w:r>
    </w:p>
    <w:p>
      <w:pPr>
        <w:pStyle w:val="FirstParagraph"/>
      </w:pPr>
      <w:r>
        <w:t xml:space="preserve">The following detailed BOM (</w:t>
      </w:r>
      <w:r>
        <w:t xml:space="preserve">qolwkung</w:t>
      </w:r>
      <w:r>
        <w:t xml:space="preserve">) was used to calculate the material impact. Emission factors (EF) are illustrative and based on assumed industry averages.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0.90</w:t>
            </w:r>
          </w:p>
        </w:tc>
      </w:tr>
      <w:tr>
        <w:tc>
          <w:tcPr/>
          <w:p>
            <w:pPr>
              <w:pStyle w:val="Compact"/>
              <w:jc w:val="left"/>
            </w:pPr>
            <w:r>
              <w:t xml:space="preserve">M004</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9.00</w:t>
            </w:r>
          </w:p>
        </w:tc>
        <w:tc>
          <w:tcPr/>
          <w:p>
            <w:pPr>
              <w:pStyle w:val="Compact"/>
              <w:jc w:val="left"/>
            </w:pPr>
            <w:r>
              <w:t xml:space="preserve">1.35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Pulp &amp; Paper</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 &amp; 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w:t>
            </w:r>
          </w:p>
        </w:tc>
      </w:tr>
      <w:tr>
        <w:tc>
          <w:tcPr>
            <w:gridSpan w:val="7"/>
          </w:tcPr>
          <w:p>
            <w:pPr>
              <w:pStyle w:val="Compact"/>
              <w:jc w:val="right"/>
            </w:pPr>
            <w:r>
              <w:t xml:space="preserve">Subtotal Material Emissions (kg CO2e):</w:t>
            </w:r>
          </w:p>
        </w:tc>
        <w:tc>
          <w:tcPr/>
          <w:p>
            <w:pPr>
              <w:pStyle w:val="Compact"/>
              <w:jc w:val="left"/>
            </w:pPr>
            <w:r>
              <w:t xml:space="preserve">4.34</w:t>
            </w:r>
          </w:p>
        </w:tc>
      </w:tr>
    </w:tbl>
    <w:bookmarkEnd w:id="24"/>
    <w:bookmarkStart w:id="25" w:name="Xeec02818be4aed2dce56e0000eceb7fe96f4be7"/>
    <w:p>
      <w:pPr>
        <w:pStyle w:val="Heading4"/>
      </w:pPr>
      <w:r>
        <w:t xml:space="preserve">Logistics Data (</w:t>
      </w:r>
      <w:r>
        <w:t xml:space="preserve">Select Mode, sxvfikfnfq, Delivery Type</w:t>
      </w:r>
      <w:r>
        <w:t xml:space="preserve">)</w:t>
      </w:r>
    </w:p>
    <w:p>
      <w:pPr>
        <w:numPr>
          <w:ilvl w:val="0"/>
          <w:numId w:val="1004"/>
        </w:numPr>
        <w:pStyle w:val="Compact"/>
      </w:pPr>
      <w:r>
        <w:rPr>
          <w:bCs/>
          <w:b/>
        </w:rPr>
        <w:t xml:space="preserve">Transport Mode (Primary Supply Chain):</w:t>
      </w:r>
      <w:r>
        <w:t xml:space="preserve"> </w:t>
      </w:r>
      <w:r>
        <w:t xml:space="preserve">Ocean Freight (for bulk material transport from Europe to China).</w:t>
      </w:r>
    </w:p>
    <w:p>
      <w:pPr>
        <w:numPr>
          <w:ilvl w:val="1"/>
          <w:numId w:val="1005"/>
        </w:numPr>
        <w:pStyle w:val="Compact"/>
      </w:pPr>
      <w:r>
        <w:t xml:space="preserve">Assumed Distance: 10,000 km</w:t>
      </w:r>
    </w:p>
    <w:p>
      <w:pPr>
        <w:numPr>
          <w:ilvl w:val="1"/>
          <w:numId w:val="1005"/>
        </w:numPr>
        <w:pStyle w:val="Compact"/>
      </w:pPr>
      <w:r>
        <w:t xml:space="preserve">Illustrative Emission Factor (Container Ship): 0.01 kg CO2e/tonne-km</w:t>
      </w:r>
    </w:p>
    <w:p>
      <w:pPr>
        <w:numPr>
          <w:ilvl w:val="1"/>
          <w:numId w:val="1005"/>
        </w:numPr>
        <w:pStyle w:val="Compact"/>
      </w:pPr>
      <w:r>
        <w:t xml:space="preserve">Assumed Product Weight: 0.7 kg (total weight from BOM). Assuming packaging adds 0.1 kg, total transport weight for finished product is ~0.8 kg. For raw materials, assuming average 0.5 kg per product unit.</w:t>
      </w:r>
    </w:p>
    <w:p>
      <w:pPr>
        <w:numPr>
          <w:ilvl w:val="0"/>
          <w:numId w:val="1004"/>
        </w:numPr>
        <w:pStyle w:val="Compact"/>
      </w:pPr>
      <w:r>
        <w:rPr>
          <w:bCs/>
          <w:b/>
        </w:rPr>
        <w:t xml:space="preserve">Last-Mile Delivery Channel (to Customer):</w:t>
      </w:r>
      <w:r>
        <w:t xml:space="preserve"> </w:t>
      </w:r>
      <w:r>
        <w:t xml:space="preserve">Van Delivery.</w:t>
      </w:r>
    </w:p>
    <w:p>
      <w:pPr>
        <w:numPr>
          <w:ilvl w:val="1"/>
          <w:numId w:val="1006"/>
        </w:numPr>
        <w:pStyle w:val="Compact"/>
      </w:pPr>
      <w:r>
        <w:t xml:space="preserve">Assumed Distance: 500 km (from distribution hub to final customer within Europe)</w:t>
      </w:r>
    </w:p>
    <w:p>
      <w:pPr>
        <w:numPr>
          <w:ilvl w:val="1"/>
          <w:numId w:val="1006"/>
        </w:numPr>
        <w:pStyle w:val="Compact"/>
      </w:pPr>
      <w:r>
        <w:t xml:space="preserve">Illustrative Emission Factor (Light Commercial Van): 0.15 kg CO2e/tonne-km</w:t>
      </w:r>
    </w:p>
    <w:bookmarkEnd w:id="25"/>
    <w:bookmarkStart w:id="26" w:name="Xe6a2d304b26904f0c435029b2ef1862d071d94b"/>
    <w:p>
      <w:pPr>
        <w:pStyle w:val="Heading4"/>
      </w:pPr>
      <w:r>
        <w:t xml:space="preserve">Energy Customization Data (</w:t>
      </w:r>
      <w:r>
        <w:t xml:space="preserve">wlgysqljgk, mrnyrhdmps</w:t>
      </w:r>
      <w:r>
        <w:t xml:space="preserve">)</w:t>
      </w:r>
    </w:p>
    <w:p>
      <w:pPr>
        <w:numPr>
          <w:ilvl w:val="0"/>
          <w:numId w:val="1007"/>
        </w:numPr>
        <w:pStyle w:val="Compact"/>
      </w:pPr>
      <w:r>
        <w:rPr>
          <w:bCs/>
          <w:b/>
        </w:rPr>
        <w:t xml:space="preserve">Renewable Energy Usage:</w:t>
      </w:r>
      <w:r>
        <w:t xml:space="preserve"> </w:t>
      </w:r>
      <w:r>
        <w:t xml:space="preserve">50% (</w:t>
      </w:r>
      <w:r>
        <w:t xml:space="preserve">wlgysqljgk</w:t>
      </w:r>
      <w:r>
        <w:t xml:space="preserve">) for the manufacturing facility.</w:t>
      </w:r>
    </w:p>
    <w:p>
      <w:pPr>
        <w:numPr>
          <w:ilvl w:val="0"/>
          <w:numId w:val="1007"/>
        </w:numPr>
        <w:pStyle w:val="Compact"/>
      </w:pPr>
      <w:r>
        <w:rPr>
          <w:bCs/>
          <w:b/>
        </w:rPr>
        <w:t xml:space="preserve">Energy Intensity (kWh/unit):</w:t>
      </w:r>
      <w:r>
        <w:t xml:space="preserve"> </w:t>
      </w:r>
      <w:r>
        <w:t xml:space="preserve">2.5 kWh/unit (</w:t>
      </w:r>
      <w:r>
        <w:t xml:space="preserve">mrnyrhdmps</w:t>
      </w:r>
      <w:r>
        <w:t xml:space="preserve">) for the production phase.</w:t>
      </w:r>
    </w:p>
    <w:p>
      <w:pPr>
        <w:numPr>
          <w:ilvl w:val="0"/>
          <w:numId w:val="1007"/>
        </w:numPr>
        <w:pStyle w:val="Compact"/>
      </w:pPr>
      <w:r>
        <w:rPr>
          <w:bCs/>
          <w:b/>
        </w:rPr>
        <w:t xml:space="preserve">Illustrative Grid Emission Factor (China):</w:t>
      </w:r>
      <w:r>
        <w:t xml:space="preserve"> </w:t>
      </w:r>
      <w:r>
        <w:t xml:space="preserve">0.7 kg CO2e/kWh (average grid mix).</w:t>
      </w:r>
    </w:p>
    <w:p>
      <w:pPr>
        <w:numPr>
          <w:ilvl w:val="0"/>
          <w:numId w:val="1007"/>
        </w:numPr>
        <w:pStyle w:val="Compact"/>
      </w:pPr>
      <w:r>
        <w:rPr>
          <w:bCs/>
          <w:b/>
        </w:rPr>
        <w:t xml:space="preserve">Net Electricity Emission Factor:</w:t>
      </w:r>
      <w:r>
        <w:t xml:space="preserve"> </w:t>
      </w:r>
      <w:r>
        <w:t xml:space="preserve">0.7 kg CO2e/kWh * (1 - 0.50 renewable) = 0.35 kg CO2e/kWh.</w:t>
      </w:r>
    </w:p>
    <w:bookmarkEnd w:id="26"/>
    <w:bookmarkStart w:id="27" w:name="use-phase-data-vjomlpzdye-ylihjlxyxx"/>
    <w:p>
      <w:pPr>
        <w:pStyle w:val="Heading4"/>
      </w:pPr>
      <w:r>
        <w:t xml:space="preserve">Use Phase Data (</w:t>
      </w:r>
      <w:r>
        <w:t xml:space="preserve">vjomlpzdye, ylihjlxyxx</w:t>
      </w:r>
      <w:r>
        <w:t xml:space="preserve">)</w:t>
      </w:r>
    </w:p>
    <w:p>
      <w:pPr>
        <w:numPr>
          <w:ilvl w:val="0"/>
          <w:numId w:val="1008"/>
        </w:numPr>
        <w:pStyle w:val="Compact"/>
      </w:pPr>
      <w:r>
        <w:rPr>
          <w:bCs/>
          <w:b/>
        </w:rPr>
        <w:t xml:space="preserve">Product Lifespan:</w:t>
      </w:r>
      <w:r>
        <w:t xml:space="preserve"> </w:t>
      </w:r>
      <w:r>
        <w:t xml:space="preserve">5 years (</w:t>
      </w:r>
      <w:r>
        <w:t xml:space="preserve">vjomlpzdye</w:t>
      </w:r>
      <w:r>
        <w:t xml:space="preserve">).</w:t>
      </w:r>
    </w:p>
    <w:p>
      <w:pPr>
        <w:numPr>
          <w:ilvl w:val="0"/>
          <w:numId w:val="1008"/>
        </w:numPr>
        <w:pStyle w:val="Compact"/>
      </w:pPr>
      <w:r>
        <w:rPr>
          <w:bCs/>
          <w:b/>
        </w:rPr>
        <w:t xml:space="preserve">Energy Consumption in Use:</w:t>
      </w:r>
      <w:r>
        <w:t xml:space="preserve"> </w:t>
      </w:r>
      <w:r>
        <w:t xml:space="preserve">10 kWh/year (</w:t>
      </w:r>
      <w:r>
        <w:t xml:space="preserve">ylihjlxyxx</w:t>
      </w:r>
      <w:r>
        <w:t xml:space="preserve">).</w:t>
      </w:r>
    </w:p>
    <w:p>
      <w:pPr>
        <w:numPr>
          <w:ilvl w:val="1"/>
          <w:numId w:val="1009"/>
        </w:numPr>
        <w:pStyle w:val="Compact"/>
      </w:pPr>
      <w:r>
        <w:t xml:space="preserve">Total Use Phase Energy: 10 kWh/year * 5 years = 50 kWh.</w:t>
      </w:r>
    </w:p>
    <w:p>
      <w:pPr>
        <w:numPr>
          <w:ilvl w:val="1"/>
          <w:numId w:val="1009"/>
        </w:numPr>
        <w:pStyle w:val="Compact"/>
      </w:pPr>
      <w:r>
        <w:t xml:space="preserve">Assumed Use Phase Electricity Mix: Global Average (as product is sold worldwide, assuming 0.4 kg CO2e/kWh).</w:t>
      </w:r>
    </w:p>
    <w:bookmarkEnd w:id="27"/>
    <w:bookmarkStart w:id="28" w:name="X0d8b73201c14b90ed2cfb0271161f6aa05a6248"/>
    <w:p>
      <w:pPr>
        <w:pStyle w:val="Heading4"/>
      </w:pPr>
      <w:r>
        <w:t xml:space="preserve">End-of-Life (EoL) Scenarios (</w:t>
      </w:r>
      <w:r>
        <w:t xml:space="preserve">wesxuhoslz, jimjewlxld</w:t>
      </w:r>
      <w:r>
        <w:t xml:space="preserve">)</w:t>
      </w:r>
    </w:p>
    <w:p>
      <w:pPr>
        <w:numPr>
          <w:ilvl w:val="0"/>
          <w:numId w:val="1010"/>
        </w:numPr>
        <w:pStyle w:val="Compact"/>
      </w:pPr>
      <w:r>
        <w:rPr>
          <w:bCs/>
          <w:b/>
        </w:rPr>
        <w:t xml:space="preserve">Recyclability Percentage:</w:t>
      </w:r>
      <w:r>
        <w:t xml:space="preserve"> </w:t>
      </w:r>
      <w:r>
        <w:t xml:space="preserve">70% (</w:t>
      </w:r>
      <w:r>
        <w:t xml:space="preserve">wesxuhoslz</w:t>
      </w:r>
      <w:r>
        <w:t xml:space="preserve">) of the product\'s mass is recyclable.</w:t>
      </w:r>
    </w:p>
    <w:p>
      <w:pPr>
        <w:numPr>
          <w:ilvl w:val="0"/>
          <w:numId w:val="1010"/>
        </w:numPr>
        <w:pStyle w:val="Compact"/>
      </w:pPr>
      <w:r>
        <w:rPr>
          <w:bCs/>
          <w:b/>
        </w:rPr>
        <w:t xml:space="preserve">Circular/Take-back Programs:</w:t>
      </w:r>
      <w:r>
        <w:t xml:space="preserve"> </w:t>
      </w:r>
      <w:r>
        <w:t xml:space="preserve">Implemented, aiming for material recovery and reuse (</w:t>
      </w:r>
      <w:r>
        <w:t xml:space="preserve">jimjewlxld</w:t>
      </w:r>
      <w:r>
        <w:t xml:space="preserve">). This leads to avoided emissions from virgin material production.</w:t>
      </w:r>
    </w:p>
    <w:p>
      <w:pPr>
        <w:numPr>
          <w:ilvl w:val="0"/>
          <w:numId w:val="1010"/>
        </w:numPr>
        <w:pStyle w:val="Compact"/>
      </w:pPr>
      <w:r>
        <w:rPr>
          <w:bCs/>
          <w:b/>
        </w:rPr>
        <w:t xml:space="preserve">Illustrative Avoided Emissions:</w:t>
      </w:r>
      <w:r>
        <w:t xml:space="preserve"> </w:t>
      </w:r>
      <w:r>
        <w:t xml:space="preserve">For the 70% recycled portion, we assume a credit based on the average emission factor of virgin materials. For the remaining 30% disposed of, we consider typical waste management emissions.</w:t>
      </w:r>
    </w:p>
    <w:p>
      <w:pPr>
        <w:numPr>
          <w:ilvl w:val="1"/>
          <w:numId w:val="1011"/>
        </w:numPr>
        <w:pStyle w:val="Compact"/>
      </w:pPr>
      <w:r>
        <w:t xml:space="preserve">Total product mass for EoL consideration: 0.8 kg (product + primary packaging).</w:t>
      </w:r>
    </w:p>
    <w:p>
      <w:pPr>
        <w:numPr>
          <w:ilvl w:val="1"/>
          <w:numId w:val="1011"/>
        </w:numPr>
        <w:pStyle w:val="Compact"/>
      </w:pPr>
      <w:r>
        <w:t xml:space="preserve">70% Recycled: 0.8 kg * 0.70 = 0.56 kg. Assumed avoided emissions (credit) for recycled materials: -2.0 kg CO2e/kg (average for plastics/metals).</w:t>
      </w:r>
    </w:p>
    <w:p>
      <w:pPr>
        <w:numPr>
          <w:ilvl w:val="1"/>
          <w:numId w:val="1011"/>
        </w:numPr>
        <w:pStyle w:val="Compact"/>
      </w:pPr>
      <w:r>
        <w:t xml:space="preserve">30% Disposal: 0.8 kg * 0.30 = 0.24 kg. Assumed disposal emissions: 0.1 kg CO2e/kg (e.g., landfill with some energy recovery).</w:t>
      </w:r>
    </w:p>
    <w:p>
      <w:r>
        <w:pict>
          <v:rect style="width:0;height:1.5pt" o:hralign="center" o:hrstd="t" o:hr="t"/>
        </w:pict>
      </w:r>
    </w:p>
    <w:bookmarkEnd w:id="28"/>
    <w:bookmarkEnd w:id="29"/>
    <w:bookmarkEnd w:id="30"/>
    <w:bookmarkStart w:id="39" w:name="Xb404f6bea4a0013006ec7a9103609d9ea6643c1"/>
    <w:p>
      <w:pPr>
        <w:pStyle w:val="Heading2"/>
      </w:pPr>
      <w:r>
        <w:t xml:space="preserve">2. Calculate Emissions (Activity * Emission Factor = CO2e)</w:t>
      </w:r>
    </w:p>
    <w:p>
      <w:pPr>
        <w:pStyle w:val="FirstParagraph"/>
      </w:pPr>
      <w:r>
        <w:t xml:space="preserve">The total Product Carbon Footprint is calculated by summing the CO2e emissions across all lifecycle stages, categorized by GHG Protocol scopes. Industry-standard emission factors (e.g., from Ecoinvent/DEFRA, simulated here for illustrative purposes) are applied.</w:t>
      </w:r>
    </w:p>
    <w:bookmarkStart w:id="31" w:name="scope-1-emissions-direct-emissions"/>
    <w:p>
      <w:pPr>
        <w:pStyle w:val="Heading3"/>
      </w:pPr>
      <w:r>
        <w:t xml:space="preserve">2.1. Scope 1 Emissions (Direct Emissions)</w:t>
      </w:r>
    </w:p>
    <w:p>
      <w:pPr>
        <w:pStyle w:val="FirstParagraph"/>
      </w:pPr>
      <w:r>
        <w:t xml:space="preserve">For a product PCF at a factory_gate system boundary, direct emissions from sources owned or controlled by</w:t>
      </w:r>
      <w:r>
        <w:t xml:space="preserve"> </w:t>
      </w:r>
      <w:r>
        <w:t xml:space="preserve">mefssqyqli</w:t>
      </w:r>
      <w:r>
        <w:t xml:space="preserve">\'s manufacturing process (e.g., on-site fuel combustion for heating or machinery) would fall under Scope 1. Without specific data, we assume these are minimal or captured under energy intensity for this product, or represented by minor direct process emissions.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Manufacturing Process (Direct)</w:t>
            </w:r>
          </w:p>
        </w:tc>
        <w:tc>
          <w:tcPr/>
          <w:p>
            <w:pPr>
              <w:pStyle w:val="Compact"/>
              <w:jc w:val="left"/>
            </w:pPr>
            <w:r>
              <w:t xml:space="preserve">(Assumed Minor Process)</w:t>
            </w:r>
          </w:p>
        </w:tc>
        <w:tc>
          <w:tcPr/>
          <w:p>
            <w:pPr>
              <w:pStyle w:val="Compact"/>
              <w:jc w:val="left"/>
            </w:pPr>
            <w:r>
              <w:t xml:space="preserve">-</w:t>
            </w:r>
          </w:p>
        </w:tc>
        <w:tc>
          <w:tcPr/>
          <w:p>
            <w:pPr>
              <w:pStyle w:val="Compact"/>
              <w:jc w:val="left"/>
            </w:pPr>
            <w:r>
              <w:t xml:space="preserve">0.10</w:t>
            </w:r>
          </w:p>
        </w:tc>
      </w:tr>
      <w:tr>
        <w:tc>
          <w:tcPr>
            <w:gridSpan w:val="3"/>
          </w:tcPr>
          <w:p>
            <w:pPr>
              <w:pStyle w:val="Compact"/>
              <w:jc w:val="right"/>
            </w:pPr>
            <w:r>
              <w:t xml:space="preserve">Total Scope 1 Emissions:</w:t>
            </w:r>
          </w:p>
        </w:tc>
        <w:tc>
          <w:tcPr/>
          <w:p>
            <w:pPr>
              <w:pStyle w:val="Compact"/>
              <w:jc w:val="left"/>
            </w:pPr>
            <w:r>
              <w:t xml:space="preserve">0.10</w:t>
            </w:r>
          </w:p>
        </w:tc>
      </w:tr>
    </w:tbl>
    <w:bookmarkEnd w:id="31"/>
    <w:bookmarkStart w:id="32" w:name="X1bd5ed5ba51603fe7fc5fd46de6dc3081dfffbb"/>
    <w:p>
      <w:pPr>
        <w:pStyle w:val="Heading3"/>
      </w:pPr>
      <w:r>
        <w:t xml:space="preserve">2.2. Scope 2 Emissions (Indirect Emissions from Purchased Energy)</w:t>
      </w:r>
    </w:p>
    <w:p>
      <w:pPr>
        <w:pStyle w:val="FirstParagraph"/>
      </w:pPr>
      <w:r>
        <w:t xml:space="preserve">These emissions result from the generation of purchased electricity, steam, heat, or cooling consumed by</w:t>
      </w:r>
      <w:r>
        <w:t xml:space="preserve"> </w:t>
      </w:r>
      <w:r>
        <w:t xml:space="preserve">mefssqyqli</w:t>
      </w:r>
      <w:r>
        <w:t xml:space="preserve">\'s manufacturing facility.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Electricity Consumption (Production)</w:t>
            </w:r>
          </w:p>
        </w:tc>
        <w:tc>
          <w:tcPr/>
          <w:p>
            <w:pPr>
              <w:pStyle w:val="Compact"/>
              <w:jc w:val="left"/>
            </w:pPr>
            <w:r>
              <w:t xml:space="preserve">2.5 kWh/unit</w:t>
            </w:r>
          </w:p>
        </w:tc>
        <w:tc>
          <w:tcPr/>
          <w:p>
            <w:pPr>
              <w:pStyle w:val="Compact"/>
              <w:jc w:val="left"/>
            </w:pPr>
            <w:r>
              <w:t xml:space="preserve">0.35 (Net EF)</w:t>
            </w:r>
          </w:p>
        </w:tc>
        <w:tc>
          <w:tcPr/>
          <w:p>
            <w:pPr>
              <w:pStyle w:val="Compact"/>
              <w:jc w:val="left"/>
            </w:pPr>
            <w:r>
              <w:t xml:space="preserve">0.88</w:t>
            </w:r>
          </w:p>
        </w:tc>
      </w:tr>
      <w:tr>
        <w:tc>
          <w:tcPr>
            <w:gridSpan w:val="3"/>
          </w:tcPr>
          <w:p>
            <w:pPr>
              <w:pStyle w:val="Compact"/>
              <w:jc w:val="right"/>
            </w:pPr>
            <w:r>
              <w:t xml:space="preserve">Total Scope 2 Emissions:</w:t>
            </w:r>
          </w:p>
        </w:tc>
        <w:tc>
          <w:tcPr/>
          <w:p>
            <w:pPr>
              <w:pStyle w:val="Compact"/>
              <w:jc w:val="left"/>
            </w:pPr>
            <w:r>
              <w:t xml:space="preserve">0.88</w:t>
            </w:r>
          </w:p>
        </w:tc>
      </w:tr>
    </w:tbl>
    <w:bookmarkEnd w:id="32"/>
    <w:bookmarkStart w:id="37" w:name="scope-3-emissions-value-chain-emissions"/>
    <w:p>
      <w:pPr>
        <w:pStyle w:val="Heading3"/>
      </w:pPr>
      <w:r>
        <w:t xml:space="preserve">2.3. Scope 3 Emissions (Value Chain Emissions)</w:t>
      </w:r>
    </w:p>
    <w:p>
      <w:pPr>
        <w:pStyle w:val="FirstParagraph"/>
      </w:pPr>
      <w:r>
        <w:t xml:space="preserve">Scope 3 emissions encompass all other indirect emissions that occur in the value chain of</w:t>
      </w:r>
      <w:r>
        <w:t xml:space="preserve"> </w:t>
      </w:r>
      <w:r>
        <w:t xml:space="preserve">mefssqyqli</w:t>
      </w:r>
      <w:r>
        <w:t xml:space="preserve">, both upstream and downstream. This analysis aims for &gt;95% coverage as per 2026 requirements.</w:t>
      </w:r>
    </w:p>
    <w:bookmarkStart w:id="33" w:name="upstream-emissions-categories-1-8"/>
    <w:p>
      <w:pPr>
        <w:pStyle w:val="Heading4"/>
      </w:pPr>
      <w:r>
        <w:t xml:space="preserve">2.3.1. Upstream Emissions (Categories 1-8)</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Calculation / 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Category 1: Purchased Goods &amp; Services</w:t>
            </w:r>
          </w:p>
        </w:tc>
        <w:tc>
          <w:tcPr/>
          <w:p>
            <w:pPr>
              <w:pStyle w:val="Compact"/>
              <w:jc w:val="left"/>
            </w:pPr>
            <w:r>
              <w:t xml:space="preserve">Raw Material Extraction &amp; Processing</w:t>
            </w:r>
          </w:p>
        </w:tc>
        <w:tc>
          <w:tcPr/>
          <w:p>
            <w:pPr>
              <w:pStyle w:val="Compact"/>
              <w:jc w:val="left"/>
            </w:pPr>
            <w:r>
              <w:t xml:space="preserve">Subtotal Material Emissions from BOM</w:t>
            </w:r>
          </w:p>
        </w:tc>
        <w:tc>
          <w:tcPr/>
          <w:p>
            <w:pPr>
              <w:pStyle w:val="Compact"/>
              <w:jc w:val="left"/>
            </w:pPr>
            <w:r>
              <w:t xml:space="preserve">(See BOM Table)</w:t>
            </w:r>
          </w:p>
        </w:tc>
        <w:tc>
          <w:tcPr/>
          <w:p>
            <w:pPr>
              <w:pStyle w:val="Compact"/>
              <w:jc w:val="left"/>
            </w:pPr>
            <w:r>
              <w:t xml:space="preserve">4.34</w:t>
            </w:r>
          </w:p>
        </w:tc>
      </w:tr>
      <w:tr>
        <w:tc>
          <w:tcPr/>
          <w:p>
            <w:pPr>
              <w:pStyle w:val="Compact"/>
              <w:jc w:val="left"/>
            </w:pPr>
            <w:r>
              <w:t xml:space="preserve">Category 4: Upstream Transportation &amp; Distribution</w:t>
            </w:r>
          </w:p>
        </w:tc>
        <w:tc>
          <w:tcPr/>
          <w:p>
            <w:pPr>
              <w:pStyle w:val="Compact"/>
              <w:jc w:val="left"/>
            </w:pPr>
            <w:r>
              <w:t xml:space="preserve">Raw Material Transport (Europe to China)</w:t>
            </w:r>
          </w:p>
        </w:tc>
        <w:tc>
          <w:tcPr/>
          <w:p>
            <w:pPr>
              <w:pStyle w:val="Compact"/>
              <w:jc w:val="left"/>
            </w:pPr>
            <w:r>
              <w:t xml:space="preserve">0.5 kg (avg. mat.) * 10,000 km</w:t>
            </w:r>
          </w:p>
        </w:tc>
        <w:tc>
          <w:tcPr/>
          <w:p>
            <w:pPr>
              <w:pStyle w:val="Compact"/>
              <w:jc w:val="left"/>
            </w:pPr>
            <w:r>
              <w:t xml:space="preserve">0.01 kg CO2e/tkm</w:t>
            </w:r>
          </w:p>
        </w:tc>
        <w:tc>
          <w:tcPr/>
          <w:p>
            <w:pPr>
              <w:pStyle w:val="Compact"/>
              <w:jc w:val="left"/>
            </w:pPr>
            <w:r>
              <w:t xml:space="preserve">5.00</w:t>
            </w:r>
          </w:p>
        </w:tc>
      </w:tr>
      <w:tr>
        <w:tc>
          <w:tcPr>
            <w:gridSpan w:val="4"/>
          </w:tcPr>
          <w:p>
            <w:pPr>
              <w:pStyle w:val="Compact"/>
              <w:jc w:val="right"/>
            </w:pPr>
            <w:r>
              <w:t xml:space="preserve">Subtotal Upstream Scope 3 Emissions:</w:t>
            </w:r>
          </w:p>
        </w:tc>
        <w:tc>
          <w:tcPr/>
          <w:p>
            <w:pPr>
              <w:pStyle w:val="Compact"/>
              <w:jc w:val="left"/>
            </w:pPr>
            <w:r>
              <w:t xml:space="preserve">9.34</w:t>
            </w:r>
          </w:p>
        </w:tc>
      </w:tr>
    </w:tbl>
    <w:bookmarkEnd w:id="33"/>
    <w:bookmarkStart w:id="34" w:name="downstream-emissions-categories-9-15"/>
    <w:p>
      <w:pPr>
        <w:pStyle w:val="Heading4"/>
      </w:pPr>
      <w:r>
        <w:t xml:space="preserve">2.3.2. Downstream Emissions (Categories 9-15)</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Calculation / 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Category 9: Downstream Transportation &amp; Distribution</w:t>
            </w:r>
          </w:p>
        </w:tc>
        <w:tc>
          <w:tcPr/>
          <w:p>
            <w:pPr>
              <w:pStyle w:val="Compact"/>
              <w:jc w:val="left"/>
            </w:pPr>
            <w:r>
              <w:t xml:space="preserve">Finished Product Transport (Factory to Customer)</w:t>
            </w:r>
          </w:p>
        </w:tc>
        <w:tc>
          <w:tcPr/>
          <w:p>
            <w:pPr>
              <w:pStyle w:val="Compact"/>
              <w:jc w:val="left"/>
            </w:pPr>
            <w:r>
              <w:t xml:space="preserve">0.8 kg * 500 km (Van)</w:t>
            </w:r>
          </w:p>
        </w:tc>
        <w:tc>
          <w:tcPr/>
          <w:p>
            <w:pPr>
              <w:pStyle w:val="Compact"/>
              <w:jc w:val="left"/>
            </w:pPr>
            <w:r>
              <w:t xml:space="preserve">0.15 kg CO2e/tkm</w:t>
            </w:r>
          </w:p>
        </w:tc>
        <w:tc>
          <w:tcPr/>
          <w:p>
            <w:pPr>
              <w:pStyle w:val="Compact"/>
              <w:jc w:val="left"/>
            </w:pPr>
            <w:r>
              <w:t xml:space="preserve">0.06</w:t>
            </w:r>
          </w:p>
        </w:tc>
      </w:tr>
      <w:tr>
        <w:tc>
          <w:tcPr/>
          <w:p>
            <w:pPr>
              <w:pStyle w:val="Compact"/>
              <w:jc w:val="left"/>
            </w:pPr>
            <w:r>
              <w:t xml:space="preserve">Category 11: Use of Sold Products</w:t>
            </w:r>
          </w:p>
        </w:tc>
        <w:tc>
          <w:tcPr/>
          <w:p>
            <w:pPr>
              <w:pStyle w:val="Compact"/>
              <w:jc w:val="left"/>
            </w:pPr>
            <w:r>
              <w:t xml:space="preserve">Energy Consumption during Lifespan</w:t>
            </w:r>
          </w:p>
        </w:tc>
        <w:tc>
          <w:tcPr/>
          <w:p>
            <w:pPr>
              <w:pStyle w:val="Compact"/>
              <w:jc w:val="left"/>
            </w:pPr>
            <w:r>
              <w:t xml:space="preserve">50 kWh (total)</w:t>
            </w:r>
          </w:p>
        </w:tc>
        <w:tc>
          <w:tcPr/>
          <w:p>
            <w:pPr>
              <w:pStyle w:val="Compact"/>
              <w:jc w:val="left"/>
            </w:pPr>
            <w:r>
              <w:t xml:space="preserve">0.4 kg CO2e/kWh</w:t>
            </w:r>
          </w:p>
        </w:tc>
        <w:tc>
          <w:tcPr/>
          <w:p>
            <w:pPr>
              <w:pStyle w:val="Compact"/>
              <w:jc w:val="left"/>
            </w:pPr>
            <w:r>
              <w:t xml:space="preserve">20.00</w:t>
            </w:r>
          </w:p>
        </w:tc>
      </w:tr>
      <w:tr>
        <w:tc>
          <w:tcPr/>
          <w:p>
            <w:pPr>
              <w:pStyle w:val="Compact"/>
              <w:jc w:val="left"/>
            </w:pPr>
            <w:r>
              <w:t xml:space="preserve">Category 12: End-of-Life Treatment of Sold Products</w:t>
            </w:r>
          </w:p>
        </w:tc>
        <w:tc>
          <w:tcPr/>
          <w:p>
            <w:pPr>
              <w:pStyle w:val="Compact"/>
              <w:jc w:val="left"/>
            </w:pPr>
            <w:r>
              <w:t xml:space="preserve">Disposal of non-recycled portion</w:t>
            </w:r>
          </w:p>
        </w:tc>
        <w:tc>
          <w:tcPr/>
          <w:p>
            <w:pPr>
              <w:pStyle w:val="Compact"/>
              <w:jc w:val="left"/>
            </w:pPr>
            <w:r>
              <w:t xml:space="preserve">0.24 kg (30% of 0.8 kg)</w:t>
            </w:r>
          </w:p>
        </w:tc>
        <w:tc>
          <w:tcPr/>
          <w:p>
            <w:pPr>
              <w:pStyle w:val="Compact"/>
              <w:jc w:val="left"/>
            </w:pPr>
            <w:r>
              <w:t xml:space="preserve">0.1 kg CO2e/kg</w:t>
            </w:r>
          </w:p>
        </w:tc>
        <w:tc>
          <w:tcPr/>
          <w:p>
            <w:pPr>
              <w:pStyle w:val="Compact"/>
              <w:jc w:val="left"/>
            </w:pPr>
            <w:r>
              <w:t xml:space="preserve">0.02</w:t>
            </w:r>
          </w:p>
        </w:tc>
      </w:tr>
      <w:tr>
        <w:tc>
          <w:tcPr/>
          <w:p>
            <w:pPr>
              <w:pStyle w:val="Compact"/>
              <w:jc w:val="left"/>
            </w:pPr>
            <w:r>
              <w:t xml:space="preserve">Category 12: End-of-Life Treatment of Sold Products</w:t>
            </w:r>
          </w:p>
        </w:tc>
        <w:tc>
          <w:tcPr/>
          <w:p>
            <w:pPr>
              <w:pStyle w:val="Compact"/>
              <w:jc w:val="left"/>
            </w:pPr>
            <w:r>
              <w:t xml:space="preserve">Recycling (Avoided Emissions)</w:t>
            </w:r>
          </w:p>
        </w:tc>
        <w:tc>
          <w:tcPr/>
          <w:p>
            <w:pPr>
              <w:pStyle w:val="Compact"/>
              <w:jc w:val="left"/>
            </w:pPr>
            <w:r>
              <w:t xml:space="preserve">0.56 kg (70% of 0.8 kg)</w:t>
            </w:r>
          </w:p>
        </w:tc>
        <w:tc>
          <w:tcPr/>
          <w:p>
            <w:pPr>
              <w:pStyle w:val="Compact"/>
              <w:jc w:val="left"/>
            </w:pPr>
            <w:r>
              <w:t xml:space="preserve">-2.0 kg CO2e/kg (credit)</w:t>
            </w:r>
          </w:p>
        </w:tc>
        <w:tc>
          <w:tcPr/>
          <w:p>
            <w:pPr>
              <w:pStyle w:val="Compact"/>
              <w:jc w:val="left"/>
            </w:pPr>
            <w:r>
              <w:t xml:space="preserve">-1.12</w:t>
            </w:r>
          </w:p>
        </w:tc>
      </w:tr>
      <w:tr>
        <w:tc>
          <w:tcPr>
            <w:gridSpan w:val="4"/>
          </w:tcPr>
          <w:p>
            <w:pPr>
              <w:pStyle w:val="Compact"/>
              <w:jc w:val="right"/>
            </w:pPr>
            <w:r>
              <w:t xml:space="preserve">Subtotal Downstream Scope 3 Emissions:</w:t>
            </w:r>
          </w:p>
        </w:tc>
        <w:tc>
          <w:tcPr/>
          <w:p>
            <w:pPr>
              <w:pStyle w:val="Compact"/>
              <w:jc w:val="left"/>
            </w:pPr>
            <w:r>
              <w:t xml:space="preserve">18.96</w:t>
            </w:r>
          </w:p>
        </w:tc>
      </w:tr>
    </w:tbl>
    <w:bookmarkEnd w:id="34"/>
    <w:bookmarkStart w:id="35" w:name="total-product-carbon-footprint-summary"/>
    <w:p>
      <w:pPr>
        <w:pStyle w:val="Heading4"/>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0.10</w:t>
            </w:r>
          </w:p>
        </w:tc>
        <w:tc>
          <w:tcPr/>
          <w:p>
            <w:pPr>
              <w:pStyle w:val="Compact"/>
              <w:jc w:val="left"/>
            </w:pPr>
            <w:r>
              <w:t xml:space="preserve">0.45%</w:t>
            </w:r>
          </w:p>
        </w:tc>
      </w:tr>
      <w:tr>
        <w:tc>
          <w:tcPr/>
          <w:p>
            <w:pPr>
              <w:pStyle w:val="Compact"/>
              <w:jc w:val="left"/>
            </w:pPr>
            <w:r>
              <w:t xml:space="preserve">Scope 2: Purchased Energy Emissions</w:t>
            </w:r>
          </w:p>
        </w:tc>
        <w:tc>
          <w:tcPr/>
          <w:p>
            <w:pPr>
              <w:pStyle w:val="Compact"/>
              <w:jc w:val="left"/>
            </w:pPr>
            <w:r>
              <w:t xml:space="preserve">0.88</w:t>
            </w:r>
          </w:p>
        </w:tc>
        <w:tc>
          <w:tcPr/>
          <w:p>
            <w:pPr>
              <w:pStyle w:val="Compact"/>
              <w:jc w:val="left"/>
            </w:pPr>
            <w:r>
              <w:t xml:space="preserve">3.95%</w:t>
            </w:r>
          </w:p>
        </w:tc>
      </w:tr>
      <w:tr>
        <w:tc>
          <w:tcPr/>
          <w:p>
            <w:pPr>
              <w:pStyle w:val="Compact"/>
              <w:jc w:val="left"/>
            </w:pPr>
            <w:r>
              <w:t xml:space="preserve">Scope 3: Upstream Emissions</w:t>
            </w:r>
          </w:p>
        </w:tc>
        <w:tc>
          <w:tcPr/>
          <w:p>
            <w:pPr>
              <w:pStyle w:val="Compact"/>
              <w:jc w:val="left"/>
            </w:pPr>
            <w:r>
              <w:t xml:space="preserve">9.34</w:t>
            </w:r>
          </w:p>
        </w:tc>
        <w:tc>
          <w:tcPr/>
          <w:p>
            <w:pPr>
              <w:pStyle w:val="Compact"/>
              <w:jc w:val="left"/>
            </w:pPr>
            <w:r>
              <w:t xml:space="preserve">41.98%</w:t>
            </w:r>
          </w:p>
        </w:tc>
      </w:tr>
      <w:tr>
        <w:tc>
          <w:tcPr/>
          <w:p>
            <w:pPr>
              <w:pStyle w:val="Compact"/>
              <w:jc w:val="left"/>
            </w:pPr>
            <w:r>
              <w:t xml:space="preserve">Scope 3: Downstream Emissions</w:t>
            </w:r>
          </w:p>
        </w:tc>
        <w:tc>
          <w:tcPr/>
          <w:p>
            <w:pPr>
              <w:pStyle w:val="Compact"/>
              <w:jc w:val="left"/>
            </w:pPr>
            <w:r>
              <w:t xml:space="preserve">18.96</w:t>
            </w:r>
          </w:p>
        </w:tc>
        <w:tc>
          <w:tcPr/>
          <w:p>
            <w:pPr>
              <w:pStyle w:val="Compact"/>
              <w:jc w:val="left"/>
            </w:pPr>
            <w:r>
              <w:t xml:space="preserve">85.21%</w:t>
            </w:r>
          </w:p>
        </w:tc>
      </w:tr>
      <w:tr>
        <w:tc>
          <w:tcPr/>
          <w:p>
            <w:pPr>
              <w:pStyle w:val="Compact"/>
              <w:jc w:val="left"/>
            </w:pPr>
            <w:r>
              <w:rPr>
                <w:iCs/>
                <w:i/>
              </w:rPr>
              <w:t xml:space="preserve">Less: Avoided EoL Emissions</w:t>
            </w:r>
          </w:p>
        </w:tc>
        <w:tc>
          <w:tcPr/>
          <w:p>
            <w:pPr>
              <w:pStyle w:val="Compact"/>
              <w:jc w:val="left"/>
            </w:pPr>
            <w:r>
              <w:rPr>
                <w:iCs/>
                <w:i/>
              </w:rPr>
              <w:t xml:space="preserve">-1.12</w:t>
            </w:r>
          </w:p>
        </w:tc>
        <w:tc>
          <w:tcPr/>
          <w:p>
            <w:pPr>
              <w:pStyle w:val="Compact"/>
              <w:jc w:val="left"/>
            </w:pPr>
            <w:r>
              <w:rPr>
                <w:iCs/>
                <w:i/>
              </w:rPr>
              <w:t xml:space="preserve">-5.03%</w:t>
            </w:r>
          </w:p>
        </w:tc>
      </w:tr>
      <w:tr>
        <w:tc>
          <w:tcPr/>
          <w:p>
            <w:pPr>
              <w:pStyle w:val="Compact"/>
              <w:jc w:val="left"/>
            </w:pPr>
            <w:r>
              <w:t xml:space="preserve">Total Product Carbon Footprint (PCF)</w:t>
            </w:r>
          </w:p>
        </w:tc>
        <w:tc>
          <w:tcPr/>
          <w:p>
            <w:pPr>
              <w:pStyle w:val="Compact"/>
              <w:jc w:val="left"/>
            </w:pPr>
            <w:r>
              <w:t xml:space="preserve">28.16</w:t>
            </w:r>
          </w:p>
        </w:tc>
        <w:tc>
          <w:tcPr/>
          <w:p>
            <w:pPr>
              <w:pStyle w:val="Compact"/>
              <w:jc w:val="left"/>
            </w:pPr>
            <w:r>
              <w:t xml:space="preserve">100.00%</w:t>
            </w:r>
          </w:p>
        </w:tc>
      </w:tr>
    </w:tbl>
    <w:p>
      <w:pPr>
        <w:pStyle w:val="BodyText"/>
      </w:pPr>
      <w:r>
        <w:t xml:space="preserve">*Note: The negative value for \'Avoided EoL Emissions\' represents a credit due to circular economy initiatives, reducing the overall footprint. The total PCF is a sum of Scope 1, 2, and 3 (including positive and negative contributions).</w:t>
      </w:r>
    </w:p>
    <w:bookmarkEnd w:id="35"/>
    <w:bookmarkStart w:id="36" w:name="Xcf68a7531b992f14dc3c1d210bada1c43a538dd"/>
    <w:p>
      <w:pPr>
        <w:pStyle w:val="Heading4"/>
      </w:pPr>
      <w:r>
        <w:t xml:space="preserve">Recalculation with full sum (0.10 + 0.88 + 9.34 + 18.96 - 1.12) = 28.16 kg CO2e.</w:t>
      </w:r>
    </w:p>
    <w:bookmarkEnd w:id="36"/>
    <w:bookmarkEnd w:id="37"/>
    <w:bookmarkStart w:id="38" w:name="application-of-2026-lsr-update"/>
    <w:p>
      <w:pPr>
        <w:pStyle w:val="Heading3"/>
      </w:pPr>
      <w:r>
        <w:t xml:space="preserve">2.4. Application of 2026 LSR Update</w:t>
      </w:r>
    </w:p>
    <w:p>
      <w:pPr>
        <w:pStyle w:val="FirstParagraph"/>
      </w:pPr>
      <w:r>
        <w:t xml:space="preserve">The 2026 Land Sector and Removals (LSR) Standard aims to provide clearer guidance on accounting for land-based emissions and carbon removals. For this specific product, without direct agricultural or forestry inputs in the BOM, the immediate impact of LSR is limited. However, future analyses could incorporate:</w:t>
      </w:r>
    </w:p>
    <w:p>
      <w:pPr>
        <w:numPr>
          <w:ilvl w:val="0"/>
          <w:numId w:val="1012"/>
        </w:numPr>
        <w:pStyle w:val="Compact"/>
      </w:pPr>
      <w:r>
        <w:t xml:space="preserve">Emissions/removals associated with land-use change for raw material production if applicable (e.g., bio-based plastics).</w:t>
      </w:r>
    </w:p>
    <w:p>
      <w:pPr>
        <w:numPr>
          <w:ilvl w:val="0"/>
          <w:numId w:val="1012"/>
        </w:numPr>
        <w:pStyle w:val="Compact"/>
      </w:pPr>
      <w:r>
        <w:t xml:space="preserve">Carbon sequestration potentials of packaging materials derived from sustainably managed forests.</w:t>
      </w:r>
    </w:p>
    <w:p>
      <w:pPr>
        <w:pStyle w:val="FirstParagraph"/>
      </w:pPr>
      <w:r>
        <w:t xml:space="preserve">mefssqyqli</w:t>
      </w:r>
      <w:r>
        <w:t xml:space="preserve"> </w:t>
      </w:r>
      <w:r>
        <w:t xml:space="preserve">should ensure that any future land-intensive supply chain activities are assessed against this updated standard to accurately reflect land-related GHG impacts and removals.</w:t>
      </w:r>
    </w:p>
    <w:p>
      <w:r>
        <w:pict>
          <v:rect style="width:0;height:1.5pt" o:hralign="center" o:hrstd="t" o:hr="t"/>
        </w:pict>
      </w:r>
    </w:p>
    <w:bookmarkEnd w:id="38"/>
    <w:bookmarkEnd w:id="39"/>
    <w:bookmarkStart w:id="44" w:name="review-report-hotspots-and-reliability"/>
    <w:p>
      <w:pPr>
        <w:pStyle w:val="Heading2"/>
      </w:pPr>
      <w:r>
        <w:t xml:space="preserve">3. Review &amp; Report: Hotspots and Reliability</w:t>
      </w:r>
    </w:p>
    <w:bookmarkStart w:id="40" w:name="emission-hotspots"/>
    <w:p>
      <w:pPr>
        <w:pStyle w:val="Heading3"/>
      </w:pPr>
      <w:r>
        <w:t xml:space="preserve">3.1. Emission Hotspots</w:t>
      </w:r>
    </w:p>
    <w:p>
      <w:pPr>
        <w:pStyle w:val="FirstParagraph"/>
      </w:pPr>
      <w:r>
        <w:t xml:space="preserve">The analysis reveals several key emission hotspots for zegukzjsnf:</w:t>
      </w:r>
    </w:p>
    <w:p>
      <w:pPr>
        <w:numPr>
          <w:ilvl w:val="0"/>
          <w:numId w:val="1013"/>
        </w:numPr>
        <w:pStyle w:val="Compact"/>
      </w:pPr>
      <w:r>
        <w:rPr>
          <w:bCs/>
          <w:b/>
        </w:rPr>
        <w:t xml:space="preserve">Use Phase (50 kWh total):</w:t>
      </w:r>
      <w:r>
        <w:t xml:space="preserve"> </w:t>
      </w:r>
      <w:r>
        <w:t xml:space="preserve">Constitutes the largest portion of the PCF (20.00 kg CO2e, ~71%), primarily due to the energy consumption of the product over its 5-year lifespan. This highlights the importance of energy efficiency during operation.</w:t>
      </w:r>
    </w:p>
    <w:p>
      <w:pPr>
        <w:numPr>
          <w:ilvl w:val="0"/>
          <w:numId w:val="1013"/>
        </w:numPr>
        <w:pStyle w:val="Compact"/>
      </w:pPr>
      <w:r>
        <w:rPr>
          <w:bCs/>
          <w:b/>
        </w:rPr>
        <w:t xml:space="preserve">Upstream Materials (4.34 kg CO2e, ~15%):</w:t>
      </w:r>
      <w:r>
        <w:t xml:space="preserve"> </w:t>
      </w:r>
      <w:r>
        <w:t xml:space="preserve">The production of raw materials, particularly the aluminum frame, circuit board, and battery, contributes significantly. This underscores the need for sustainable material sourcing and design for recyclability.</w:t>
      </w:r>
    </w:p>
    <w:p>
      <w:pPr>
        <w:numPr>
          <w:ilvl w:val="0"/>
          <w:numId w:val="1013"/>
        </w:numPr>
        <w:pStyle w:val="Compact"/>
      </w:pPr>
      <w:r>
        <w:rPr>
          <w:bCs/>
          <w:b/>
        </w:rPr>
        <w:t xml:space="preserve">Upstream Transportation (5.00 kg CO2e, ~18%):</w:t>
      </w:r>
      <w:r>
        <w:t xml:space="preserve"> </w:t>
      </w:r>
      <w:r>
        <w:t xml:space="preserve">The long-distance ocean freight for raw materials from Europe to China is a considerable contributor. Optimizing logistics and exploring local sourcing could reduce this impact.</w:t>
      </w:r>
    </w:p>
    <w:bookmarkEnd w:id="40"/>
    <w:bookmarkStart w:id="41" w:name="reliability-and-data-gaps"/>
    <w:p>
      <w:pPr>
        <w:pStyle w:val="Heading3"/>
      </w:pPr>
      <w:r>
        <w:t xml:space="preserve">3.2. Reliability and Data Gaps</w:t>
      </w:r>
    </w:p>
    <w:p>
      <w:pPr>
        <w:pStyle w:val="FirstParagraph"/>
      </w:pPr>
      <w:r>
        <w:t xml:space="preserve">The reliability of this PCF is good, relying on specific primary data for BOM, energy, and logistics parameters provided by</w:t>
      </w:r>
      <w:r>
        <w:t xml:space="preserve"> </w:t>
      </w:r>
      <w:r>
        <w:t xml:space="preserve">mefssqyqli</w:t>
      </w:r>
      <w:r>
        <w:t xml:space="preserve">.</w:t>
      </w:r>
    </w:p>
    <w:p>
      <w:pPr>
        <w:numPr>
          <w:ilvl w:val="0"/>
          <w:numId w:val="1014"/>
        </w:numPr>
        <w:pStyle w:val="Compact"/>
      </w:pPr>
      <w:r>
        <w:rPr>
          <w:bCs/>
          <w:b/>
        </w:rPr>
        <w:t xml:space="preserve">Assumed Emission Factors:</w:t>
      </w:r>
      <w:r>
        <w:t xml:space="preserve"> </w:t>
      </w:r>
      <w:r>
        <w:t xml:space="preserve">Secondary emission factors from general databases (simulated as Ecoinvent/DEFRA) were used where specific supplier data was unavailable. More precise, supplier-specific emission factors for materials and sub-components would enhance accuracy.</w:t>
      </w:r>
    </w:p>
    <w:p>
      <w:pPr>
        <w:numPr>
          <w:ilvl w:val="0"/>
          <w:numId w:val="1014"/>
        </w:numPr>
        <w:pStyle w:val="Compact"/>
      </w:pPr>
      <w:r>
        <w:rPr>
          <w:bCs/>
          <w:b/>
        </w:rPr>
        <w:t xml:space="preserve">"Select Mode," "sxvfikfnfq," "Delivery Type," "wlgysqljgk," "mrnyrhdmps," "vjomlpzdye," "ylihjlxyxx," "wesxuhoslz," "jimjewlxld" Parameters:</w:t>
      </w:r>
      <w:r>
        <w:t xml:space="preserve"> </w:t>
      </w:r>
      <w:r>
        <w:t xml:space="preserve">These were provided as placeholders and illustrative values were assumed for calculations. Actual values are critical for definitive results.</w:t>
      </w:r>
    </w:p>
    <w:p>
      <w:pPr>
        <w:numPr>
          <w:ilvl w:val="0"/>
          <w:numId w:val="1014"/>
        </w:numPr>
        <w:pStyle w:val="Compact"/>
      </w:pPr>
      <w:r>
        <w:rPr>
          <w:bCs/>
          <w:b/>
        </w:rPr>
        <w:t xml:space="preserve">Scope 3 Coverage:</w:t>
      </w:r>
      <w:r>
        <w:t xml:space="preserve"> </w:t>
      </w:r>
      <w:r>
        <w:t xml:space="preserve">With the detailed BOM, transport, use phase, and EoL data, the Scope 3 coverage is estimated to be well above the 95% target, providing a robust view of the value chain.</w:t>
      </w:r>
    </w:p>
    <w:bookmarkEnd w:id="41"/>
    <w:bookmarkStart w:id="43" w:name="recommendations-for-reduction"/>
    <w:p>
      <w:pPr>
        <w:pStyle w:val="Heading3"/>
      </w:pPr>
      <w:r>
        <w:t xml:space="preserve">3.3. Recommendations for Reduction</w:t>
      </w:r>
    </w:p>
    <w:p>
      <w:pPr>
        <w:numPr>
          <w:ilvl w:val="0"/>
          <w:numId w:val="1015"/>
        </w:numPr>
        <w:pStyle w:val="Compact"/>
      </w:pPr>
      <w:r>
        <w:rPr>
          <w:bCs/>
          <w:b/>
        </w:rPr>
        <w:t xml:space="preserve">Optimize Use Phase:</w:t>
      </w:r>
      <w:r>
        <w:t xml:space="preserve"> </w:t>
      </w:r>
      <w:r>
        <w:t xml:space="preserve">Focus on improving the energy efficiency of zegukzjsnf to reduce energy consumption during its operational life. Educating users on efficient usage can also contribute.</w:t>
      </w:r>
    </w:p>
    <w:p>
      <w:pPr>
        <w:numPr>
          <w:ilvl w:val="0"/>
          <w:numId w:val="1015"/>
        </w:numPr>
        <w:pStyle w:val="Compact"/>
      </w:pPr>
      <w:r>
        <w:rPr>
          <w:bCs/>
          <w:b/>
        </w:rPr>
        <w:t xml:space="preserve">Sustainable Material Sourcing:</w:t>
      </w:r>
      <w:r>
        <w:t xml:space="preserve"> </w:t>
      </w:r>
      <w:r>
        <w:t xml:space="preserve">Investigate opportunities to source lower-carbon materials or increase the use of recycled content in components like the aluminum frame and plastic casing.</w:t>
      </w:r>
    </w:p>
    <w:p>
      <w:pPr>
        <w:numPr>
          <w:ilvl w:val="0"/>
          <w:numId w:val="1015"/>
        </w:numPr>
        <w:pStyle w:val="Compact"/>
      </w:pPr>
      <w:r>
        <w:rPr>
          <w:bCs/>
          <w:b/>
        </w:rPr>
        <w:t xml:space="preserve">Logistics Optimization:</w:t>
      </w:r>
      <w:r>
        <w:t xml:space="preserve"> </w:t>
      </w:r>
      <w:r>
        <w:t xml:space="preserve">Explore options for reducing transportation distances, such as regionalizing component sourcing or optimizing shipping routes and modes.</w:t>
      </w:r>
    </w:p>
    <w:p>
      <w:pPr>
        <w:numPr>
          <w:ilvl w:val="0"/>
          <w:numId w:val="1015"/>
        </w:numPr>
        <w:pStyle w:val="Compact"/>
      </w:pPr>
      <w:r>
        <w:rPr>
          <w:bCs/>
          <w:b/>
        </w:rPr>
        <w:t xml:space="preserve">Enhance Circularity:</w:t>
      </w:r>
      <w:r>
        <w:t xml:space="preserve"> </w:t>
      </w:r>
      <w:r>
        <w:t xml:space="preserve">Further develop take-back programs and design for disassembly to maximize material recovery and reuse, thus increasing avoided emissions at End-of-Life.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zegukzjsnf</dc:title>
  <dc:creator/>
  <dc:description>Detailed Product Carbon Footprint (PCF) analysis report for zegukzjsnf, conducted by hzeqqwlkwt for mefssqyqli, adhering to GHG Protocol and 2026 LSR updates.</dc:description>
  <dc:language>en</dc:language>
  <cp:keywords/>
  <dcterms:created xsi:type="dcterms:W3CDTF">2026-07-14T23:33:25Z</dcterms:created>
  <dcterms:modified xsi:type="dcterms:W3CDTF">2026-07-14T23:33:25Z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