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zdvitzlljp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zdvitzlljp</w:t>
      </w:r>
    </w:p>
    <w:p>
      <w:pPr>
        <w:pStyle w:val="BodyText"/>
      </w:pPr>
      <w:r>
        <w:rPr>
          <w:bCs/>
          <w:b/>
        </w:rPr>
        <w:t xml:space="preserve">Company:</w:t>
      </w:r>
      <w:r>
        <w:t xml:space="preserve"> </w:t>
      </w:r>
      <w:r>
        <w:t xml:space="preserve">ntnhyvwjtz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ezkihqmixg</w:t>
      </w:r>
    </w:p>
    <w:p>
      <w:pPr>
        <w:pStyle w:val="BodyText"/>
      </w:pPr>
      <w:r>
        <w:t xml:space="preserve">Disclaimer: This report is generated based on available data and industry standards, including illustrative values for parameters provided as literal strings in the original request. Actual carbon footprint values may vary with precise primary data.</w:t>
      </w:r>
    </w:p>
    <w:bookmarkEnd w:id="20"/>
    <w:bookmarkStart w:id="41" w:name="X7ef68e2981852f983ad34a3b45553d6975f2886"/>
    <w:p>
      <w:pPr>
        <w:pStyle w:val="Heading1"/>
      </w:pPr>
      <w:r>
        <w:t xml:space="preserve">Product Carbon Footprint Analysis Report: zdvitzlljp</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\'zdvitzlljp\', manufactured by \'ntnhyvwjtz\'. Conducted by \'ezkihqmixg\', Senior Sustainability Consultant, this analysis adheres to the GHG Protocol accounting standard, incorporating the 2026 Land Sector and Removals (LSR) update and targeting 95% Scope 3 compliance. The objective is to quantify the greenhouse gas emissions across the product\'s entire lifecycle, identify key emission hotspots, and provide insights for reduction strategies. Due to the provision of several key parameters as literal strings rather than numerical data, illustrative values have been used to demonstrate the calculation methodology and provide a conceptual footprint.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boundaries and assumptions for the study, ensuring consistency and comparability.</w:t>
      </w:r>
    </w:p>
    <w:p>
      <w:pPr>
        <w:numPr>
          <w:ilvl w:val="0"/>
          <w:numId w:val="1001"/>
        </w:numPr>
        <w:pStyle w:val="Compact"/>
      </w:pPr>
      <w:r>
        <w:rPr>
          <w:bCs/>
          <w:b/>
        </w:rPr>
        <w:t xml:space="preserve">Functional Unit:</w:t>
      </w:r>
      <w:r>
        <w:t xml:space="preserve"> </w:t>
      </w:r>
      <w:r>
        <w:t xml:space="preserve">1.0 unit of zdvitzlljp. This unit serves as the reference basis for quantifying inputs and outputs.</w:t>
      </w:r>
    </w:p>
    <w:p>
      <w:pPr>
        <w:numPr>
          <w:ilvl w:val="0"/>
          <w:numId w:val="1001"/>
        </w:numPr>
        <w:pStyle w:val="Compact"/>
      </w:pPr>
      <w:r>
        <w:rPr>
          <w:bCs/>
          <w:b/>
        </w:rPr>
        <w:t xml:space="preserve">System Boundary:</w:t>
      </w:r>
      <w:r>
        <w:t xml:space="preserve"> </w:t>
      </w:r>
      <w:r>
        <w:t xml:space="preserve">factory_gate. This "cradle-to-gate" approach focuses on emissions from raw material extraction, processing, and manufacturing up to the point the product leaves the factory. However, per the detailed requirements, the analysis extends beyond "factory_gate" to include transport, use phase, and end-of-life, effectively providing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the primary manufacturing location and the region where key supply chain activities are concentrated and assessed.</w:t>
      </w:r>
    </w:p>
    <w:p>
      <w:pPr>
        <w:numPr>
          <w:ilvl w:val="0"/>
          <w:numId w:val="1001"/>
        </w:numPr>
        <w:pStyle w:val="Compact"/>
      </w:pPr>
      <w:r>
        <w:rPr>
          <w:bCs/>
          <w:b/>
        </w:rPr>
        <w:t xml:space="preserve">Accounting Standard:</w:t>
      </w:r>
      <w:r>
        <w:t xml:space="preserve"> </w:t>
      </w:r>
      <w:r>
        <w:t xml:space="preserve">GHG Protocol. This analysis strictly follows the Greenhouse Gas Protocol\'s Product Standard, which provides a comprehensive framework for measuring and reporting lifecycle GHG emissions.</w:t>
      </w:r>
    </w:p>
    <w:p>
      <w:pPr>
        <w:numPr>
          <w:ilvl w:val="0"/>
          <w:numId w:val="1001"/>
        </w:numPr>
        <w:pStyle w:val="Compact"/>
      </w:pPr>
      <w:r>
        <w:rPr>
          <w:bCs/>
          <w:b/>
        </w:rPr>
        <w:t xml:space="preserve">Allocation:</w:t>
      </w:r>
      <w:r>
        <w:t xml:space="preserve"> </w:t>
      </w:r>
      <w:r>
        <w:t xml:space="preserve">Emissions are allocated to the functional unit based on mass and economic value, where applicable, following GHG Protocol guidance.</w:t>
      </w:r>
    </w:p>
    <w:p>
      <w:r>
        <w:pict>
          <v:rect style="width:0;height:1.5pt" o:hralign="center" o:hrstd="t" o:hr="t"/>
        </w:pict>
      </w:r>
    </w:p>
    <w:bookmarkEnd w:id="22"/>
    <w:bookmarkStart w:id="26" w:name="map-lifecycle-lci-inventory-stages"/>
    <w:p>
      <w:pPr>
        <w:pStyle w:val="Heading2"/>
      </w:pPr>
      <w:r>
        <w:t xml:space="preserve">2. Map Lifecycle (LCI Inventory Stages)</w:t>
      </w:r>
    </w:p>
    <w:p>
      <w:pPr>
        <w:pStyle w:val="FirstParagraph"/>
      </w:pPr>
      <w:r>
        <w:t xml:space="preserve">This section details the lifecycle stages considered for zdvitzlljp and lists the primary material and energy inputs. Illustrative data has been generated for computational demonstration, given the placeholder nature of some input parameters.</w:t>
      </w:r>
    </w:p>
    <w:bookmarkStart w:id="23" w:name="X52f69d676706c6507fbd15bc88822087d69b778"/>
    <w:p>
      <w:pPr>
        <w:pStyle w:val="Heading3"/>
      </w:pPr>
      <w:r>
        <w:t xml:space="preserve">Detailed Bill of Materials (BOM) for zdvitzlljp (Illustrative Data)</w:t>
      </w:r>
    </w:p>
    <w:p>
      <w:pPr>
        <w:pStyle w:val="FirstParagraph"/>
      </w:pPr>
      <w:r>
        <w:t xml:space="preserve">The following table presents a representative Bill of Materials (BOM) for zdvitzlljp. The \'Total Carbon\' values are used directly for material impact calculation, as instructed, and are illustrative of typical impacts.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2.50</w:t>
            </w:r>
          </w:p>
        </w:tc>
      </w:tr>
      <w:tr>
        <w:tc>
          <w:tcPr>
            <w:gridSpan w:val="7"/>
          </w:tcPr>
          <w:p>
            <w:pPr>
              <w:pStyle w:val="Compact"/>
              <w:jc w:val="right"/>
            </w:pPr>
            <w:r>
              <w:rPr>
                <w:bCs/>
                <w:b/>
              </w:rPr>
              <w:t xml:space="preserve">Total Material Carbon Impact:</w:t>
            </w:r>
          </w:p>
        </w:tc>
        <w:tc>
          <w:tcPr/>
          <w:p>
            <w:pPr>
              <w:pStyle w:val="Compact"/>
              <w:jc w:val="left"/>
            </w:pPr>
            <w:r>
              <w:rPr>
                <w:bCs/>
                <w:b/>
              </w:rPr>
              <w:t xml:space="preserve">10.55</w:t>
            </w:r>
          </w:p>
        </w:tc>
      </w:tr>
    </w:tbl>
    <w:bookmarkEnd w:id="23"/>
    <w:bookmarkStart w:id="24" w:name="X8ffdd38c8d1198e6098eba6c30fd088b52a10fc"/>
    <w:p>
      <w:pPr>
        <w:pStyle w:val="Heading3"/>
      </w:pPr>
      <w:r>
        <w:t xml:space="preserve">Energy Inputs for Production (Illustrative Data)</w:t>
      </w:r>
    </w:p>
    <w:p>
      <w:pPr>
        <w:pStyle w:val="FirstParagraph"/>
      </w:pPr>
      <w:r>
        <w:t xml:space="preserve">Production energy consumption and renewable energy usage are critical factors in the manufacturing footprint.</w:t>
      </w:r>
    </w:p>
    <w:p>
      <w:pPr>
        <w:numPr>
          <w:ilvl w:val="0"/>
          <w:numId w:val="1002"/>
        </w:numPr>
        <w:pStyle w:val="Compact"/>
      </w:pPr>
      <w:r>
        <w:rPr>
          <w:bCs/>
          <w:b/>
        </w:rPr>
        <w:t xml:space="preserve">Renewable Energy Usage (pmrwmgkkkv):</w:t>
      </w:r>
      <w:r>
        <w:t xml:space="preserve"> </w:t>
      </w:r>
      <w:r>
        <w:t xml:space="preserve">70% (Illustrative)</w:t>
      </w:r>
    </w:p>
    <w:p>
      <w:pPr>
        <w:numPr>
          <w:ilvl w:val="0"/>
          <w:numId w:val="1002"/>
        </w:numPr>
        <w:pStyle w:val="Compact"/>
      </w:pPr>
      <w:r>
        <w:rPr>
          <w:bCs/>
          <w:b/>
        </w:rPr>
        <w:t xml:space="preserve">Energy Intensity (kWh/unit) (nunruqpprt):</w:t>
      </w:r>
      <w:r>
        <w:t xml:space="preserve"> </w:t>
      </w:r>
      <w:r>
        <w:t xml:space="preserve">15 kWh/unit (Illustrative)</w:t>
      </w:r>
    </w:p>
    <w:bookmarkEnd w:id="24"/>
    <w:bookmarkStart w:id="25" w:name="lifecycle-stages-considered"/>
    <w:p>
      <w:pPr>
        <w:pStyle w:val="Heading3"/>
      </w:pPr>
      <w:r>
        <w:t xml:space="preserve">Lifecycle Stages Considered:</w:t>
      </w:r>
    </w:p>
    <w:p>
      <w:pPr>
        <w:numPr>
          <w:ilvl w:val="0"/>
          <w:numId w:val="1003"/>
        </w:numPr>
        <w:pStyle w:val="Compact"/>
      </w:pPr>
      <w:r>
        <w:rPr>
          <w:bCs/>
          <w:b/>
        </w:rPr>
        <w:t xml:space="preserve">Raw Material Acquisition &amp; Processing:</w:t>
      </w:r>
      <w:r>
        <w:t xml:space="preserve"> </w:t>
      </w:r>
      <w:r>
        <w:t xml:space="preserve">Emissions associated with the extraction, production, and primary processing of all materials listed in the BOM.</w:t>
      </w:r>
    </w:p>
    <w:p>
      <w:pPr>
        <w:numPr>
          <w:ilvl w:val="0"/>
          <w:numId w:val="1003"/>
        </w:numPr>
        <w:pStyle w:val="Compact"/>
      </w:pPr>
      <w:r>
        <w:rPr>
          <w:bCs/>
          <w:b/>
        </w:rPr>
        <w:t xml:space="preserve">Manufacturing:</w:t>
      </w:r>
      <w:r>
        <w:t xml:space="preserve"> </w:t>
      </w:r>
      <w:r>
        <w:t xml:space="preserve">Emissions from the assembly and fabrication of zdvitzlljp, including energy consumption at the production facility.</w:t>
      </w:r>
    </w:p>
    <w:p>
      <w:pPr>
        <w:numPr>
          <w:ilvl w:val="0"/>
          <w:numId w:val="1003"/>
        </w:numPr>
        <w:pStyle w:val="Compact"/>
      </w:pPr>
      <w:r>
        <w:rPr>
          <w:bCs/>
          <w:b/>
        </w:rPr>
        <w:t xml:space="preserve">Transport:</w:t>
      </w:r>
      <w:r>
        <w:t xml:space="preserve"> </w:t>
      </w:r>
      <w:r>
        <w:t xml:space="preserve">Emissions from transporting raw materials to the factory (inbound logistics) and finished products to the customer (outbound logistics, including last-mile delivery).</w:t>
      </w:r>
    </w:p>
    <w:p>
      <w:pPr>
        <w:numPr>
          <w:ilvl w:val="0"/>
          <w:numId w:val="1003"/>
        </w:numPr>
        <w:pStyle w:val="Compact"/>
      </w:pPr>
      <w:r>
        <w:rPr>
          <w:bCs/>
          <w:b/>
        </w:rPr>
        <w:t xml:space="preserve">Use Phase:</w:t>
      </w:r>
      <w:r>
        <w:t xml:space="preserve"> </w:t>
      </w:r>
      <w:r>
        <w:t xml:space="preserve">Emissions generated during the product\'s lifespan, primarily from energy consumption by the user.</w:t>
      </w:r>
    </w:p>
    <w:p>
      <w:pPr>
        <w:numPr>
          <w:ilvl w:val="0"/>
          <w:numId w:val="1003"/>
        </w:numPr>
        <w:pStyle w:val="Compact"/>
      </w:pPr>
      <w:r>
        <w:rPr>
          <w:bCs/>
          <w:b/>
        </w:rPr>
        <w:t xml:space="preserve">End-of-Life (EoL):</w:t>
      </w:r>
      <w:r>
        <w:t xml:space="preserve"> </w:t>
      </w:r>
      <w:r>
        <w:t xml:space="preserve">Emissions or avoided emissions associated with product disposal (landfilling, incineration) and recycling/circular economy programs.</w:t>
      </w:r>
    </w:p>
    <w:p>
      <w:r>
        <w:pict>
          <v:rect style="width:0;height:1.5pt" o:hralign="center" o:hrstd="t" o:hr="t"/>
        </w:pict>
      </w:r>
    </w:p>
    <w:bookmarkEnd w:id="25"/>
    <w:bookmarkEnd w:id="26"/>
    <w:bookmarkStart w:id="29" w:name="collect-data"/>
    <w:p>
      <w:pPr>
        <w:pStyle w:val="Heading2"/>
      </w:pPr>
      <w:r>
        <w:t xml:space="preserve">3. Collect Data</w:t>
      </w:r>
    </w:p>
    <w:p>
      <w:pPr>
        <w:pStyle w:val="FirstParagraph"/>
      </w:pPr>
      <w:r>
        <w:t xml:space="preserve">Data collection for this PCF analysis integrates both primary and secondary data points. For parameters provided as literal strings, illustrative numerical data has been used to demonstrate the methodology.</w:t>
      </w:r>
    </w:p>
    <w:bookmarkStart w:id="27" w:name="X5f387f81300aa55644c2eaf9e92aaf040843c84"/>
    <w:p>
      <w:pPr>
        <w:pStyle w:val="Heading3"/>
      </w:pPr>
      <w:r>
        <w:t xml:space="preserve">Primary Data Points (Illustrative Values Used):</w:t>
      </w:r>
    </w:p>
    <w:p>
      <w:pPr>
        <w:numPr>
          <w:ilvl w:val="0"/>
          <w:numId w:val="1004"/>
        </w:numPr>
        <w:pStyle w:val="Compact"/>
      </w:pPr>
      <w:r>
        <w:rPr>
          <w:bCs/>
          <w:b/>
        </w:rPr>
        <w:t xml:space="preserve">Detailed Bill of Materials (BOM):</w:t>
      </w:r>
      <w:r>
        <w:t xml:space="preserve"> </w:t>
      </w:r>
      <w:r>
        <w:t xml:space="preserve">The illustrative BOM (gypriekj) provided in Section 2, with explicit \'Total Carbon\' values, is used for high-accuracy material impact calculation.</w:t>
      </w:r>
    </w:p>
    <w:p>
      <w:pPr>
        <w:numPr>
          <w:ilvl w:val="0"/>
          <w:numId w:val="1004"/>
        </w:numPr>
        <w:pStyle w:val="Compact"/>
      </w:pPr>
      <w:r>
        <w:rPr>
          <w:bCs/>
          <w:b/>
        </w:rPr>
        <w:t xml:space="preserve">Transport Mode (Select Mode):</w:t>
      </w:r>
      <w:r>
        <w:t xml:space="preserve"> </w:t>
      </w:r>
      <w:r>
        <w:t xml:space="preserve">Assumed as "Sea Freight (Primary Inbound), Road Freight (Outbound to Hub), Parcel Delivery (Last-Mile)" for demonstration.</w:t>
      </w:r>
    </w:p>
    <w:p>
      <w:pPr>
        <w:numPr>
          <w:ilvl w:val="0"/>
          <w:numId w:val="1004"/>
        </w:numPr>
        <w:pStyle w:val="Compact"/>
      </w:pPr>
      <w:r>
        <w:rPr>
          <w:bCs/>
          <w:b/>
        </w:rPr>
        <w:t xml:space="preserve">Transport Distance (llyntkjywt):</w:t>
      </w:r>
      <w:r>
        <w:t xml:space="preserve"> </w:t>
      </w:r>
      <w:r>
        <w:t xml:space="preserve">Assumed 5000 km (inbound) and 500 km (outbound, including last-mile split) for demonstration.</w:t>
      </w:r>
    </w:p>
    <w:p>
      <w:pPr>
        <w:numPr>
          <w:ilvl w:val="0"/>
          <w:numId w:val="1004"/>
        </w:numPr>
        <w:pStyle w:val="Compact"/>
      </w:pPr>
      <w:r>
        <w:rPr>
          <w:bCs/>
          <w:b/>
        </w:rPr>
        <w:t xml:space="preserve">Last-Mile Delivery Channel (Delivery Type):</w:t>
      </w:r>
      <w:r>
        <w:t xml:space="preserve"> </w:t>
      </w:r>
      <w:r>
        <w:t xml:space="preserve">Assumed "Parcel Delivery" for demonstration.</w:t>
      </w:r>
    </w:p>
    <w:p>
      <w:pPr>
        <w:numPr>
          <w:ilvl w:val="0"/>
          <w:numId w:val="1004"/>
        </w:numPr>
        <w:pStyle w:val="Compact"/>
      </w:pPr>
      <w:r>
        <w:rPr>
          <w:bCs/>
          <w:b/>
        </w:rPr>
        <w:t xml:space="preserve">Renewable Energy Usage (pmrwmgkkkv):</w:t>
      </w:r>
      <w:r>
        <w:t xml:space="preserve"> </w:t>
      </w:r>
      <w:r>
        <w:t xml:space="preserve">70% (Illustrative).</w:t>
      </w:r>
    </w:p>
    <w:p>
      <w:pPr>
        <w:numPr>
          <w:ilvl w:val="0"/>
          <w:numId w:val="1004"/>
        </w:numPr>
        <w:pStyle w:val="Compact"/>
      </w:pPr>
      <w:r>
        <w:rPr>
          <w:bCs/>
          <w:b/>
        </w:rPr>
        <w:t xml:space="preserve">Energy Intensity (kWh/unit) (nunruqpprt):</w:t>
      </w:r>
      <w:r>
        <w:t xml:space="preserve"> </w:t>
      </w:r>
      <w:r>
        <w:t xml:space="preserve">15 kWh/unit (Illustrative).</w:t>
      </w:r>
    </w:p>
    <w:p>
      <w:pPr>
        <w:numPr>
          <w:ilvl w:val="0"/>
          <w:numId w:val="1004"/>
        </w:numPr>
        <w:pStyle w:val="Compact"/>
      </w:pPr>
      <w:r>
        <w:rPr>
          <w:bCs/>
          <w:b/>
        </w:rPr>
        <w:t xml:space="preserve">Product Lifespan (rgxxmmyhyw):</w:t>
      </w:r>
      <w:r>
        <w:t xml:space="preserve"> </w:t>
      </w:r>
      <w:r>
        <w:t xml:space="preserve">5 years (Illustrative).</w:t>
      </w:r>
    </w:p>
    <w:p>
      <w:pPr>
        <w:numPr>
          <w:ilvl w:val="0"/>
          <w:numId w:val="1004"/>
        </w:numPr>
        <w:pStyle w:val="Compact"/>
      </w:pPr>
      <w:r>
        <w:rPr>
          <w:bCs/>
          <w:b/>
        </w:rPr>
        <w:t xml:space="preserve">Energy Consumption in Use (shqsiyymwy):</w:t>
      </w:r>
      <w:r>
        <w:t xml:space="preserve"> </w:t>
      </w:r>
      <w:r>
        <w:t xml:space="preserve">10 kWh/year (Illustrative).</w:t>
      </w:r>
    </w:p>
    <w:p>
      <w:pPr>
        <w:numPr>
          <w:ilvl w:val="0"/>
          <w:numId w:val="1004"/>
        </w:numPr>
        <w:pStyle w:val="Compact"/>
      </w:pPr>
      <w:r>
        <w:rPr>
          <w:bCs/>
          <w:b/>
        </w:rPr>
        <w:t xml:space="preserve">Recyclability Percentage (tvwjwfiuhg):</w:t>
      </w:r>
      <w:r>
        <w:t xml:space="preserve"> </w:t>
      </w:r>
      <w:r>
        <w:t xml:space="preserve">80% (Illustrative).</w:t>
      </w:r>
    </w:p>
    <w:p>
      <w:pPr>
        <w:numPr>
          <w:ilvl w:val="0"/>
          <w:numId w:val="1004"/>
        </w:numPr>
        <w:pStyle w:val="Compact"/>
      </w:pPr>
      <w:r>
        <w:rPr>
          <w:bCs/>
          <w:b/>
        </w:rPr>
        <w:t xml:space="preserve">Circular/Take-back Programs (owvsxiuuws):</w:t>
      </w:r>
      <w:r>
        <w:t xml:space="preserve"> </w:t>
      </w:r>
      <w:r>
        <w:t xml:space="preserve">Acknowledged as present and contributing to avoided emissions (e.g., 10% additional reduction potential), but quantified based on basic recycling due to lack of specific program data for calculation purposes.</w:t>
      </w:r>
    </w:p>
    <w:bookmarkEnd w:id="27"/>
    <w:bookmarkStart w:id="28" w:name="secondary-data-points"/>
    <w:p>
      <w:pPr>
        <w:pStyle w:val="Heading3"/>
      </w:pPr>
      <w:r>
        <w:t xml:space="preserve">Secondary Data Points:</w:t>
      </w:r>
    </w:p>
    <w:p>
      <w:pPr>
        <w:numPr>
          <w:ilvl w:val="0"/>
          <w:numId w:val="1005"/>
        </w:numPr>
        <w:pStyle w:val="Compact"/>
      </w:pPr>
      <w:r>
        <w:rPr>
          <w:bCs/>
          <w:b/>
        </w:rPr>
        <w:t xml:space="preserve">Emission Factors:</w:t>
      </w:r>
      <w:r>
        <w:t xml:space="preserve"> </w:t>
      </w:r>
      <w:r>
        <w:t xml:space="preserve">Industry-standard emission factors are applied, sourced typically from databases like Ecoinvent and DEFRA. For this illustrative report, generic but representative factors have been assumed (e.g., for electricity grids, various transport modes, and end-of-life scenarios).</w:t>
      </w:r>
    </w:p>
    <w:p>
      <w:pPr>
        <w:numPr>
          <w:ilvl w:val="0"/>
          <w:numId w:val="1005"/>
        </w:numPr>
        <w:pStyle w:val="Compact"/>
      </w:pPr>
      <w:r>
        <w:rPr>
          <w:bCs/>
          <w:b/>
        </w:rPr>
        <w:t xml:space="preserve">Land Sector and Removals (LSR) Data:</w:t>
      </w:r>
      <w:r>
        <w:t xml:space="preserve"> </w:t>
      </w:r>
      <w:r>
        <w:t xml:space="preserve">As per the 2026 LSR Update requirement, potential land use impacts and carbon removals would be assessed. For this report, specific data for zdvitzlljp\'s land sector impacts is not provided, so it\'s acknowledged as a reporting category.</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lifecycle stage, categorized according to the GHG Protocol\'s Scope 1, 2, and 3 classifications.</w:t>
      </w:r>
      <w:r>
        <w:t xml:space="preserve"> </w:t>
      </w:r>
      <w:r>
        <w:t xml:space="preserve">The 2026 Land Sector and Removals (LSR) Standard is conceptually applied for land use and carbon removals.</w:t>
      </w:r>
      <w:r>
        <w:t xml:space="preserve"> </w:t>
      </w:r>
      <w:r>
        <w:t xml:space="preserve">Scope 3 reporting aims for at least 95% coverage, reflecting comprehensive value chain assessment.</w:t>
      </w:r>
    </w:p>
    <w:p>
      <w:pPr>
        <w:pStyle w:val="BodyText"/>
      </w:pPr>
      <w:r>
        <w:t xml:space="preserve">The calculation formula used is: Activity Data × Emission Factor = CO2e (Carbon Dioxide Equivalent). All values below are illustrative.</w:t>
      </w:r>
    </w:p>
    <w:bookmarkStart w:id="30" w:name="X1b0368d9fa279ce5f642e6e7a88ce573ab93153"/>
    <w:p>
      <w:pPr>
        <w:pStyle w:val="Heading3"/>
      </w:pPr>
      <w:r>
        <w:t xml:space="preserve">Raw Material Acquisition &amp; Processing (Scope 3 - Upstream)</w:t>
      </w:r>
    </w:p>
    <w:p>
      <w:pPr>
        <w:pStyle w:val="FirstParagraph"/>
      </w:pPr>
      <w:r>
        <w:t xml:space="preserve">Emissions from upstream material production are directly taken from the \'Total Carbon\' column of the illustrative BOM.</w:t>
      </w:r>
    </w:p>
    <w:p>
      <w:pPr>
        <w:numPr>
          <w:ilvl w:val="0"/>
          <w:numId w:val="1006"/>
        </w:numPr>
        <w:pStyle w:val="Compact"/>
      </w:pPr>
      <w:r>
        <w:rPr>
          <w:bCs/>
          <w:b/>
        </w:rPr>
        <w:t xml:space="preserve">Total Material Carbon Impact:</w:t>
      </w:r>
      <w:r>
        <w:t xml:space="preserve"> </w:t>
      </w:r>
      <w:r>
        <w:t xml:space="preserve">10.55 kgCO2e</w:t>
      </w:r>
    </w:p>
    <w:bookmarkEnd w:id="30"/>
    <w:bookmarkStart w:id="31" w:name="Xea198d6d9112c57d1443cfc5af864f85d140aca"/>
    <w:p>
      <w:pPr>
        <w:pStyle w:val="Heading3"/>
      </w:pPr>
      <w:r>
        <w:t xml:space="preserve">Manufacturing (Scope 1 &amp; 2, Scope 3 - Upstream)</w:t>
      </w:r>
    </w:p>
    <w:p>
      <w:pPr>
        <w:pStyle w:val="FirstParagraph"/>
      </w:pPr>
      <w:r>
        <w:t xml:space="preserve">Emissions from the manufacturing process at the production facility.</w:t>
      </w:r>
    </w:p>
    <w:p>
      <w:pPr>
        <w:numPr>
          <w:ilvl w:val="0"/>
          <w:numId w:val="1007"/>
        </w:numPr>
        <w:pStyle w:val="Compact"/>
      </w:pPr>
      <w:r>
        <w:rPr>
          <w:bCs/>
          <w:b/>
        </w:rPr>
        <w:t xml:space="preserve">Total Energy Consumption:</w:t>
      </w:r>
      <w:r>
        <w:t xml:space="preserve"> </w:t>
      </w:r>
      <w:r>
        <w:t xml:space="preserve">15 kWh/unit (nunruqpprt)</w:t>
      </w:r>
    </w:p>
    <w:p>
      <w:pPr>
        <w:numPr>
          <w:ilvl w:val="0"/>
          <w:numId w:val="1007"/>
        </w:numPr>
        <w:pStyle w:val="Compact"/>
      </w:pPr>
      <w:r>
        <w:rPr>
          <w:bCs/>
          <w:b/>
        </w:rPr>
        <w:t xml:space="preserve">Renewable Energy Portion:</w:t>
      </w:r>
      <w:r>
        <w:t xml:space="preserve"> </w:t>
      </w:r>
      <w:r>
        <w:t xml:space="preserve">70% (pmrwmgkkkv) → 15 kWh * 0.70 = 10.5 kWh (Assumed 0 kgCO2e for truly renewable energy at point of use).</w:t>
      </w:r>
    </w:p>
    <w:p>
      <w:pPr>
        <w:numPr>
          <w:ilvl w:val="0"/>
          <w:numId w:val="1007"/>
        </w:numPr>
        <w:pStyle w:val="Compact"/>
      </w:pPr>
      <w:r>
        <w:rPr>
          <w:bCs/>
          <w:b/>
        </w:rPr>
        <w:t xml:space="preserve">Non-Renewable Energy Portion:</w:t>
      </w:r>
      <w:r>
        <w:t xml:space="preserve"> </w:t>
      </w:r>
      <w:r>
        <w:t xml:space="preserve">30% → 15 kWh * 0.30 = 4.5 kWh</w:t>
      </w:r>
    </w:p>
    <w:p>
      <w:pPr>
        <w:numPr>
          <w:ilvl w:val="0"/>
          <w:numId w:val="1007"/>
        </w:numPr>
        <w:pStyle w:val="Compact"/>
      </w:pPr>
      <w:r>
        <w:rPr>
          <w:bCs/>
          <w:b/>
        </w:rPr>
        <w:t xml:space="preserve">Illustrative Grid Emission Factor (China):</w:t>
      </w:r>
      <w:r>
        <w:t xml:space="preserve"> </w:t>
      </w:r>
      <w:r>
        <w:t xml:space="preserve">0.7 kgCO2e/kWh</w:t>
      </w:r>
    </w:p>
    <w:p>
      <w:pPr>
        <w:numPr>
          <w:ilvl w:val="0"/>
          <w:numId w:val="1007"/>
        </w:numPr>
        <w:pStyle w:val="Compact"/>
      </w:pPr>
      <w:r>
        <w:rPr>
          <w:bCs/>
          <w:b/>
        </w:rPr>
        <w:t xml:space="preserve">Scope 2 Emissions (Purchased Electricity):</w:t>
      </w:r>
      <w:r>
        <w:t xml:space="preserve"> </w:t>
      </w:r>
      <w:r>
        <w:t xml:space="preserve">4.5 kWh * 0.7 kgCO2e/kWh = 3.15 kgCO2e</w:t>
      </w:r>
    </w:p>
    <w:p>
      <w:pPr>
        <w:numPr>
          <w:ilvl w:val="0"/>
          <w:numId w:val="1007"/>
        </w:numPr>
        <w:pStyle w:val="Compact"/>
      </w:pPr>
      <w:r>
        <w:rPr>
          <w:iCs/>
          <w:i/>
        </w:rPr>
        <w:t xml:space="preserve">Scope 1 Emissions (Direct from own operations, e.g., on-site fuel combustion): Assumed negligible or captured within energy intensity for this illustrative scenario.</w:t>
      </w:r>
    </w:p>
    <w:bookmarkEnd w:id="31"/>
    <w:bookmarkStart w:id="32" w:name="transport-scope-3---upstream-downstream"/>
    <w:p>
      <w:pPr>
        <w:pStyle w:val="Heading3"/>
      </w:pPr>
      <w:r>
        <w:t xml:space="preserve">Transport (Scope 3 - Upstream &amp; Downstream)</w:t>
      </w:r>
    </w:p>
    <w:p>
      <w:pPr>
        <w:pStyle w:val="FirstParagraph"/>
      </w:pPr>
      <w:r>
        <w:t xml:space="preserve">Emissions from both inbound and outbound logistics.</w:t>
      </w:r>
    </w:p>
    <w:p>
      <w:pPr>
        <w:numPr>
          <w:ilvl w:val="0"/>
          <w:numId w:val="1008"/>
        </w:numPr>
        <w:pStyle w:val="Compact"/>
      </w:pPr>
      <w:r>
        <w:rPr>
          <w:bCs/>
          <w:b/>
        </w:rPr>
        <w:t xml:space="preserve">Illustrative Product Weight:</w:t>
      </w:r>
      <w:r>
        <w:t xml:space="preserve"> </w:t>
      </w:r>
      <w:r>
        <w:t xml:space="preserve">0.95 kg (sum of Qty from BOM)</w:t>
      </w:r>
    </w:p>
    <w:p>
      <w:pPr>
        <w:numPr>
          <w:ilvl w:val="0"/>
          <w:numId w:val="1008"/>
        </w:numPr>
        <w:pStyle w:val="Compact"/>
      </w:pPr>
      <w:r>
        <w:rPr>
          <w:bCs/>
          <w:b/>
        </w:rPr>
        <w:t xml:space="preserve">Illustrative Inbound Transport (Raw Materials to Factory):</w:t>
      </w:r>
    </w:p>
    <w:p>
      <w:pPr>
        <w:numPr>
          <w:ilvl w:val="1"/>
          <w:numId w:val="1009"/>
        </w:numPr>
        <w:pStyle w:val="Compact"/>
      </w:pPr>
      <w:r>
        <w:t xml:space="preserve">Mode: Sea Freight (Illustrative)</w:t>
      </w:r>
    </w:p>
    <w:p>
      <w:pPr>
        <w:numPr>
          <w:ilvl w:val="1"/>
          <w:numId w:val="1009"/>
        </w:numPr>
        <w:pStyle w:val="Compact"/>
      </w:pPr>
      <w:r>
        <w:t xml:space="preserve">Distance: 5000 km (llyntkjywt, illustrative)</w:t>
      </w:r>
    </w:p>
    <w:p>
      <w:pPr>
        <w:numPr>
          <w:ilvl w:val="1"/>
          <w:numId w:val="1009"/>
        </w:numPr>
        <w:pStyle w:val="Compact"/>
      </w:pPr>
      <w:r>
        <w:t xml:space="preserve">Illustrative Emission Factor (Sea Freight): 0.01 kgCO2e/tonne-km</w:t>
      </w:r>
    </w:p>
    <w:p>
      <w:pPr>
        <w:numPr>
          <w:ilvl w:val="1"/>
          <w:numId w:val="1009"/>
        </w:numPr>
        <w:pStyle w:val="Compact"/>
      </w:pPr>
      <w:r>
        <w:t xml:space="preserve">Emissions: (0.95 kg / 1000 kg/tonne) * 5000 km * 0.01 kgCO2e/tonne-km = 0.0475 kgCO2e</w:t>
      </w:r>
    </w:p>
    <w:p>
      <w:pPr>
        <w:numPr>
          <w:ilvl w:val="0"/>
          <w:numId w:val="1008"/>
        </w:numPr>
        <w:pStyle w:val="Compact"/>
      </w:pPr>
      <w:r>
        <w:rPr>
          <w:bCs/>
          <w:b/>
        </w:rPr>
        <w:t xml:space="preserve">Illustrative Outbound Transport (Factory to Customer):</w:t>
      </w:r>
    </w:p>
    <w:p>
      <w:pPr>
        <w:numPr>
          <w:ilvl w:val="1"/>
          <w:numId w:val="1010"/>
        </w:numPr>
        <w:pStyle w:val="Compact"/>
      </w:pPr>
      <w:r>
        <w:t xml:space="preserve">Primary Mode (Factory to Hub): Road Freight (HGV) (Illustrative from Select Mode)</w:t>
      </w:r>
    </w:p>
    <w:p>
      <w:pPr>
        <w:numPr>
          <w:ilvl w:val="1"/>
          <w:numId w:val="1010"/>
        </w:numPr>
        <w:pStyle w:val="Compact"/>
      </w:pPr>
      <w:r>
        <w:t xml:space="preserve">Distance: 400 km (part of llyntkjywt, illustrative split)</w:t>
      </w:r>
    </w:p>
    <w:p>
      <w:pPr>
        <w:numPr>
          <w:ilvl w:val="1"/>
          <w:numId w:val="1010"/>
        </w:numPr>
        <w:pStyle w:val="Compact"/>
      </w:pPr>
      <w:r>
        <w:t xml:space="preserve">Illustrative Emission Factor (Road Freight HGV): 0.09 kgCO2e/tonne-km</w:t>
      </w:r>
    </w:p>
    <w:p>
      <w:pPr>
        <w:numPr>
          <w:ilvl w:val="1"/>
          <w:numId w:val="1010"/>
        </w:numPr>
        <w:pStyle w:val="Compact"/>
      </w:pPr>
      <w:r>
        <w:t xml:space="preserve">Emissions: (0.95 kg / 1000 kg/tonne) * 400 km * 0.09 kgCO2e/tonne-km = 0.0342 kgCO2e</w:t>
      </w:r>
    </w:p>
    <w:p>
      <w:pPr>
        <w:numPr>
          <w:ilvl w:val="0"/>
          <w:numId w:val="1008"/>
        </w:numPr>
        <w:pStyle w:val="Compact"/>
      </w:pPr>
      <w:r>
        <w:rPr>
          <w:bCs/>
          <w:b/>
        </w:rPr>
        <w:t xml:space="preserve">Illustrative Last-Mile Delivery (Delivery Type):</w:t>
      </w:r>
    </w:p>
    <w:p>
      <w:pPr>
        <w:numPr>
          <w:ilvl w:val="1"/>
          <w:numId w:val="1011"/>
        </w:numPr>
        <w:pStyle w:val="Compact"/>
      </w:pPr>
      <w:r>
        <w:t xml:space="preserve">Channel: Parcel Delivery (Illustrative)</w:t>
      </w:r>
    </w:p>
    <w:p>
      <w:pPr>
        <w:numPr>
          <w:ilvl w:val="1"/>
          <w:numId w:val="1011"/>
        </w:numPr>
        <w:pStyle w:val="Compact"/>
      </w:pPr>
      <w:r>
        <w:t xml:space="preserve">Distance: 100 km (part of llyntkjywt, illustrative split)</w:t>
      </w:r>
    </w:p>
    <w:p>
      <w:pPr>
        <w:numPr>
          <w:ilvl w:val="1"/>
          <w:numId w:val="1011"/>
        </w:numPr>
        <w:pStyle w:val="Compact"/>
      </w:pPr>
      <w:r>
        <w:t xml:space="preserve">Illustrative Emission Factor (Parcel Delivery, per package): 0.15 kgCO2e/package (simplified for last mile impact)</w:t>
      </w:r>
    </w:p>
    <w:p>
      <w:pPr>
        <w:numPr>
          <w:ilvl w:val="1"/>
          <w:numId w:val="1011"/>
        </w:numPr>
        <w:pStyle w:val="Compact"/>
      </w:pPr>
      <w:r>
        <w:t xml:space="preserve">Emissions: 1 package * 0.15 kgCO2e/package = 0.15 kgCO2e</w:t>
      </w:r>
    </w:p>
    <w:p>
      <w:pPr>
        <w:numPr>
          <w:ilvl w:val="0"/>
          <w:numId w:val="1008"/>
        </w:numPr>
        <w:pStyle w:val="Compact"/>
      </w:pPr>
      <w:r>
        <w:rPr>
          <w:bCs/>
          <w:b/>
        </w:rPr>
        <w:t xml:space="preserve">Total Transport Emissions:</w:t>
      </w:r>
      <w:r>
        <w:t xml:space="preserve"> </w:t>
      </w:r>
      <w:r>
        <w:t xml:space="preserve">0.0475 + 0.0342 + 0.15 = 0.2317 kgCO2e</w:t>
      </w:r>
    </w:p>
    <w:bookmarkEnd w:id="32"/>
    <w:bookmarkStart w:id="33" w:name="use-phase-scope-3---downstream"/>
    <w:p>
      <w:pPr>
        <w:pStyle w:val="Heading3"/>
      </w:pPr>
      <w:r>
        <w:t xml:space="preserve">Use Phase (Scope 3 - Downstream)</w:t>
      </w:r>
    </w:p>
    <w:p>
      <w:pPr>
        <w:pStyle w:val="FirstParagraph"/>
      </w:pPr>
      <w:r>
        <w:t xml:space="preserve">Emissions from the energy consumed by the product during its operational lifetime.</w:t>
      </w:r>
    </w:p>
    <w:p>
      <w:pPr>
        <w:numPr>
          <w:ilvl w:val="0"/>
          <w:numId w:val="1012"/>
        </w:numPr>
        <w:pStyle w:val="Compact"/>
      </w:pPr>
      <w:r>
        <w:rPr>
          <w:bCs/>
          <w:b/>
        </w:rPr>
        <w:t xml:space="preserve">Product Lifespan:</w:t>
      </w:r>
      <w:r>
        <w:t xml:space="preserve"> </w:t>
      </w:r>
      <w:r>
        <w:t xml:space="preserve">5 years (rgxxmmyhyw, illustrative)</w:t>
      </w:r>
    </w:p>
    <w:p>
      <w:pPr>
        <w:numPr>
          <w:ilvl w:val="0"/>
          <w:numId w:val="1012"/>
        </w:numPr>
        <w:pStyle w:val="Compact"/>
      </w:pPr>
      <w:r>
        <w:rPr>
          <w:bCs/>
          <w:b/>
        </w:rPr>
        <w:t xml:space="preserve">Energy Consumption in Use:</w:t>
      </w:r>
      <w:r>
        <w:t xml:space="preserve"> </w:t>
      </w:r>
      <w:r>
        <w:t xml:space="preserve">10 kWh/year (shqsiyymwy, illustrative)</w:t>
      </w:r>
    </w:p>
    <w:p>
      <w:pPr>
        <w:numPr>
          <w:ilvl w:val="0"/>
          <w:numId w:val="1012"/>
        </w:numPr>
        <w:pStyle w:val="Compact"/>
      </w:pPr>
      <w:r>
        <w:rPr>
          <w:bCs/>
          <w:b/>
        </w:rPr>
        <w:t xml:space="preserve">Total Use Phase Energy:</w:t>
      </w:r>
      <w:r>
        <w:t xml:space="preserve"> </w:t>
      </w:r>
      <w:r>
        <w:t xml:space="preserve">10 kWh/year * 5 years = 50 kWh</w:t>
      </w:r>
    </w:p>
    <w:p>
      <w:pPr>
        <w:numPr>
          <w:ilvl w:val="0"/>
          <w:numId w:val="1012"/>
        </w:numPr>
        <w:pStyle w:val="Compact"/>
      </w:pPr>
      <w:r>
        <w:rPr>
          <w:bCs/>
          <w:b/>
        </w:rPr>
        <w:t xml:space="preserve">Illustrative Grid Emission Factor (User location):</w:t>
      </w:r>
      <w:r>
        <w:t xml:space="preserve"> </w:t>
      </w:r>
      <w:r>
        <w:t xml:space="preserve">0.7 kgCO2e/kWh</w:t>
      </w:r>
    </w:p>
    <w:p>
      <w:pPr>
        <w:numPr>
          <w:ilvl w:val="0"/>
          <w:numId w:val="1012"/>
        </w:numPr>
        <w:pStyle w:val="Compact"/>
      </w:pPr>
      <w:r>
        <w:rPr>
          <w:bCs/>
          <w:b/>
        </w:rPr>
        <w:t xml:space="preserve">Use Phase Emissions:</w:t>
      </w:r>
      <w:r>
        <w:t xml:space="preserve"> </w:t>
      </w:r>
      <w:r>
        <w:t xml:space="preserve">50 kWh * 0.7 kgCO2e/kWh = 35.00 kgCO2e</w:t>
      </w:r>
    </w:p>
    <w:bookmarkEnd w:id="33"/>
    <w:bookmarkStart w:id="34" w:name="end-of-life-eol-scope-3---downstream"/>
    <w:p>
      <w:pPr>
        <w:pStyle w:val="Heading3"/>
      </w:pPr>
      <w:r>
        <w:t xml:space="preserve">End-of-Life (EoL) (Scope 3 - Downstream)</w:t>
      </w:r>
    </w:p>
    <w:p>
      <w:pPr>
        <w:pStyle w:val="FirstParagraph"/>
      </w:pPr>
      <w:r>
        <w:t xml:space="preserve">Emissions or avoided emissions from the disposal and recycling of the product.</w:t>
      </w:r>
    </w:p>
    <w:p>
      <w:pPr>
        <w:numPr>
          <w:ilvl w:val="0"/>
          <w:numId w:val="1013"/>
        </w:numPr>
        <w:pStyle w:val="Compact"/>
      </w:pPr>
      <w:r>
        <w:rPr>
          <w:bCs/>
          <w:b/>
        </w:rPr>
        <w:t xml:space="preserve">Total Product Mass:</w:t>
      </w:r>
      <w:r>
        <w:t xml:space="preserve"> </w:t>
      </w:r>
      <w:r>
        <w:t xml:space="preserve">0.95 kg (illustrative)</w:t>
      </w:r>
    </w:p>
    <w:p>
      <w:pPr>
        <w:numPr>
          <w:ilvl w:val="0"/>
          <w:numId w:val="1013"/>
        </w:numPr>
        <w:pStyle w:val="Compact"/>
      </w:pPr>
      <w:r>
        <w:rPr>
          <w:bCs/>
          <w:b/>
        </w:rPr>
        <w:t xml:space="preserve">Recyclability Percentage:</w:t>
      </w:r>
      <w:r>
        <w:t xml:space="preserve"> </w:t>
      </w:r>
      <w:r>
        <w:t xml:space="preserve">80% (tvwjwfiuhg, illustrative)</w:t>
      </w:r>
    </w:p>
    <w:p>
      <w:pPr>
        <w:numPr>
          <w:ilvl w:val="0"/>
          <w:numId w:val="1013"/>
        </w:numPr>
        <w:pStyle w:val="Compact"/>
      </w:pPr>
      <w:r>
        <w:rPr>
          <w:bCs/>
          <w:b/>
        </w:rPr>
        <w:t xml:space="preserve">Mass Recycled:</w:t>
      </w:r>
      <w:r>
        <w:t xml:space="preserve"> </w:t>
      </w:r>
      <w:r>
        <w:t xml:space="preserve">0.95 kg * 0.80 = 0.76 kg</w:t>
      </w:r>
    </w:p>
    <w:p>
      <w:pPr>
        <w:numPr>
          <w:ilvl w:val="0"/>
          <w:numId w:val="1013"/>
        </w:numPr>
        <w:pStyle w:val="Compact"/>
      </w:pPr>
      <w:r>
        <w:rPr>
          <w:bCs/>
          <w:b/>
        </w:rPr>
        <w:t xml:space="preserve">Mass Disposed (Landfill/Incineration):</w:t>
      </w:r>
      <w:r>
        <w:t xml:space="preserve"> </w:t>
      </w:r>
      <w:r>
        <w:t xml:space="preserve">0.95 kg * 0.20 = 0.19 kg</w:t>
      </w:r>
    </w:p>
    <w:p>
      <w:pPr>
        <w:numPr>
          <w:ilvl w:val="0"/>
          <w:numId w:val="1013"/>
        </w:numPr>
        <w:pStyle w:val="Compact"/>
      </w:pPr>
      <w:r>
        <w:rPr>
          <w:bCs/>
          <w:b/>
        </w:rPr>
        <w:t xml:space="preserve">Illustrative Emission Factor (Disposal):</w:t>
      </w:r>
      <w:r>
        <w:t xml:space="preserve"> </w:t>
      </w:r>
      <w:r>
        <w:t xml:space="preserve">1.5 kgCO2e/kg</w:t>
      </w:r>
    </w:p>
    <w:p>
      <w:pPr>
        <w:numPr>
          <w:ilvl w:val="0"/>
          <w:numId w:val="1013"/>
        </w:numPr>
        <w:pStyle w:val="Compact"/>
      </w:pPr>
      <w:r>
        <w:rPr>
          <w:bCs/>
          <w:b/>
        </w:rPr>
        <w:t xml:space="preserve">Emissions from Disposal:</w:t>
      </w:r>
      <w:r>
        <w:t xml:space="preserve"> </w:t>
      </w:r>
      <w:r>
        <w:t xml:space="preserve">0.19 kg * 1.5 kgCO2e/kg = 0.285 kgCO2e</w:t>
      </w:r>
    </w:p>
    <w:p>
      <w:pPr>
        <w:numPr>
          <w:ilvl w:val="0"/>
          <w:numId w:val="1013"/>
        </w:numPr>
        <w:pStyle w:val="Compact"/>
      </w:pPr>
      <w:r>
        <w:rPr>
          <w:bCs/>
          <w:b/>
        </w:rPr>
        <w:t xml:space="preserve">Illustrative Avoided Emissions from Recycling:</w:t>
      </w:r>
      <w:r>
        <w:t xml:space="preserve"> </w:t>
      </w:r>
      <w:r>
        <w:t xml:space="preserve">0.5 kgCO2e/kg (i.e., recycling saves this much CO2e compared to producing virgin material)</w:t>
      </w:r>
    </w:p>
    <w:p>
      <w:pPr>
        <w:numPr>
          <w:ilvl w:val="0"/>
          <w:numId w:val="1013"/>
        </w:numPr>
        <w:pStyle w:val="Compact"/>
      </w:pPr>
      <w:r>
        <w:rPr>
          <w:bCs/>
          <w:b/>
        </w:rPr>
        <w:t xml:space="preserve">Avoided Emissions from Recycling:</w:t>
      </w:r>
      <w:r>
        <w:t xml:space="preserve"> </w:t>
      </w:r>
      <w:r>
        <w:t xml:space="preserve">-0.76 kg * 0.5 kgCO2e/kg = -0.38 kgCO2e</w:t>
      </w:r>
    </w:p>
    <w:p>
      <w:pPr>
        <w:numPr>
          <w:ilvl w:val="0"/>
          <w:numId w:val="1013"/>
        </w:numPr>
        <w:pStyle w:val="Compact"/>
      </w:pPr>
      <w:r>
        <w:rPr>
          <w:bCs/>
          <w:b/>
        </w:rPr>
        <w:t xml:space="preserve">Circular/Take-back Programs (owvsxiuuws):</w:t>
      </w:r>
      <w:r>
        <w:t xml:space="preserve"> </w:t>
      </w:r>
      <w:r>
        <w:t xml:space="preserve">These programs further enhance circularity and can lead to additional avoided emissions (e.g., through reuse or extended product life). While specific data for direct calculation is not provided, their presence signifies a commitment to reducing EoL impact beyond basic recycling. For this illustrative calculation, the net impact reflects primary recycling benefits.</w:t>
      </w:r>
    </w:p>
    <w:p>
      <w:pPr>
        <w:numPr>
          <w:ilvl w:val="0"/>
          <w:numId w:val="1013"/>
        </w:numPr>
        <w:pStyle w:val="Compact"/>
      </w:pPr>
      <w:r>
        <w:rPr>
          <w:bCs/>
          <w:b/>
        </w:rPr>
        <w:t xml:space="preserve">Net End-of-Life Emissions:</w:t>
      </w:r>
      <w:r>
        <w:t xml:space="preserve"> </w:t>
      </w:r>
      <w:r>
        <w:t xml:space="preserve">0.285 kgCO2e (disposal) - 0.38 kgCO2e (avoided by recycling) = -0.095 kgCO2e</w:t>
      </w:r>
    </w:p>
    <w:bookmarkEnd w:id="34"/>
    <w:bookmarkStart w:id="35" w:name="X2cd79ea7f8a5f8a573d970f6408d6a1d22fef43"/>
    <w:p>
      <w:pPr>
        <w:pStyle w:val="Heading3"/>
      </w:pPr>
      <w:r>
        <w:t xml:space="preserve">Summary of Illustrative Product Carbon Footprint for zdvitzlljp</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10.55</w:t>
            </w:r>
          </w:p>
        </w:tc>
      </w:tr>
      <w:tr>
        <w:tc>
          <w:tcPr/>
          <w:p>
            <w:pPr>
              <w:pStyle w:val="Compact"/>
              <w:jc w:val="left"/>
            </w:pPr>
            <w:r>
              <w:t xml:space="preserve">Manufacturing</w:t>
            </w:r>
          </w:p>
        </w:tc>
        <w:tc>
          <w:tcPr/>
          <w:p>
            <w:pPr>
              <w:pStyle w:val="Compact"/>
              <w:jc w:val="left"/>
            </w:pPr>
            <w:r>
              <w:t xml:space="preserve">Scope 2 (Purchased Energy)</w:t>
            </w:r>
          </w:p>
        </w:tc>
        <w:tc>
          <w:tcPr/>
          <w:p>
            <w:pPr>
              <w:pStyle w:val="Compact"/>
              <w:jc w:val="left"/>
            </w:pPr>
            <w:r>
              <w:t xml:space="preserve">3.15</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48.83 kgCO2e</w:t>
            </w:r>
          </w:p>
        </w:tc>
      </w:tr>
    </w:tbl>
    <w:p>
      <w:r>
        <w:pict>
          <v:rect style="width:0;height:1.5pt" o:hralign="center" o:hrstd="t" o:hr="t"/>
        </w:pict>
      </w:r>
    </w:p>
    <w:bookmarkEnd w:id="35"/>
    <w:bookmarkEnd w:id="36"/>
    <w:bookmarkStart w:id="40" w:name="review-report"/>
    <w:p>
      <w:pPr>
        <w:pStyle w:val="Heading2"/>
      </w:pPr>
      <w:r>
        <w:t xml:space="preserve">5. Review &amp; Report</w:t>
      </w:r>
    </w:p>
    <w:p>
      <w:pPr>
        <w:pStyle w:val="FirstParagraph"/>
      </w:pPr>
      <w:r>
        <w:t xml:space="preserve">The review process identifies emission hotspots and assesses the reliability of the calculated PCF.</w:t>
      </w:r>
    </w:p>
    <w:bookmarkStart w:id="37" w:name="emission-hotspots-illustrative"/>
    <w:p>
      <w:pPr>
        <w:pStyle w:val="Heading3"/>
      </w:pPr>
      <w:r>
        <w:t xml:space="preserve">Emission Hotspots (Illustrative):</w:t>
      </w:r>
    </w:p>
    <w:p>
      <w:pPr>
        <w:numPr>
          <w:ilvl w:val="0"/>
          <w:numId w:val="1014"/>
        </w:numPr>
        <w:pStyle w:val="Compact"/>
      </w:pPr>
      <w:r>
        <w:rPr>
          <w:bCs/>
          <w:b/>
        </w:rPr>
        <w:t xml:space="preserve">Use Phase:</w:t>
      </w:r>
      <w:r>
        <w:t xml:space="preserve"> </w:t>
      </w:r>
      <w:r>
        <w:t xml:space="preserve">The most significant hotspot is identified in the use phase (approx. 72% of the total footprint), primarily due to electricity consumption over the product\'s lifespan.</w:t>
      </w:r>
    </w:p>
    <w:p>
      <w:pPr>
        <w:numPr>
          <w:ilvl w:val="0"/>
          <w:numId w:val="1014"/>
        </w:numPr>
        <w:pStyle w:val="Compact"/>
      </w:pPr>
      <w:r>
        <w:rPr>
          <w:bCs/>
          <w:b/>
        </w:rPr>
        <w:t xml:space="preserve">Raw Material Acquisition &amp; Processing:</w:t>
      </w:r>
      <w:r>
        <w:t xml:space="preserve"> </w:t>
      </w:r>
      <w:r>
        <w:t xml:space="preserve">Material impacts represent the second largest hotspot (approx. 22%), driven by the energy-intensive production of components like aluminum and batteries.</w:t>
      </w:r>
    </w:p>
    <w:p>
      <w:pPr>
        <w:numPr>
          <w:ilvl w:val="0"/>
          <w:numId w:val="1014"/>
        </w:numPr>
        <w:pStyle w:val="Compact"/>
      </w:pPr>
      <w:r>
        <w:rPr>
          <w:bCs/>
          <w:b/>
        </w:rPr>
        <w:t xml:space="preserve">Manufacturing:</w:t>
      </w:r>
      <w:r>
        <w:t xml:space="preserve"> </w:t>
      </w:r>
      <w:r>
        <w:t xml:space="preserve">Emissions from manufacturing, particularly from non-renewable energy sources, contribute a smaller but notable portion (approx. 6%).</w:t>
      </w:r>
    </w:p>
    <w:p>
      <w:pPr>
        <w:numPr>
          <w:ilvl w:val="0"/>
          <w:numId w:val="1014"/>
        </w:numPr>
        <w:pStyle w:val="Compact"/>
      </w:pPr>
      <w:r>
        <w:rPr>
          <w:bCs/>
          <w:b/>
        </w:rPr>
        <w:t xml:space="preserve">Transport &amp; End-of-Life:</w:t>
      </w:r>
      <w:r>
        <w:t xml:space="preserve"> </w:t>
      </w:r>
      <w:r>
        <w:t xml:space="preserve">These stages have a relatively minor impact, with the End-of-Life phase showing a net negative (beneficial) impact due to high recyclability and circular economy efforts.</w:t>
      </w:r>
    </w:p>
    <w:bookmarkEnd w:id="37"/>
    <w:bookmarkStart w:id="38" w:name="reliability-and-limitations"/>
    <w:p>
      <w:pPr>
        <w:pStyle w:val="Heading3"/>
      </w:pPr>
      <w:r>
        <w:t xml:space="preserve">Reliability and Limitations:</w:t>
      </w:r>
    </w:p>
    <w:p>
      <w:pPr>
        <w:numPr>
          <w:ilvl w:val="0"/>
          <w:numId w:val="1015"/>
        </w:numPr>
        <w:pStyle w:val="Compact"/>
      </w:pPr>
      <w:r>
        <w:rPr>
          <w:bCs/>
          <w:b/>
        </w:rPr>
        <w:t xml:space="preserve">Data Reliance:</w:t>
      </w:r>
      <w:r>
        <w:t xml:space="preserve"> </w:t>
      </w:r>
      <w:r>
        <w:t xml:space="preserve">The accuracy of this report heavily relies on the quality and completeness of primary data. For this illustrative report, placeholder values were used, limiting the exact numerical precision.</w:t>
      </w:r>
    </w:p>
    <w:p>
      <w:pPr>
        <w:numPr>
          <w:ilvl w:val="0"/>
          <w:numId w:val="1015"/>
        </w:numPr>
        <w:pStyle w:val="Compact"/>
      </w:pPr>
      <w:r>
        <w:rPr>
          <w:bCs/>
          <w:b/>
        </w:rPr>
        <w:t xml:space="preserve">Emission Factors:</w:t>
      </w:r>
      <w:r>
        <w:t xml:space="preserve"> </w:t>
      </w:r>
      <w:r>
        <w:t xml:space="preserve">Generic emission factors were used for illustrative purposes. For a real-world assessment, specific, up-to-date, and geographically relevant emission factors from robust databases (e.g., Ecoinvent, GaBi, DEFRA) are crucial.</w:t>
      </w:r>
    </w:p>
    <w:p>
      <w:pPr>
        <w:numPr>
          <w:ilvl w:val="0"/>
          <w:numId w:val="1015"/>
        </w:numPr>
        <w:pStyle w:val="Compact"/>
      </w:pPr>
      <w:r>
        <w:rPr>
          <w:bCs/>
          <w:b/>
        </w:rPr>
        <w:t xml:space="preserve">System Boundary:</w:t>
      </w:r>
      <w:r>
        <w:t xml:space="preserve"> </w:t>
      </w:r>
      <w:r>
        <w:t xml:space="preserve">While a "cradle-to-grave" approach was adopted, certain indirect impacts (e.g., capital goods, business travel) might be outside the defined scope but would typically be considered for comprehensive Scope 3 reporting.</w:t>
      </w:r>
    </w:p>
    <w:p>
      <w:pPr>
        <w:numPr>
          <w:ilvl w:val="0"/>
          <w:numId w:val="1015"/>
        </w:numPr>
        <w:pStyle w:val="Compact"/>
      </w:pPr>
      <w:r>
        <w:rPr>
          <w:bCs/>
          <w:b/>
        </w:rPr>
        <w:t xml:space="preserve">2026 LSR Update:</w:t>
      </w:r>
      <w:r>
        <w:t xml:space="preserve"> </w:t>
      </w:r>
      <w:r>
        <w:t xml:space="preserve">The Land Sector and Removals Standard application is conceptual in this report due to the absence of specific land-use data for zdvitzlljp.</w:t>
      </w:r>
    </w:p>
    <w:p>
      <w:pPr>
        <w:numPr>
          <w:ilvl w:val="0"/>
          <w:numId w:val="1015"/>
        </w:numPr>
        <w:pStyle w:val="Compact"/>
      </w:pPr>
      <w:r>
        <w:rPr>
          <w:bCs/>
          <w:b/>
        </w:rPr>
        <w:t xml:space="preserve">Scope 3 Coverage:</w:t>
      </w:r>
      <w:r>
        <w:t xml:space="preserve"> </w:t>
      </w:r>
      <w:r>
        <w:t xml:space="preserve">The illustrative data aims to cover significant Scope 3 categories to meet the 95% compliance target, but actual detailed data would be needed for verification.</w:t>
      </w:r>
    </w:p>
    <w:bookmarkEnd w:id="38"/>
    <w:bookmarkStart w:id="39" w:name="recommendations-for-carbon-reduction"/>
    <w:p>
      <w:pPr>
        <w:pStyle w:val="Heading3"/>
      </w:pPr>
      <w:r>
        <w:t xml:space="preserve">Recommendations for Carbon Reduction:</w:t>
      </w:r>
    </w:p>
    <w:p>
      <w:pPr>
        <w:numPr>
          <w:ilvl w:val="0"/>
          <w:numId w:val="1016"/>
        </w:numPr>
        <w:pStyle w:val="Compact"/>
      </w:pPr>
      <w:r>
        <w:rPr>
          <w:bCs/>
          <w:b/>
        </w:rPr>
        <w:t xml:space="preserve">Optimize Use Phase:</w:t>
      </w:r>
      <w:r>
        <w:t xml:space="preserve"> </w:t>
      </w:r>
      <w:r>
        <w:t xml:space="preserve">Focus on improving energy efficiency of zdvitzlljp during operation, possibly through software optimization, lower power components, or encouraging renewable energy usage by consumers.</w:t>
      </w:r>
    </w:p>
    <w:p>
      <w:pPr>
        <w:numPr>
          <w:ilvl w:val="0"/>
          <w:numId w:val="1016"/>
        </w:numPr>
        <w:pStyle w:val="Compact"/>
      </w:pPr>
      <w:r>
        <w:rPr>
          <w:bCs/>
          <w:b/>
        </w:rPr>
        <w:t xml:space="preserve">Material Innovations:</w:t>
      </w:r>
      <w:r>
        <w:t xml:space="preserve"> </w:t>
      </w:r>
      <w:r>
        <w:t xml:space="preserve">Explore lower-carbon alternatives for high-impact materials (e.g., recycled aluminum, bio-based plastics) and optimize material usage to reduce the raw material footprint.</w:t>
      </w:r>
    </w:p>
    <w:p>
      <w:pPr>
        <w:numPr>
          <w:ilvl w:val="0"/>
          <w:numId w:val="1016"/>
        </w:numPr>
        <w:pStyle w:val="Compact"/>
      </w:pPr>
      <w:r>
        <w:rPr>
          <w:bCs/>
          <w:b/>
        </w:rPr>
        <w:t xml:space="preserve">Enhance Circularity:</w:t>
      </w:r>
      <w:r>
        <w:t xml:space="preserve"> </w:t>
      </w:r>
      <w:r>
        <w:t xml:space="preserve">Continue and expand circular economy initiatives (owvsxiuuws) to maximize product lifespan, reusability, and higher-value recycling, further offsetting EoL impacts.</w:t>
      </w:r>
    </w:p>
    <w:p>
      <w:pPr>
        <w:numPr>
          <w:ilvl w:val="0"/>
          <w:numId w:val="1016"/>
        </w:numPr>
        <w:pStyle w:val="Compact"/>
      </w:pPr>
      <w:r>
        <w:rPr>
          <w:bCs/>
          <w:b/>
        </w:rPr>
        <w:t xml:space="preserve">Supplier Engagement:</w:t>
      </w:r>
      <w:r>
        <w:t xml:space="preserve"> </w:t>
      </w:r>
      <w:r>
        <w:t xml:space="preserve">Engage with suppliers to encourage their adoption of renewable energy in their manufacturing processes (Scope 3 - Upstream).</w:t>
      </w:r>
    </w:p>
    <w:p>
      <w:pPr>
        <w:numPr>
          <w:ilvl w:val="0"/>
          <w:numId w:val="1016"/>
        </w:numPr>
        <w:pStyle w:val="Compact"/>
      </w:pPr>
      <w:r>
        <w:rPr>
          <w:bCs/>
          <w:b/>
        </w:rPr>
        <w:t xml:space="preserve">Logistics Optimization:</w:t>
      </w:r>
      <w:r>
        <w:t xml:space="preserve"> </w:t>
      </w:r>
      <w:r>
        <w:t xml:space="preserve">Continuously evaluate and optimize transport routes, modes, and vehicle utilization to minimize fuel consumption and associated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zdvitzlljp</dc:title>
  <dc:creator/>
  <dc:description>Detailed Product Carbon Footprint (PCF) analysis report for zdvitzlljp, performed by Senior Sustainability Consultant ezkihqmixg for ntnhyvwjtz, adhering to GHG Protocol standards and 2026 requirements.</dc:description>
  <cp:keywords/>
  <dcterms:created xsi:type="dcterms:W3CDTF">2026-07-15T12:37:44Z</dcterms:created>
  <dcterms:modified xsi:type="dcterms:W3CDTF">2026-07-15T12:37:44Z</dcterms:modified>
</cp:coreProperties>
</file>

<file path=docProps/custom.xml><?xml version="1.0" encoding="utf-8"?>
<Properties xmlns="http://schemas.openxmlformats.org/officeDocument/2006/custom-properties" xmlns:vt="http://schemas.openxmlformats.org/officeDocument/2006/docPropsVTypes"/>
</file>