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yzlrxlwnvm</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yzlrxlwnvm"/>
    <w:p>
      <w:pPr>
        <w:pStyle w:val="Heading2"/>
      </w:pPr>
      <w:r>
        <w:t xml:space="preserve">For Product: yzlrxlwnvm</w:t>
      </w:r>
    </w:p>
    <w:p>
      <w:pPr>
        <w:pStyle w:val="FirstParagraph"/>
      </w:pPr>
      <w:r>
        <w:rPr>
          <w:bCs/>
          <w:b/>
        </w:rPr>
        <w:t xml:space="preserve">Company:</w:t>
      </w:r>
      <w:r>
        <w:t xml:space="preserve"> </w:t>
      </w:r>
      <w:r>
        <w:t xml:space="preserve">wfyxqnkmzj</w:t>
      </w:r>
    </w:p>
    <w:p>
      <w:pPr>
        <w:pStyle w:val="BodyText"/>
      </w:pPr>
      <w:r>
        <w:rPr>
          <w:bCs/>
          <w:b/>
        </w:rPr>
        <w:t xml:space="preserve">Senior Sustainability Consultant:</w:t>
      </w:r>
      <w:r>
        <w:t xml:space="preserve"> </w:t>
      </w:r>
      <w:r>
        <w:t xml:space="preserve">vmuyrhjhuq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estimation of the Product Carbon Footprint (PCF).</w:t>
      </w:r>
    </w:p>
    <w:bookmarkEnd w:id="20"/>
    <w:bookmarkEnd w:id="21"/>
    <w:bookmarkStart w:id="49"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yzlrxlwnvm</w:t>
      </w:r>
      <w:r>
        <w:t xml:space="preserve">, manufactured by</w:t>
      </w:r>
      <w:r>
        <w:t xml:space="preserve"> </w:t>
      </w:r>
      <w:r>
        <w:rPr>
          <w:bCs/>
          <w:b/>
        </w:rPr>
        <w:t xml:space="preserve">wfyxqnkmzj</w:t>
      </w:r>
      <w:r>
        <w:t xml:space="preserve">. The assessment was conducted by</w:t>
      </w:r>
      <w:r>
        <w:t xml:space="preserve"> </w:t>
      </w:r>
      <w:r>
        <w:rPr>
          <w:bCs/>
          <w:b/>
        </w:rPr>
        <w:t xml:space="preserve">vmuyrhjhuq</w:t>
      </w:r>
      <w:r>
        <w:t xml:space="preserve">, Senior Sustainability Consultant, adhering strictly to the GHG Protocol Product Standard, including the 2026 Land Sector and Removals (LSR) update. The analysis covers the lifecycle from \'cradle-to-factory gate\' (with illustrative extensions for use and end-of-life) and identifies key emission hotspots across material acquisition, manufacturing, and transport. This report aims to provide actionable insights for reducing the product\'s environmental impact and enhancing sustainability performance.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analysis follows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w:t>
      </w:r>
      <w:r>
        <w:t xml:space="preserve"> </w:t>
      </w:r>
      <w:r>
        <w:t xml:space="preserve">Identify and detail all relevant lifecycle stages and inventory flows (materials, energy, waste).</w:t>
      </w:r>
    </w:p>
    <w:p>
      <w:pPr>
        <w:numPr>
          <w:ilvl w:val="0"/>
          <w:numId w:val="1001"/>
        </w:numPr>
        <w:pStyle w:val="Compact"/>
      </w:pPr>
      <w:r>
        <w:rPr>
          <w:bCs/>
          <w:b/>
        </w:rPr>
        <w:t xml:space="preserve">Collect Data:</w:t>
      </w:r>
      <w:r>
        <w:t xml:space="preserve"> </w:t>
      </w:r>
      <w:r>
        <w:t xml:space="preserve">Gather primary and secondary data for each identified process and material input.</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This analysis further incorporates the 2026 LSR Update for land use and carbon removals, and targets at least 95% coverage for Scope 3 emissions reporting to meet current requirements.</w:t>
      </w:r>
    </w:p>
    <w:p>
      <w:r>
        <w:pict>
          <v:rect style="width:0;height:1.5pt" o:hralign="center" o:hrstd="t" o:hr="t"/>
        </w:pict>
      </w:r>
    </w:p>
    <w:bookmarkEnd w:id="23"/>
    <w:bookmarkStart w:id="29" w:name="defining-scope"/>
    <w:p>
      <w:pPr>
        <w:pStyle w:val="Heading2"/>
      </w:pPr>
      <w:r>
        <w:t xml:space="preserve">1. Defining Scope</w:t>
      </w:r>
    </w:p>
    <w:bookmarkStart w:id="24" w:name="product-information"/>
    <w:p>
      <w:pPr>
        <w:pStyle w:val="Heading3"/>
      </w:pPr>
      <w:r>
        <w:t xml:space="preserve">Product Information</w:t>
      </w:r>
    </w:p>
    <w:p>
      <w:pPr>
        <w:numPr>
          <w:ilvl w:val="0"/>
          <w:numId w:val="1002"/>
        </w:numPr>
        <w:pStyle w:val="Compact"/>
      </w:pPr>
      <w:r>
        <w:rPr>
          <w:bCs/>
          <w:b/>
        </w:rPr>
        <w:t xml:space="preserve">Product Name:</w:t>
      </w:r>
      <w:r>
        <w:t xml:space="preserve"> </w:t>
      </w:r>
      <w:r>
        <w:t xml:space="preserve">yzlrxlwnvm</w:t>
      </w:r>
    </w:p>
    <w:p>
      <w:pPr>
        <w:numPr>
          <w:ilvl w:val="0"/>
          <w:numId w:val="1002"/>
        </w:numPr>
        <w:pStyle w:val="Compact"/>
      </w:pPr>
      <w:r>
        <w:rPr>
          <w:bCs/>
          <w:b/>
        </w:rPr>
        <w:t xml:space="preserve">Company Name:</w:t>
      </w:r>
      <w:r>
        <w:t xml:space="preserve"> </w:t>
      </w:r>
      <w:r>
        <w:t xml:space="preserve">wfyxqnkmzj</w:t>
      </w:r>
    </w:p>
    <w:p>
      <w:pPr>
        <w:numPr>
          <w:ilvl w:val="0"/>
          <w:numId w:val="1002"/>
        </w:numPr>
        <w:pStyle w:val="Compact"/>
      </w:pPr>
      <w:r>
        <w:rPr>
          <w:bCs/>
          <w:b/>
        </w:rPr>
        <w:t xml:space="preserve">Senior Sustainability Consultant:</w:t>
      </w:r>
      <w:r>
        <w:t xml:space="preserve"> </w:t>
      </w:r>
      <w:r>
        <w:t xml:space="preserve">vmuyrhjhuq</w:t>
      </w:r>
    </w:p>
    <w:bookmarkEnd w:id="24"/>
    <w:bookmarkStart w:id="25"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w:t>
      </w:r>
      <w:r>
        <w:t xml:space="preserve"> </w:t>
      </w:r>
      <w:r>
        <w:t xml:space="preserve">of yzlrxlwnvm. This unit serves as the reference flow to which all input and output data are normalized.</w:t>
      </w:r>
    </w:p>
    <w:bookmarkEnd w:id="25"/>
    <w:bookmarkStart w:id="26" w:name="system-boundary"/>
    <w:p>
      <w:pPr>
        <w:pStyle w:val="Heading3"/>
      </w:pPr>
      <w:r>
        <w:t xml:space="preserve">System Boundary</w:t>
      </w:r>
    </w:p>
    <w:p>
      <w:pPr>
        <w:pStyle w:val="FirstParagraph"/>
      </w:pPr>
      <w:r>
        <w:t xml:space="preserve">The defined system boundary for this assessment is</w:t>
      </w:r>
      <w:r>
        <w:t xml:space="preserve"> </w:t>
      </w:r>
      <w:r>
        <w:rPr>
          <w:bCs/>
          <w:b/>
        </w:rPr>
        <w:t xml:space="preserve">factory_gate</w:t>
      </w:r>
      <w:r>
        <w:t xml:space="preserve">. This implies that the primary focus of the detailed calculation is on emissions up to the point the finished product leaves the manufacturing facility. However, for a comprehensive understanding, illustrative calculations for the Use Phase and End-of-Life (EoL) are also included, extending beyond the strict factory gate boundary for informational purposes.</w:t>
      </w:r>
    </w:p>
    <w:bookmarkEnd w:id="26"/>
    <w:bookmarkStart w:id="27"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7"/>
    <w:bookmarkStart w:id="28" w:name="accounting-standard"/>
    <w:p>
      <w:pPr>
        <w:pStyle w:val="Heading3"/>
      </w:pPr>
      <w:r>
        <w:t xml:space="preserve">Accounting Standard</w:t>
      </w:r>
    </w:p>
    <w:p>
      <w:pPr>
        <w:pStyle w:val="FirstParagraph"/>
      </w:pPr>
      <w:r>
        <w:t xml:space="preserve">This Product Carbon Footprint analysis is conducted in strict adherence to the</w:t>
      </w:r>
      <w:r>
        <w:t xml:space="preserve"> </w:t>
      </w:r>
      <w:r>
        <w:rPr>
          <w:bCs/>
          <w:b/>
        </w:rPr>
        <w:t xml:space="preserve">GHG Protocol Product Standard</w:t>
      </w:r>
      <w:r>
        <w:t xml:space="preserve">. Emissions are categorized into:</w:t>
      </w:r>
    </w:p>
    <w:p>
      <w:pPr>
        <w:numPr>
          <w:ilvl w:val="0"/>
          <w:numId w:val="1004"/>
        </w:numPr>
        <w:pStyle w:val="Compact"/>
      </w:pPr>
      <w:r>
        <w:rPr>
          <w:bCs/>
          <w:b/>
        </w:rPr>
        <w:t xml:space="preserve">Scope 1:</w:t>
      </w:r>
      <w:r>
        <w:t xml:space="preserve"> </w:t>
      </w:r>
      <w:r>
        <w:t xml:space="preserve">Direct GHG emissions from sources owned or controlled by the company (e.g., manufacturing facilities).</w:t>
      </w:r>
    </w:p>
    <w:p>
      <w:pPr>
        <w:numPr>
          <w:ilvl w:val="0"/>
          <w:numId w:val="1004"/>
        </w:numPr>
        <w:pStyle w:val="Compact"/>
      </w:pPr>
      <w:r>
        <w:rPr>
          <w:bCs/>
          <w:b/>
        </w:rPr>
        <w:t xml:space="preserve">Scope 2:</w:t>
      </w:r>
      <w:r>
        <w:t xml:space="preserve"> </w:t>
      </w:r>
      <w:r>
        <w:t xml:space="preserve">Indirect GHG emissions from the generation of purchased electricity, heat, or steam.</w:t>
      </w:r>
    </w:p>
    <w:p>
      <w:pPr>
        <w:numPr>
          <w:ilvl w:val="0"/>
          <w:numId w:val="1004"/>
        </w:numPr>
        <w:pStyle w:val="Compact"/>
      </w:pPr>
      <w:r>
        <w:rPr>
          <w:bCs/>
          <w:b/>
        </w:rPr>
        <w:t xml:space="preserve">Scope 3:</w:t>
      </w:r>
      <w:r>
        <w:t xml:space="preserve"> </w:t>
      </w:r>
      <w:r>
        <w:t xml:space="preserve">All other indirect emissions that occur in the value chain of the reporting company, both upstream and downstream. This report aims for at least 95% coverage for Scope 3 reporting, in line with 2026 requirements.</w:t>
      </w:r>
    </w:p>
    <w:p>
      <w:pPr>
        <w:pStyle w:val="FirstParagraph"/>
      </w:pPr>
      <w:r>
        <w:t xml:space="preserve">Additionally, the</w:t>
      </w:r>
      <w:r>
        <w:t xml:space="preserve"> </w:t>
      </w:r>
      <w:r>
        <w:rPr>
          <w:bCs/>
          <w:b/>
        </w:rPr>
        <w:t xml:space="preserve">2026 Land Sector and Removals (LSR) Standard</w:t>
      </w:r>
      <w:r>
        <w:t xml:space="preserve"> </w:t>
      </w:r>
      <w:r>
        <w:t xml:space="preserve">is applied to account for land use and carbon removals within the product\'s lifecycle where relevant data is available.</w:t>
      </w:r>
    </w:p>
    <w:p>
      <w:r>
        <w:pict>
          <v:rect style="width:0;height:1.5pt" o:hralign="center" o:hrstd="t" o:hr="t"/>
        </w:pict>
      </w:r>
    </w:p>
    <w:bookmarkEnd w:id="28"/>
    <w:bookmarkEnd w:id="29"/>
    <w:bookmarkStart w:id="35" w:name="mapping-lifecycle-3.-data-collection"/>
    <w:p>
      <w:pPr>
        <w:pStyle w:val="Heading2"/>
      </w:pPr>
      <w:r>
        <w:t xml:space="preserve">2. Mapping Lifecycle &amp; 3. Data Collection</w:t>
      </w:r>
    </w:p>
    <w:p>
      <w:pPr>
        <w:pStyle w:val="FirstParagraph"/>
      </w:pPr>
      <w:r>
        <w:t xml:space="preserve">The lifecycle of yzlrxlwnvm is mapped to identify all stages contributing to its carbon footprint. Data collection involved leveraging the provided Bill of Materials (BOM), specific energy usage, transport logistics, and end-of-life scenarios. For processes and materials where specific data was not available, industry-standard emission factors (e.g., from Ecoinvent/DEFRA databases) were applied.</w:t>
      </w:r>
    </w:p>
    <w:bookmarkStart w:id="30" w:name="detailed-bill-of-materials-bom"/>
    <w:p>
      <w:pPr>
        <w:pStyle w:val="Heading3"/>
      </w:pPr>
      <w:r>
        <w:t xml:space="preserve">Detailed Bill of Materials (BOM)</w:t>
      </w:r>
    </w:p>
    <w:p>
      <w:pPr>
        <w:pStyle w:val="FirstParagraph"/>
      </w:pPr>
      <w:r>
        <w:t xml:space="preserve">The following table presents an illustrative breakdown of materials based on the provided BOM data structure for</w:t>
      </w:r>
      <w:r>
        <w:t xml:space="preserve"> </w:t>
      </w:r>
      <w:r>
        <w:rPr>
          <w:bCs/>
          <w:b/>
        </w:rPr>
        <w:t xml:space="preserve">lvdefkil</w:t>
      </w:r>
      <w:r>
        <w:t xml:space="preserve">. The \'Total Carbon\' values represent the upstream emissions associated with the production of each material item, serving as a primary input for material impact calculation. These values are illustrative as the specific numeric content of \'lvdefkil\' was a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(tCO2e/unit)</w:t>
            </w:r>
          </w:p>
        </w:tc>
        <w:tc>
          <w:tcPr/>
          <w:p>
            <w:pPr>
              <w:pStyle w:val="Compact"/>
              <w:jc w:val="left"/>
            </w:pPr>
            <w:r>
              <w:t xml:space="preserve">Total Carbon (tCO2e)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w:t>
            </w:r>
          </w:p>
        </w:tc>
        <w:tc>
          <w:tcPr/>
          <w:p>
            <w:pPr>
              <w:pStyle w:val="Compact"/>
              <w:jc w:val="left"/>
            </w:pPr>
            <w:r>
              <w:t xml:space="preserve">Mining &amp; Refining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0.110</w:t>
            </w:r>
          </w:p>
        </w:tc>
      </w:tr>
      <w:tr>
        <w:tc>
          <w:tcPr/>
          <w:p>
            <w:pPr>
              <w:pStyle w:val="Compact"/>
              <w:jc w:val="left"/>
            </w:pPr>
            <w:r>
              <w:t xml:space="preserve">M003</w:t>
            </w:r>
          </w:p>
        </w:tc>
        <w:tc>
          <w:tcPr/>
          <w:p>
            <w:pPr>
              <w:pStyle w:val="Compact"/>
              <w:jc w:val="left"/>
            </w:pPr>
            <w:r>
              <w:t xml:space="preserve">Integrated Circuit</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2</w:t>
            </w:r>
          </w:p>
        </w:tc>
        <w:tc>
          <w:tcPr/>
          <w:p>
            <w:pPr>
              <w:pStyle w:val="Compact"/>
              <w:jc w:val="left"/>
            </w:pPr>
            <w:r>
              <w:t xml:space="preserve">units</w:t>
            </w:r>
          </w:p>
        </w:tc>
        <w:tc>
          <w:tcPr/>
          <w:p>
            <w:pPr>
              <w:pStyle w:val="Compact"/>
              <w:jc w:val="left"/>
            </w:pPr>
            <w:r>
              <w:t xml:space="preserve">5.0</w:t>
            </w:r>
          </w:p>
        </w:tc>
        <w:tc>
          <w:tcPr/>
          <w:p>
            <w:pPr>
              <w:pStyle w:val="Compact"/>
              <w:jc w:val="left"/>
            </w:pPr>
            <w:r>
              <w:t xml:space="preserve">0.010</w:t>
            </w:r>
          </w:p>
        </w:tc>
      </w:tr>
      <w:tr>
        <w:tc>
          <w:tcPr/>
          <w:p>
            <w:pPr>
              <w:pStyle w:val="Compact"/>
              <w:jc w:val="left"/>
            </w:pPr>
            <w:r>
              <w:t xml:space="preserve">M004</w:t>
            </w:r>
          </w:p>
        </w:tc>
        <w:tc>
          <w:tcPr/>
          <w:p>
            <w:pPr>
              <w:pStyle w:val="Compact"/>
              <w:jc w:val="left"/>
            </w:pPr>
            <w:r>
              <w:t xml:space="preserve">Packaging Film</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0.009</w:t>
            </w:r>
          </w:p>
        </w:tc>
      </w:tr>
      <w:tr>
        <w:tc>
          <w:tcPr>
            <w:gridSpan w:val="7"/>
          </w:tcPr>
          <w:p>
            <w:pPr>
              <w:pStyle w:val="Compact"/>
              <w:jc w:val="right"/>
            </w:pPr>
            <w:r>
              <w:t xml:space="preserve">Subtotal Material Carbon:</w:t>
            </w:r>
          </w:p>
        </w:tc>
        <w:tc>
          <w:tcPr/>
          <w:p>
            <w:pPr>
              <w:pStyle w:val="Compact"/>
              <w:jc w:val="left"/>
            </w:pPr>
            <w:r>
              <w:t xml:space="preserve">0.479</w:t>
            </w:r>
          </w:p>
        </w:tc>
      </w:tr>
    </w:tbl>
    <w:p>
      <w:pPr>
        <w:pStyle w:val="BodyText"/>
      </w:pPr>
      <w:r>
        <w:rPr>
          <w:iCs/>
          <w:i/>
        </w:rPr>
        <w:t xml:space="preserve">Note: The specific values for Quantity, Emission Factor, and Total Carbon are illustrative, based on the described format of "lvdefkil" as a placeholder string, for demonstrating the calculation methodology.</w:t>
      </w:r>
    </w:p>
    <w:bookmarkEnd w:id="30"/>
    <w:bookmarkStart w:id="31" w:name="energy-inputs-for-production"/>
    <w:p>
      <w:pPr>
        <w:pStyle w:val="Heading3"/>
      </w:pPr>
      <w:r>
        <w:t xml:space="preserve">Energy Inputs for Production</w:t>
      </w:r>
    </w:p>
    <w:p>
      <w:pPr>
        <w:numPr>
          <w:ilvl w:val="0"/>
          <w:numId w:val="1005"/>
        </w:numPr>
        <w:pStyle w:val="Compact"/>
      </w:pPr>
      <w:r>
        <w:rPr>
          <w:bCs/>
          <w:b/>
        </w:rPr>
        <w:t xml:space="preserve">Renewable Energy Usage:</w:t>
      </w:r>
      <w:r>
        <w:t xml:space="preserve"> </w:t>
      </w:r>
      <w:r>
        <w:t xml:space="preserve">symftwyxdr (e.g., 60%)</w:t>
      </w:r>
    </w:p>
    <w:p>
      <w:pPr>
        <w:numPr>
          <w:ilvl w:val="0"/>
          <w:numId w:val="1005"/>
        </w:numPr>
        <w:pStyle w:val="Compact"/>
      </w:pPr>
      <w:r>
        <w:rPr>
          <w:bCs/>
          <w:b/>
        </w:rPr>
        <w:t xml:space="preserve">Energy Intensity (kWh/unit):</w:t>
      </w:r>
      <w:r>
        <w:t xml:space="preserve"> </w:t>
      </w:r>
      <w:r>
        <w:t xml:space="preserve">vpvxgsrjzg (e.g., 15 kWh/unit)</w:t>
      </w:r>
    </w:p>
    <w:p>
      <w:pPr>
        <w:pStyle w:val="FirstParagraph"/>
      </w:pPr>
      <w:r>
        <w:t xml:space="preserve">These parameters are critical for quantifying Scope 2 emissions related to purchased electricity for manufacturing in China.</w:t>
      </w:r>
    </w:p>
    <w:bookmarkEnd w:id="31"/>
    <w:bookmarkStart w:id="32" w:name="transport-logistics"/>
    <w:p>
      <w:pPr>
        <w:pStyle w:val="Heading3"/>
      </w:pPr>
      <w:r>
        <w:t xml:space="preserve">Transport Logistics</w:t>
      </w:r>
    </w:p>
    <w:p>
      <w:pPr>
        <w:numPr>
          <w:ilvl w:val="0"/>
          <w:numId w:val="1006"/>
        </w:numPr>
        <w:pStyle w:val="Compact"/>
      </w:pPr>
      <w:r>
        <w:rPr>
          <w:bCs/>
          <w:b/>
        </w:rPr>
        <w:t xml:space="preserve">Transport Mode (Upstream/Downstream):</w:t>
      </w:r>
      <w:r>
        <w:t xml:space="preserve"> </w:t>
      </w:r>
      <w:r>
        <w:t xml:space="preserve">Select Mode (e.g., Sea Freight for main components, Road Freight for last mile)</w:t>
      </w:r>
    </w:p>
    <w:p>
      <w:pPr>
        <w:numPr>
          <w:ilvl w:val="0"/>
          <w:numId w:val="1006"/>
        </w:numPr>
        <w:pStyle w:val="Compact"/>
      </w:pPr>
      <w:r>
        <w:rPr>
          <w:bCs/>
          <w:b/>
        </w:rPr>
        <w:t xml:space="preserve">Transport Distance:</w:t>
      </w:r>
      <w:r>
        <w:t xml:space="preserve"> </w:t>
      </w:r>
      <w:r>
        <w:t xml:space="preserve">fzszgffdup (e.g., 8,000 km for sea freight, 500 km for road freight)</w:t>
      </w:r>
    </w:p>
    <w:p>
      <w:pPr>
        <w:numPr>
          <w:ilvl w:val="0"/>
          <w:numId w:val="1006"/>
        </w:numPr>
        <w:pStyle w:val="Compact"/>
      </w:pPr>
      <w:r>
        <w:rPr>
          <w:bCs/>
          <w:b/>
        </w:rPr>
        <w:t xml:space="preserve">Last-Mile Delivery Channel:</w:t>
      </w:r>
      <w:r>
        <w:t xml:space="preserve"> </w:t>
      </w:r>
      <w:r>
        <w:t xml:space="preserve">Delivery Type (e.g., Courier Van)</w:t>
      </w:r>
    </w:p>
    <w:p>
      <w:pPr>
        <w:pStyle w:val="FirstParagraph"/>
      </w:pPr>
      <w:r>
        <w:t xml:space="preserve">These details are integrated into the supply chain analysis to account for Scope 3 emissions from transportation.</w:t>
      </w:r>
    </w:p>
    <w:bookmarkEnd w:id="32"/>
    <w:bookmarkStart w:id="33"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vhmzlktodk (e.g., 5 years)</w:t>
      </w:r>
    </w:p>
    <w:p>
      <w:pPr>
        <w:numPr>
          <w:ilvl w:val="0"/>
          <w:numId w:val="1007"/>
        </w:numPr>
        <w:pStyle w:val="Compact"/>
      </w:pPr>
      <w:r>
        <w:rPr>
          <w:bCs/>
          <w:b/>
        </w:rPr>
        <w:t xml:space="preserve">Energy Consumption in Use:</w:t>
      </w:r>
      <w:r>
        <w:t xml:space="preserve"> </w:t>
      </w:r>
      <w:r>
        <w:t xml:space="preserve">visletutot (e.g., 20 kWh/year)</w:t>
      </w:r>
    </w:p>
    <w:p>
      <w:pPr>
        <w:pStyle w:val="FirstParagraph"/>
      </w:pPr>
      <w:r>
        <w:t xml:space="preserve">This data is used to estimate the energy consumption and associated emissions during the product\'s operational lifetime, which falls under Scope 3 downstream emissions.</w:t>
      </w:r>
    </w:p>
    <w:bookmarkEnd w:id="33"/>
    <w:bookmarkStart w:id="34"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porkgstrng (e.g., 75%)</w:t>
      </w:r>
    </w:p>
    <w:p>
      <w:pPr>
        <w:numPr>
          <w:ilvl w:val="0"/>
          <w:numId w:val="1008"/>
        </w:numPr>
        <w:pStyle w:val="Compact"/>
      </w:pPr>
      <w:r>
        <w:rPr>
          <w:bCs/>
          <w:b/>
        </w:rPr>
        <w:t xml:space="preserve">Circular/Take-back Programs:</w:t>
      </w:r>
      <w:r>
        <w:t xml:space="preserve"> </w:t>
      </w:r>
      <w:r>
        <w:t xml:space="preserve">qntygsnxdp (e.g., Company-operated take-back for key components)</w:t>
      </w:r>
    </w:p>
    <w:p>
      <w:pPr>
        <w:pStyle w:val="FirstParagraph"/>
      </w:pPr>
      <w:r>
        <w:t xml:space="preserve">EoL data helps quantify emissions from waste management and potential benefits from recycling and circular economy initiatives, impacting Scope 3 downstream emissions.</w:t>
      </w:r>
    </w:p>
    <w:p>
      <w:r>
        <w:pict>
          <v:rect style="width:0;height:1.5pt" o:hralign="center" o:hrstd="t" o:hr="t"/>
        </w:pict>
      </w:r>
    </w:p>
    <w:bookmarkEnd w:id="34"/>
    <w:bookmarkEnd w:id="35"/>
    <w:bookmarkStart w:id="42" w:name="emission-calculation-illustrative"/>
    <w:p>
      <w:pPr>
        <w:pStyle w:val="Heading2"/>
      </w:pPr>
      <w:r>
        <w:t xml:space="preserve">4. Emission Calculation (Illustrative)</w:t>
      </w:r>
    </w:p>
    <w:p>
      <w:pPr>
        <w:pStyle w:val="FirstParagraph"/>
      </w:pPr>
      <w:r>
        <w:t xml:space="preserve">Emissions are calculated for each lifecycle stage (material acquisition, production, transport, use, and end-of-life) by multiplying activity data by relevant emission factors. This section provides an illustrative breakdown based on the parameters provided.</w:t>
      </w:r>
    </w:p>
    <w:bookmarkStart w:id="36" w:name="Xe41feab77ff66c35362c68105c2f877ce4579f2"/>
    <w:p>
      <w:pPr>
        <w:pStyle w:val="Heading3"/>
      </w:pPr>
      <w:r>
        <w:t xml:space="preserve">A. Material Acquisition (Scope 3 - Upstream)</w:t>
      </w:r>
    </w:p>
    <w:p>
      <w:pPr>
        <w:pStyle w:val="FirstParagraph"/>
      </w:pPr>
      <w:r>
        <w:t xml:space="preserve">This category includes emissions from raw material extraction, processing, and manufacturing of components, as provided by the "Total Carbon" in the BOM.</w:t>
      </w:r>
    </w:p>
    <w:p>
      <w:pPr>
        <w:pStyle w:val="BodyText"/>
      </w:pPr>
      <w:r>
        <w:rPr>
          <w:bCs/>
          <w:b/>
        </w:rPr>
        <w:t xml:space="preserve">Total Emissions (Illustrative) = 0.479 tCO2e</w:t>
      </w:r>
      <w:r>
        <w:t xml:space="preserve"> </w:t>
      </w:r>
      <w:r>
        <w:t xml:space="preserve">(from BOM subtotal)</w:t>
      </w:r>
    </w:p>
    <w:bookmarkEnd w:id="36"/>
    <w:bookmarkStart w:id="37" w:name="b.-production-phase-scope-1-scope-2"/>
    <w:p>
      <w:pPr>
        <w:pStyle w:val="Heading3"/>
      </w:pPr>
      <w:r>
        <w:t xml:space="preserve">B. Production Phase (Scope 1 &amp; Scope 2)</w:t>
      </w:r>
    </w:p>
    <w:p>
      <w:pPr>
        <w:pStyle w:val="FirstParagraph"/>
      </w:pPr>
      <w:r>
        <w:t xml:space="preserve">Emissions from the manufacturing processes within wfyxqnkmzj\'s facility in China.</w:t>
      </w:r>
    </w:p>
    <w:p>
      <w:pPr>
        <w:numPr>
          <w:ilvl w:val="0"/>
          <w:numId w:val="1009"/>
        </w:numPr>
        <w:pStyle w:val="Compact"/>
      </w:pPr>
      <w:r>
        <w:rPr>
          <w:bCs/>
          <w:b/>
        </w:rPr>
        <w:t xml:space="preserve">Direct Emissions (Scope 1):</w:t>
      </w:r>
      <w:r>
        <w:t xml:space="preserve"> </w:t>
      </w:r>
      <w:r>
        <w:t xml:space="preserve">Assuming minimal direct combustion (e.g., from small boilers, forklifts), an illustrative value is used.</w:t>
      </w:r>
    </w:p>
    <w:p>
      <w:pPr>
        <w:numPr>
          <w:ilvl w:val="0"/>
          <w:numId w:val="1009"/>
        </w:numPr>
        <w:pStyle w:val="Compact"/>
      </w:pPr>
      <w:r>
        <w:rPr>
          <w:bCs/>
          <w:b/>
        </w:rPr>
        <w:t xml:space="preserve">Purchased Electricity (Scope 2):</w:t>
      </w:r>
      <w:r>
        <w:t xml:space="preserve"> </w:t>
      </w:r>
      <w:r>
        <w:t xml:space="preserve">Based on energy intensity and renewable energy usage.</w:t>
      </w:r>
    </w:p>
    <w:p>
      <w:pPr>
        <w:pStyle w:val="FirstParagraph"/>
      </w:pPr>
      <w:r>
        <w:t xml:space="preserve">Illustrative Calculation for Scope 2 Electricity:</w:t>
      </w:r>
    </w:p>
    <w:p>
      <w:pPr>
        <w:numPr>
          <w:ilvl w:val="0"/>
          <w:numId w:val="1010"/>
        </w:numPr>
        <w:pStyle w:val="Compact"/>
      </w:pPr>
      <w:r>
        <w:t xml:space="preserve">Energy Intensity: 15 kWh/unit (vpvxgsrjzg)</w:t>
      </w:r>
    </w:p>
    <w:p>
      <w:pPr>
        <w:numPr>
          <w:ilvl w:val="0"/>
          <w:numId w:val="1010"/>
        </w:numPr>
        <w:pStyle w:val="Compact"/>
      </w:pPr>
      <w:r>
        <w:t xml:space="preserve">Renewable Energy Usage: 60% (symftwyxdr)</w:t>
      </w:r>
    </w:p>
    <w:p>
      <w:pPr>
        <w:numPr>
          <w:ilvl w:val="0"/>
          <w:numId w:val="1010"/>
        </w:numPr>
        <w:pStyle w:val="Compact"/>
      </w:pPr>
      <w:r>
        <w:t xml:space="preserve">China Grid Emission Factor (illustrative): 0.6 kgCO2e/kWh</w:t>
      </w:r>
    </w:p>
    <w:p>
      <w:pPr>
        <w:numPr>
          <w:ilvl w:val="0"/>
          <w:numId w:val="1010"/>
        </w:numPr>
        <w:pStyle w:val="Compact"/>
      </w:pPr>
      <w:r>
        <w:t xml:space="preserve">Renewable Energy Emission Factor (illustrative): 0.05 kgCO2e/kWh (for residual emissions)</w:t>
      </w:r>
    </w:p>
    <w:p>
      <w:pPr>
        <w:pStyle w:val="FirstParagraph"/>
      </w:pPr>
      <w:r>
        <w:t xml:space="preserve">(15 kWh/unit * (1 - 0.60)) * 0.6 kgCO2e/kWh + (15 kWh/unit * 0.60) * 0.05 kgCO2e/kWh</w:t>
      </w:r>
      <w:r>
        <w:br/>
      </w:r>
      <w:r>
        <w:t xml:space="preserve">= (15 * 0.4) * 0.6 + (15 * 0.6) * 0.05</w:t>
      </w:r>
      <w:r>
        <w:br/>
      </w:r>
      <w:r>
        <w:t xml:space="preserve">= 6 * 0.6 + 9 * 0.05</w:t>
      </w:r>
      <w:r>
        <w:br/>
      </w:r>
      <w:r>
        <w:t xml:space="preserve">= 3.6 kgCO2e + 0.45 kgCO2e = 4.05 kgCO2e/unit = 0.00405 tCO2e/unit</w:t>
      </w:r>
    </w:p>
    <w:p>
      <w:pPr>
        <w:pStyle w:val="BodyText"/>
      </w:pPr>
      <w:r>
        <w:rPr>
          <w:bCs/>
          <w:b/>
        </w:rPr>
        <w:t xml:space="preserve">Illustrative Scope 1 Emissions:</w:t>
      </w:r>
      <w:r>
        <w:t xml:space="preserve"> </w:t>
      </w:r>
      <w:r>
        <w:t xml:space="preserve">0.0001 tCO2e/unit</w:t>
      </w:r>
    </w:p>
    <w:p>
      <w:pPr>
        <w:pStyle w:val="BodyText"/>
      </w:pPr>
      <w:r>
        <w:rPr>
          <w:bCs/>
          <w:b/>
        </w:rPr>
        <w:t xml:space="preserve">Total Production Emissions (Illustrative) = 0.00415 tCO2e</w:t>
      </w:r>
    </w:p>
    <w:bookmarkEnd w:id="37"/>
    <w:bookmarkStart w:id="38" w:name="X41af2ba99addd86db78d87423f94a223e49e540"/>
    <w:p>
      <w:pPr>
        <w:pStyle w:val="Heading3"/>
      </w:pPr>
      <w:r>
        <w:t xml:space="preserve">C. Transport (Scope 3 - Upstream &amp; Downstream)</w:t>
      </w:r>
    </w:p>
    <w:p>
      <w:pPr>
        <w:pStyle w:val="FirstParagraph"/>
      </w:pPr>
      <w:r>
        <w:t xml:space="preserve">This includes transportation of raw materials to the factory (upstream) and finished products to the customer (downstream).</w:t>
      </w:r>
    </w:p>
    <w:p>
      <w:pPr>
        <w:pStyle w:val="BodyText"/>
      </w:pPr>
      <w:r>
        <w:t xml:space="preserve">Illustrative Calculation for Transportation:</w:t>
      </w:r>
    </w:p>
    <w:p>
      <w:pPr>
        <w:numPr>
          <w:ilvl w:val="0"/>
          <w:numId w:val="1011"/>
        </w:numPr>
        <w:pStyle w:val="Compact"/>
      </w:pPr>
      <w:r>
        <w:t xml:space="preserve">Product Weight (assumed): 15 kg</w:t>
      </w:r>
    </w:p>
    <w:p>
      <w:pPr>
        <w:numPr>
          <w:ilvl w:val="0"/>
          <w:numId w:val="1011"/>
        </w:numPr>
        <w:pStyle w:val="Compact"/>
      </w:pPr>
      <w:r>
        <w:t xml:space="preserve">Upstream Transport (e.g., Sea Freight from Europe to China):</w:t>
      </w:r>
    </w:p>
    <w:p>
      <w:pPr>
        <w:numPr>
          <w:ilvl w:val="0"/>
          <w:numId w:val="1011"/>
        </w:numPr>
        <w:pStyle w:val="Compact"/>
      </w:pPr>
      <w:r>
        <w:t xml:space="preserve">Mode: Sea Freight (Select Mode)</w:t>
      </w:r>
    </w:p>
    <w:p>
      <w:pPr>
        <w:numPr>
          <w:ilvl w:val="0"/>
          <w:numId w:val="1011"/>
        </w:numPr>
        <w:pStyle w:val="Compact"/>
      </w:pPr>
      <w:r>
        <w:t xml:space="preserve">Distance: 8,000 km (part of fzszgffdup)</w:t>
      </w:r>
    </w:p>
    <w:p>
      <w:pPr>
        <w:numPr>
          <w:ilvl w:val="0"/>
          <w:numId w:val="1011"/>
        </w:numPr>
        <w:pStyle w:val="Compact"/>
      </w:pPr>
      <w:r>
        <w:t xml:space="preserve">Emission Factor (Sea Freight, illustrative): 0.01 kgCO2e/tonne-km</w:t>
      </w:r>
    </w:p>
    <w:p>
      <w:pPr>
        <w:numPr>
          <w:ilvl w:val="0"/>
          <w:numId w:val="1011"/>
        </w:numPr>
        <w:pStyle w:val="Compact"/>
      </w:pPr>
      <w:r>
        <w:t xml:space="preserve">Emissions = 15 kg * (1 tonne / 1000 kg) * 8,000 km * 0.01 kgCO2e/tonne-km = 1.2 kgCO2e = 0.0012 tCO2e</w:t>
      </w:r>
    </w:p>
    <w:p>
      <w:pPr>
        <w:numPr>
          <w:ilvl w:val="0"/>
          <w:numId w:val="1011"/>
        </w:numPr>
        <w:pStyle w:val="Compact"/>
      </w:pPr>
      <w:r>
        <w:t xml:space="preserve">Downstream Transport (e.g., Road Freight within Europe for distribution):</w:t>
      </w:r>
    </w:p>
    <w:p>
      <w:pPr>
        <w:numPr>
          <w:ilvl w:val="0"/>
          <w:numId w:val="1011"/>
        </w:numPr>
        <w:pStyle w:val="Compact"/>
      </w:pPr>
      <w:r>
        <w:t xml:space="preserve">Mode: Road Freight (Select Mode)</w:t>
      </w:r>
    </w:p>
    <w:p>
      <w:pPr>
        <w:numPr>
          <w:ilvl w:val="0"/>
          <w:numId w:val="1011"/>
        </w:numPr>
        <w:pStyle w:val="Compact"/>
      </w:pPr>
      <w:r>
        <w:t xml:space="preserve">Distance: 500 km (part of fzszgffdup)</w:t>
      </w:r>
    </w:p>
    <w:p>
      <w:pPr>
        <w:numPr>
          <w:ilvl w:val="0"/>
          <w:numId w:val="1011"/>
        </w:numPr>
        <w:pStyle w:val="Compact"/>
      </w:pPr>
      <w:r>
        <w:t xml:space="preserve">Emission Factor (Road Freight, illustrative): 0.09 kgCO2e/tonne-km</w:t>
      </w:r>
    </w:p>
    <w:p>
      <w:pPr>
        <w:numPr>
          <w:ilvl w:val="0"/>
          <w:numId w:val="1011"/>
        </w:numPr>
        <w:pStyle w:val="Compact"/>
      </w:pPr>
      <w:r>
        <w:t xml:space="preserve">Last-Mile Delivery (Delivery Type - Courier Van, illustrative for smaller distance/weight):</w:t>
      </w:r>
    </w:p>
    <w:p>
      <w:pPr>
        <w:numPr>
          <w:ilvl w:val="0"/>
          <w:numId w:val="1011"/>
        </w:numPr>
        <w:pStyle w:val="Compact"/>
      </w:pPr>
      <w:r>
        <w:t xml:space="preserve">Distance: 50 km (part of fzszgffdup)</w:t>
      </w:r>
    </w:p>
    <w:p>
      <w:pPr>
        <w:numPr>
          <w:ilvl w:val="0"/>
          <w:numId w:val="1011"/>
        </w:numPr>
        <w:pStyle w:val="Compact"/>
      </w:pPr>
      <w:r>
        <w:t xml:space="preserve">Emission Factor (Courier Van, illustrative): 0.15 kgCO2e/tonne-km</w:t>
      </w:r>
    </w:p>
    <w:p>
      <w:pPr>
        <w:numPr>
          <w:ilvl w:val="0"/>
          <w:numId w:val="1011"/>
        </w:numPr>
        <w:pStyle w:val="Compact"/>
      </w:pPr>
      <w:r>
        <w:t xml:space="preserve">Emissions (Road + Last Mile) = 15 kg * (1 tonne / 1000 kg) * (500 km * 0.09 + 50 km * 0.15) kgCO2e/tonne = 0.015 * (45 + 7.5) = 0.015 * 52.5 = 0.7875 kgCO2e = 0.0007875 tCO2e</w:t>
      </w:r>
    </w:p>
    <w:p>
      <w:pPr>
        <w:pStyle w:val="FirstParagraph"/>
      </w:pPr>
      <w:r>
        <w:rPr>
          <w:bCs/>
          <w:b/>
        </w:rPr>
        <w:t xml:space="preserve">Total Transport Emissions (Illustrative) = 0.0012 + 0.0007875 = 0.0019875 tCO2e</w:t>
      </w:r>
    </w:p>
    <w:bookmarkEnd w:id="38"/>
    <w:bookmarkStart w:id="39" w:name="d.-use-phase-scope-3---downstream"/>
    <w:p>
      <w:pPr>
        <w:pStyle w:val="Heading3"/>
      </w:pPr>
      <w:r>
        <w:t xml:space="preserve">D. Use Phase (Scope 3 - Downstream)</w:t>
      </w:r>
    </w:p>
    <w:p>
      <w:pPr>
        <w:pStyle w:val="FirstParagraph"/>
      </w:pPr>
      <w:r>
        <w:t xml:space="preserve">Emissions from the energy consumption during the product\'s operational life.</w:t>
      </w:r>
    </w:p>
    <w:p>
      <w:pPr>
        <w:pStyle w:val="BodyText"/>
      </w:pPr>
      <w:r>
        <w:t xml:space="preserve">Illustrative Calculation for Use Phase:</w:t>
      </w:r>
    </w:p>
    <w:p>
      <w:pPr>
        <w:numPr>
          <w:ilvl w:val="0"/>
          <w:numId w:val="1012"/>
        </w:numPr>
        <w:pStyle w:val="Compact"/>
      </w:pPr>
      <w:r>
        <w:t xml:space="preserve">Product Lifespan: 5 years (vhmzlktodk)</w:t>
      </w:r>
    </w:p>
    <w:p>
      <w:pPr>
        <w:numPr>
          <w:ilvl w:val="0"/>
          <w:numId w:val="1012"/>
        </w:numPr>
        <w:pStyle w:val="Compact"/>
      </w:pPr>
      <w:r>
        <w:t xml:space="preserve">Energy Consumption in Use: 20 kWh/year (visletutot)</w:t>
      </w:r>
    </w:p>
    <w:p>
      <w:pPr>
        <w:numPr>
          <w:ilvl w:val="0"/>
          <w:numId w:val="1012"/>
        </w:numPr>
        <w:pStyle w:val="Compact"/>
      </w:pPr>
      <w:r>
        <w:t xml:space="preserve">Average Electricity Emission Factor (assumed European grid mix, illustrative): 0.3 kgCO2e/kWh</w:t>
      </w:r>
    </w:p>
    <w:p>
      <w:pPr>
        <w:pStyle w:val="FirstParagraph"/>
      </w:pPr>
      <w:r>
        <w:t xml:space="preserve">Total Energy in Use = 20 kWh/year * 5 years = 100 kWh</w:t>
      </w:r>
      <w:r>
        <w:br/>
      </w:r>
      <w:r>
        <w:t xml:space="preserve">Emissions = 100 kWh * 0.3 kgCO2e/kWh = 30 kgCO2e = 0.030 tCO2e</w:t>
      </w:r>
    </w:p>
    <w:p>
      <w:pPr>
        <w:pStyle w:val="BodyText"/>
      </w:pPr>
      <w:r>
        <w:rPr>
          <w:bCs/>
          <w:b/>
        </w:rPr>
        <w:t xml:space="preserve">Total Use Phase Emissions (Illustrative) = 0.030 tCO2e</w:t>
      </w:r>
    </w:p>
    <w:bookmarkEnd w:id="39"/>
    <w:bookmarkStart w:id="40" w:name="e.-end-of-life-eol-scope-3---downstream"/>
    <w:p>
      <w:pPr>
        <w:pStyle w:val="Heading3"/>
      </w:pPr>
      <w:r>
        <w:t xml:space="preserve">E. End-of-Life (EoL) (Scope 3 - Downstream)</w:t>
      </w:r>
    </w:p>
    <w:p>
      <w:pPr>
        <w:pStyle w:val="FirstParagraph"/>
      </w:pPr>
      <w:r>
        <w:t xml:space="preserve">Emissions (or credits) associated with the disposal, recycling, or recovery of the product at the end of its life.</w:t>
      </w:r>
    </w:p>
    <w:p>
      <w:pPr>
        <w:pStyle w:val="BodyText"/>
      </w:pPr>
      <w:r>
        <w:t xml:space="preserve">Illustrative Calculation for End-of-Life:</w:t>
      </w:r>
    </w:p>
    <w:p>
      <w:pPr>
        <w:numPr>
          <w:ilvl w:val="0"/>
          <w:numId w:val="1013"/>
        </w:numPr>
        <w:pStyle w:val="Compact"/>
      </w:pPr>
      <w:r>
        <w:t xml:space="preserve">Product Weight (assumed): 15 kg</w:t>
      </w:r>
    </w:p>
    <w:p>
      <w:pPr>
        <w:numPr>
          <w:ilvl w:val="0"/>
          <w:numId w:val="1013"/>
        </w:numPr>
        <w:pStyle w:val="Compact"/>
      </w:pPr>
      <w:r>
        <w:t xml:space="preserve">Recyclability Percentage: 75% (porkgstrng)</w:t>
      </w:r>
    </w:p>
    <w:p>
      <w:pPr>
        <w:numPr>
          <w:ilvl w:val="0"/>
          <w:numId w:val="1013"/>
        </w:numPr>
        <w:pStyle w:val="Compact"/>
      </w:pPr>
      <w:r>
        <w:t xml:space="preserve">Non-recycled portion: 25% (15 kg * 0.25 = 3.75 kg)</w:t>
      </w:r>
    </w:p>
    <w:p>
      <w:pPr>
        <w:numPr>
          <w:ilvl w:val="0"/>
          <w:numId w:val="1013"/>
        </w:numPr>
        <w:pStyle w:val="Compact"/>
      </w:pPr>
      <w:r>
        <w:t xml:space="preserve">Disposal Emission Factor (Landfill, illustrative): 1.5 kgCO2e/kg</w:t>
      </w:r>
    </w:p>
    <w:p>
      <w:pPr>
        <w:numPr>
          <w:ilvl w:val="0"/>
          <w:numId w:val="1013"/>
        </w:numPr>
        <w:pStyle w:val="Compact"/>
      </w:pPr>
      <w:r>
        <w:t xml:space="preserve">Recycled portion: 75% (15 kg * 0.75 = 11.25 kg)</w:t>
      </w:r>
    </w:p>
    <w:p>
      <w:pPr>
        <w:numPr>
          <w:ilvl w:val="0"/>
          <w:numId w:val="1013"/>
        </w:numPr>
        <w:pStyle w:val="Compact"/>
      </w:pPr>
      <w:r>
        <w:t xml:space="preserve">Recycling Credit (illustrative, for avoided primary material production): -2.0 kgCO2e/kg</w:t>
      </w:r>
    </w:p>
    <w:p>
      <w:pPr>
        <w:pStyle w:val="FirstParagraph"/>
      </w:pPr>
      <w:r>
        <w:t xml:space="preserve">Emissions from Disposal = 3.75 kg * 1.5 kgCO2e/kg = 5.625 kgCO2e</w:t>
      </w:r>
      <w:r>
        <w:br/>
      </w:r>
      <w:r>
        <w:t xml:space="preserve">Credits from Recycling = 11.25 kg * (-2.0 kgCO2e/kg) = -22.5 kgCO2e</w:t>
      </w:r>
    </w:p>
    <w:p>
      <w:pPr>
        <w:pStyle w:val="BodyText"/>
      </w:pPr>
      <w:r>
        <w:rPr>
          <w:bCs/>
          <w:b/>
        </w:rPr>
        <w:t xml:space="preserve">Total End-of-Life Emissions/Credits (Illustrative) = 5.625 - 22.5 = -16.875 kgCO2e = -0.016875 tCO2e</w:t>
      </w:r>
      <w:r>
        <w:t xml:space="preserve"> </w:t>
      </w:r>
      <w:r>
        <w:t xml:space="preserve">(a net credit due to high recyclability)</w:t>
      </w:r>
    </w:p>
    <w:bookmarkEnd w:id="40"/>
    <w:bookmarkStart w:id="41" w:name="X6f8794c1cd9ecdf749a415298bf5b66a2ad3874"/>
    <w:p>
      <w:pPr>
        <w:pStyle w:val="Heading3"/>
      </w:pPr>
      <w:r>
        <w:t xml:space="preserve">Summary of Illustrative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(tCO2e)</w:t>
            </w:r>
          </w:p>
        </w:tc>
      </w:tr>
      <w:tr>
        <w:tc>
          <w:tcPr/>
          <w:p>
            <w:pPr>
              <w:pStyle w:val="Compact"/>
              <w:jc w:val="left"/>
            </w:pPr>
            <w:r>
              <w:t xml:space="preserve">A. Material Acquisition</w:t>
            </w:r>
          </w:p>
        </w:tc>
        <w:tc>
          <w:tcPr/>
          <w:p>
            <w:pPr>
              <w:pStyle w:val="Compact"/>
              <w:jc w:val="left"/>
            </w:pPr>
            <w:r>
              <w:t xml:space="preserve">Scope 3 (Upstream)</w:t>
            </w:r>
          </w:p>
        </w:tc>
        <w:tc>
          <w:tcPr/>
          <w:p>
            <w:pPr>
              <w:pStyle w:val="Compact"/>
              <w:jc w:val="left"/>
            </w:pPr>
            <w:r>
              <w:t xml:space="preserve">0.479000</w:t>
            </w:r>
          </w:p>
        </w:tc>
      </w:tr>
      <w:tr>
        <w:tc>
          <w:tcPr/>
          <w:p>
            <w:pPr>
              <w:pStyle w:val="Compact"/>
              <w:jc w:val="left"/>
            </w:pPr>
            <w:r>
              <w:t xml:space="preserve">B. Production (Scope 1)</w:t>
            </w:r>
          </w:p>
        </w:tc>
        <w:tc>
          <w:tcPr/>
          <w:p>
            <w:pPr>
              <w:pStyle w:val="Compact"/>
              <w:jc w:val="left"/>
            </w:pPr>
            <w:r>
              <w:t xml:space="preserve">Scope 1</w:t>
            </w:r>
          </w:p>
        </w:tc>
        <w:tc>
          <w:tcPr/>
          <w:p>
            <w:pPr>
              <w:pStyle w:val="Compact"/>
              <w:jc w:val="left"/>
            </w:pPr>
            <w:r>
              <w:t xml:space="preserve">0.000100</w:t>
            </w:r>
          </w:p>
        </w:tc>
      </w:tr>
      <w:tr>
        <w:tc>
          <w:tcPr/>
          <w:p>
            <w:pPr>
              <w:pStyle w:val="Compact"/>
              <w:jc w:val="left"/>
            </w:pPr>
            <w:r>
              <w:t xml:space="preserve">B. Production (Scope 2)</w:t>
            </w:r>
          </w:p>
        </w:tc>
        <w:tc>
          <w:tcPr/>
          <w:p>
            <w:pPr>
              <w:pStyle w:val="Compact"/>
              <w:jc w:val="left"/>
            </w:pPr>
            <w:r>
              <w:t xml:space="preserve">Scope 2</w:t>
            </w:r>
          </w:p>
        </w:tc>
        <w:tc>
          <w:tcPr/>
          <w:p>
            <w:pPr>
              <w:pStyle w:val="Compact"/>
              <w:jc w:val="left"/>
            </w:pPr>
            <w:r>
              <w:t xml:space="preserve">0.004050</w:t>
            </w:r>
          </w:p>
        </w:tc>
      </w:tr>
      <w:tr>
        <w:tc>
          <w:tcPr/>
          <w:p>
            <w:pPr>
              <w:pStyle w:val="Compact"/>
              <w:jc w:val="left"/>
            </w:pPr>
            <w:r>
              <w:t xml:space="preserve">C. Transport (Upstream &amp; Downstream)</w:t>
            </w:r>
          </w:p>
        </w:tc>
        <w:tc>
          <w:tcPr/>
          <w:p>
            <w:pPr>
              <w:pStyle w:val="Compact"/>
              <w:jc w:val="left"/>
            </w:pPr>
            <w:r>
              <w:t xml:space="preserve">Scope 3 (Upstream &amp; Downstream)</w:t>
            </w:r>
          </w:p>
        </w:tc>
        <w:tc>
          <w:tcPr/>
          <w:p>
            <w:pPr>
              <w:pStyle w:val="Compact"/>
              <w:jc w:val="left"/>
            </w:pPr>
            <w:r>
              <w:t xml:space="preserve">0.001988</w:t>
            </w:r>
          </w:p>
        </w:tc>
      </w:tr>
      <w:tr>
        <w:tc>
          <w:tcPr/>
          <w:p>
            <w:pPr>
              <w:pStyle w:val="Compact"/>
              <w:jc w:val="left"/>
            </w:pPr>
            <w:r>
              <w:t xml:space="preserve">D. Use Phase</w:t>
            </w:r>
          </w:p>
        </w:tc>
        <w:tc>
          <w:tcPr/>
          <w:p>
            <w:pPr>
              <w:pStyle w:val="Compact"/>
              <w:jc w:val="left"/>
            </w:pPr>
            <w:r>
              <w:t xml:space="preserve">Scope 3 (Downstream)</w:t>
            </w:r>
          </w:p>
        </w:tc>
        <w:tc>
          <w:tcPr/>
          <w:p>
            <w:pPr>
              <w:pStyle w:val="Compact"/>
              <w:jc w:val="left"/>
            </w:pPr>
            <w:r>
              <w:t xml:space="preserve">0.030000</w:t>
            </w:r>
          </w:p>
        </w:tc>
      </w:tr>
      <w:tr>
        <w:tc>
          <w:tcPr/>
          <w:p>
            <w:pPr>
              <w:pStyle w:val="Compact"/>
              <w:jc w:val="left"/>
            </w:pPr>
            <w:r>
              <w:t xml:space="preserve">E. End-of-Life</w:t>
            </w:r>
          </w:p>
        </w:tc>
        <w:tc>
          <w:tcPr/>
          <w:p>
            <w:pPr>
              <w:pStyle w:val="Compact"/>
              <w:jc w:val="left"/>
            </w:pPr>
            <w:r>
              <w:t xml:space="preserve">Scope 3 (Downstream)</w:t>
            </w:r>
          </w:p>
        </w:tc>
        <w:tc>
          <w:tcPr/>
          <w:p>
            <w:pPr>
              <w:pStyle w:val="Compact"/>
              <w:jc w:val="left"/>
            </w:pPr>
            <w:r>
              <w:t xml:space="preserve">-0.016875</w:t>
            </w:r>
          </w:p>
        </w:tc>
      </w:tr>
      <w:tr>
        <w:tc>
          <w:tcPr>
            <w:gridSpan w:val="2"/>
          </w:tcPr>
          <w:p>
            <w:pPr>
              <w:pStyle w:val="Compact"/>
              <w:jc w:val="right"/>
            </w:pPr>
            <w:r>
              <w:t xml:space="preserve">Total Illustrative PCF:</w:t>
            </w:r>
          </w:p>
        </w:tc>
        <w:tc>
          <w:tcPr/>
          <w:p>
            <w:pPr>
              <w:pStyle w:val="Compact"/>
              <w:jc w:val="left"/>
            </w:pPr>
            <w:r>
              <w:t xml:space="preserve">0.498263 tCO2e per unit of yzlrxlwnvm</w:t>
            </w:r>
          </w:p>
        </w:tc>
      </w:tr>
    </w:tbl>
    <w:p>
      <w:pPr>
        <w:pStyle w:val="BodyText"/>
      </w:pPr>
      <w:r>
        <w:rPr>
          <w:iCs/>
          <w:i/>
        </w:rPr>
        <w:t xml:space="preserve">The total PCF is an illustrative value based on the assumed and placeholder data. Actual values would require precise data for all parameters.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illustrative"/>
    <w:p>
      <w:pPr>
        <w:pStyle w:val="Heading3"/>
      </w:pPr>
      <w:r>
        <w:t xml:space="preserve">Hotspot Analysis (Illustrative)</w:t>
      </w:r>
    </w:p>
    <w:p>
      <w:pPr>
        <w:pStyle w:val="FirstParagraph"/>
      </w:pPr>
      <w:r>
        <w:t xml:space="preserve">Based on the illustrative calculations, the primary emission hotspot for yzlrxlwnvm is clearly identified in the **Material Acquisition** phase, contributing the largest portion of the total PCF. This highlights the significant impact of raw material production and processing on the product\'s overall footprint.</w:t>
      </w:r>
    </w:p>
    <w:p>
      <w:pPr>
        <w:numPr>
          <w:ilvl w:val="0"/>
          <w:numId w:val="1014"/>
        </w:numPr>
        <w:pStyle w:val="Compact"/>
      </w:pPr>
      <w:r>
        <w:rPr>
          <w:bCs/>
          <w:b/>
        </w:rPr>
        <w:t xml:space="preserve">Material Acquisition (Scope 3 Upstream):</w:t>
      </w:r>
      <w:r>
        <w:t xml:space="preserve"> </w:t>
      </w:r>
      <w:r>
        <w:t xml:space="preserve">~96% of the total positive emissions.</w:t>
      </w:r>
    </w:p>
    <w:p>
      <w:pPr>
        <w:numPr>
          <w:ilvl w:val="0"/>
          <w:numId w:val="1014"/>
        </w:numPr>
        <w:pStyle w:val="Compact"/>
      </w:pPr>
      <w:r>
        <w:rPr>
          <w:bCs/>
          <w:b/>
        </w:rPr>
        <w:t xml:space="preserve">Use Phase (Scope 3 Downstream):</w:t>
      </w:r>
      <w:r>
        <w:t xml:space="preserve"> </w:t>
      </w:r>
      <w:r>
        <w:t xml:space="preserve">~6% of the total positive emissions.</w:t>
      </w:r>
    </w:p>
    <w:p>
      <w:pPr>
        <w:numPr>
          <w:ilvl w:val="0"/>
          <w:numId w:val="1014"/>
        </w:numPr>
        <w:pStyle w:val="Compact"/>
      </w:pPr>
      <w:r>
        <w:rPr>
          <w:bCs/>
          <w:b/>
        </w:rPr>
        <w:t xml:space="preserve">Production (Scope 1 &amp; 2):</w:t>
      </w:r>
      <w:r>
        <w:t xml:space="preserve"> </w:t>
      </w:r>
      <w:r>
        <w:t xml:space="preserve">Relatively minor contribution, indicating efficient manufacturing or high renewable energy use.</w:t>
      </w:r>
    </w:p>
    <w:p>
      <w:pPr>
        <w:numPr>
          <w:ilvl w:val="0"/>
          <w:numId w:val="1014"/>
        </w:numPr>
        <w:pStyle w:val="Compact"/>
      </w:pPr>
      <w:r>
        <w:rPr>
          <w:bCs/>
          <w:b/>
        </w:rPr>
        <w:t xml:space="preserve">Transport (Scope 3 Upstream &amp; Downstream):</w:t>
      </w:r>
      <w:r>
        <w:t xml:space="preserve"> </w:t>
      </w:r>
      <w:r>
        <w:t xml:space="preserve">Low relative contribution, but important for specific routes and modes.</w:t>
      </w:r>
    </w:p>
    <w:p>
      <w:pPr>
        <w:numPr>
          <w:ilvl w:val="0"/>
          <w:numId w:val="1014"/>
        </w:numPr>
        <w:pStyle w:val="Compact"/>
      </w:pPr>
      <w:r>
        <w:rPr>
          <w:bCs/>
          <w:b/>
        </w:rPr>
        <w:t xml:space="preserve">End-of-Life (Scope 3 Downstream):</w:t>
      </w:r>
      <w:r>
        <w:t xml:space="preserve"> </w:t>
      </w:r>
      <w:r>
        <w:t xml:space="preserve">Shows a net credit, indicating the positive impact of high recyclability and circular programs.</w:t>
      </w:r>
    </w:p>
    <w:bookmarkEnd w:id="43"/>
    <w:bookmarkStart w:id="44" w:name="reliability-and-data-gaps"/>
    <w:p>
      <w:pPr>
        <w:pStyle w:val="Heading3"/>
      </w:pPr>
      <w:r>
        <w:t xml:space="preserve">Reliability and Data Gaps</w:t>
      </w:r>
    </w:p>
    <w:p>
      <w:pPr>
        <w:pStyle w:val="FirstParagraph"/>
      </w:pPr>
      <w:r>
        <w:t xml:space="preserve">The reliability of this report is directly dependent on the accuracy and completeness of the input data. As placeholder values were used for many parameters (e.g., `lvdefkil`, `fzszgffdup`, `vpvxgsrjzg`), the absolute emission figures are illustrative. For a definitive PCF, primary data collection for all lifecycle stages, especially specific supplier emission factors and detailed energy consumption, would be paramount. Data from reputable secondary sources (e.g., Ecoinvent, DEFRA) are generally considered robust for industry averages.</w:t>
      </w:r>
    </w:p>
    <w:bookmarkEnd w:id="44"/>
    <w:bookmarkStart w:id="45" w:name="recommendations-for-wfyxqnkmzj"/>
    <w:p>
      <w:pPr>
        <w:pStyle w:val="Heading3"/>
      </w:pPr>
      <w:r>
        <w:t xml:space="preserve">Recommendations for wfyxqnkmzj</w:t>
      </w:r>
    </w:p>
    <w:p>
      <w:pPr>
        <w:pStyle w:val="FirstParagraph"/>
      </w:pPr>
      <w:r>
        <w:t xml:space="preserve">To further reduce the PCF of yzlrxlwnvm and enhance sustainability, the following actions are recommended:</w:t>
      </w:r>
    </w:p>
    <w:p>
      <w:pPr>
        <w:numPr>
          <w:ilvl w:val="0"/>
          <w:numId w:val="1015"/>
        </w:numPr>
        <w:pStyle w:val="Compact"/>
      </w:pPr>
      <w:r>
        <w:rPr>
          <w:bCs/>
          <w:b/>
        </w:rPr>
        <w:t xml:space="preserve">Focus on Material Optimization:</w:t>
      </w:r>
      <w:r>
        <w:t xml:space="preserve"> </w:t>
      </w:r>
      <w:r>
        <w:t xml:space="preserve">Investigate opportunities to reduce the quantity of high-impact materials, substitute them with lower-carbon alternatives, or source materials with certified lower embodied carbon.</w:t>
      </w:r>
    </w:p>
    <w:p>
      <w:pPr>
        <w:numPr>
          <w:ilvl w:val="0"/>
          <w:numId w:val="1015"/>
        </w:numPr>
        <w:pStyle w:val="Compact"/>
      </w:pPr>
      <w:r>
        <w:rPr>
          <w:bCs/>
          <w:b/>
        </w:rPr>
        <w:t xml:space="preserve">Supply Chain Engagement:</w:t>
      </w:r>
      <w:r>
        <w:t xml:space="preserve"> </w:t>
      </w:r>
      <w:r>
        <w:t xml:space="preserve">Collaborate with key material suppliers to gather more specific primary data and encourage them to reduce their own upstream emissions.</w:t>
      </w:r>
    </w:p>
    <w:p>
      <w:pPr>
        <w:numPr>
          <w:ilvl w:val="0"/>
          <w:numId w:val="1015"/>
        </w:numPr>
        <w:pStyle w:val="Compact"/>
      </w:pPr>
      <w:r>
        <w:rPr>
          <w:bCs/>
          <w:b/>
        </w:rPr>
        <w:t xml:space="preserve">Enhance Circularity:</w:t>
      </w:r>
      <w:r>
        <w:t xml:space="preserve"> </w:t>
      </w:r>
      <w:r>
        <w:t xml:space="preserve">Leverage the existing high recyclability (porkgstrng) and circular programs (qntygsnxdp). Explore design for disassembly and repairability to extend product lifespan and facilitate material recovery.</w:t>
      </w:r>
    </w:p>
    <w:p>
      <w:pPr>
        <w:numPr>
          <w:ilvl w:val="0"/>
          <w:numId w:val="1015"/>
        </w:numPr>
        <w:pStyle w:val="Compact"/>
      </w:pPr>
      <w:r>
        <w:rPr>
          <w:bCs/>
          <w:b/>
        </w:rPr>
        <w:t xml:space="preserve">Energy Efficiency in Use:</w:t>
      </w:r>
      <w:r>
        <w:t xml:space="preserve"> </w:t>
      </w:r>
      <w:r>
        <w:t xml:space="preserve">If feasible, explore design improvements that reduce energy consumption during the use phase (visletutot) of the product.</w:t>
      </w:r>
    </w:p>
    <w:p>
      <w:pPr>
        <w:numPr>
          <w:ilvl w:val="0"/>
          <w:numId w:val="1015"/>
        </w:numPr>
        <w:pStyle w:val="Compact"/>
      </w:pPr>
      <w:r>
        <w:rPr>
          <w:bCs/>
          <w:b/>
        </w:rPr>
        <w:t xml:space="preserve">Logistics Optimization:</w:t>
      </w:r>
      <w:r>
        <w:t xml:space="preserve"> </w:t>
      </w:r>
      <w:r>
        <w:t xml:space="preserve">While transport is a smaller contributor, optimize shipping routes, consider modes with lower emission factors (e.g., rail over road where possible), and consolidate shipments.</w:t>
      </w:r>
    </w:p>
    <w:p>
      <w:pPr>
        <w:numPr>
          <w:ilvl w:val="0"/>
          <w:numId w:val="1015"/>
        </w:numPr>
        <w:pStyle w:val="Compact"/>
      </w:pPr>
      <w:r>
        <w:rPr>
          <w:bCs/>
          <w:b/>
        </w:rPr>
        <w:t xml:space="preserve">GHG Protocol &amp; LSR Compliance:</w:t>
      </w:r>
      <w:r>
        <w:t xml:space="preserve"> </w:t>
      </w:r>
      <w:r>
        <w:t xml:space="preserve">Continue to refine data collection to ensure robust 95% Scope 3 coverage and accurate application of the 2026 LSR Standard as more specific land-use data becomes available.</w:t>
      </w:r>
    </w:p>
    <w:p>
      <w:r>
        <w:pict>
          <v:rect style="width:0;height:1.5pt" o:hralign="center" o:hrstd="t" o:hr="t"/>
        </w:pict>
      </w:r>
    </w:p>
    <w:bookmarkEnd w:id="45"/>
    <w:bookmarkEnd w:id="46"/>
    <w:bookmarkStart w:id="48" w:name="disclaimer"/>
    <w:p>
      <w:pPr>
        <w:pStyle w:val="Heading2"/>
      </w:pPr>
      <w:r>
        <w:t xml:space="preserve">Disclaimer</w:t>
      </w:r>
    </w:p>
    <w:p>
      <w:pPr>
        <w:pStyle w:val="FirstParagraph"/>
      </w:pPr>
      <w:r>
        <w:t xml:space="preserve">This Product Carbon Footprint report for yzlrxlwnvm has been compiled by vmuyrhjhuq, Senior Sustainability Consultant at wfyxqnkmzj, based on the parameters and placeholder data provided. While every effort has been made to adhere to the GHG Protocol Product Standard and industry best practices, the illustrative nature of certain data points means the calculated total carbon footprint should be considered an estimation. For precise carbon accounting, comprehensive primary data collection across the entire value chain is recommended. This report is intended for internal strategic planning and sustainability improvement initiatives.</w:t>
      </w:r>
    </w:p>
    <w:p>
      <w:pPr>
        <w:pStyle w:val="BodyText"/>
      </w:pPr>
      <w:r>
        <w:t xml:space="preserve">Confidential - Internal Use Only | Page</w:t>
      </w:r>
      <w:r>
        <w:t xml:space="preserve"> </w:t>
      </w:r>
      <w:bookmarkStart w:id="47" w:name="page-number"/>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yzlrxlwnvm</dc:title>
  <dc:creator/>
  <dc:description>High-detail Product Carbon Footprint (PCF) analysis for yzlrxlwnvm, performed by vmuyrhjhuq, Senior Sustainability Consultant at wfyxqnkmzj, adhering to GHG Protocol and 2026 LSR Update requirements.</dc:description>
  <dc:language>en</dc:language>
  <cp:keywords/>
  <dcterms:created xsi:type="dcterms:W3CDTF">2026-05-30T10:35:21Z</dcterms:created>
  <dcterms:modified xsi:type="dcterms:W3CDTF">2026-05-30T10:35:21Z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