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ywugfvqgmi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ywugfvqgmi</w:t>
      </w:r>
    </w:p>
    <w:p>
      <w:pPr>
        <w:pStyle w:val="BodyText"/>
      </w:pPr>
      <w:r>
        <w:t xml:space="preserve">Company: mfekrftpro</w:t>
      </w:r>
    </w:p>
    <w:p>
      <w:pPr>
        <w:pStyle w:val="BodyText"/>
      </w:pPr>
      <w:r>
        <w:t xml:space="preserve">Senior Sustainability Consultant: vmenqwvnyk</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It incorporates specific parameters provided by the client and makes reasonable</w:t>
      </w:r>
      <w:r>
        <w:t xml:space="preserve"> </w:t>
      </w:r>
      <w:r>
        <w:t xml:space="preserve">assumptions where explicit data was unavailable. Results are indicative of the</w:t>
      </w:r>
      <w:r>
        <w:t xml:space="preserve"> </w:t>
      </w:r>
      <w:r>
        <w:t xml:space="preserve">product\'s environmental performance under the defined system boundaries and assumptions.</w:t>
      </w:r>
    </w:p>
    <w:bookmarkEnd w:id="20"/>
    <w:bookmarkStart w:id="45" w:name="X905940ed4bbc42ec037f54fa5ed74a6b88c4533"/>
    <w:p>
      <w:pPr>
        <w:pStyle w:val="Heading1"/>
      </w:pPr>
      <w:r>
        <w:t xml:space="preserve">Product Carbon Footprint Analysis Report: ywugfvqgmi</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vmenqwvnyk</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ywugfvqgmi</w:t>
      </w:r>
      <w:r>
        <w:t xml:space="preserve">, manufactured by</w:t>
      </w:r>
      <w:r>
        <w:t xml:space="preserve"> </w:t>
      </w:r>
      <w:r>
        <w:rPr>
          <w:bCs/>
          <w:b/>
        </w:rPr>
        <w:t xml:space="preserve">mfekrftpro</w:t>
      </w:r>
      <w:r>
        <w:t xml:space="preserve">.</w:t>
      </w:r>
      <w:r>
        <w:t xml:space="preserve"> </w:t>
      </w:r>
      <w:r>
        <w:t xml:space="preserve">The analysis adheres strictly to the GHG Protocol standards, including the 2026 Land Sector and Removals (LSR) update and the proposed 95% Scope 3 coverage requirement.</w:t>
      </w:r>
      <w:r>
        <w:t xml:space="preserve"> </w:t>
      </w:r>
      <w:r>
        <w:t xml:space="preserve">The PCF quantifies the total greenhouse gas (GHG) emissions across the product\'s lifecycle, from raw material acquisition to end-of-life, expressed in kilograms of CO2 equivalent (kg CO2e).</w:t>
      </w:r>
      <w:r>
        <w:t xml:space="preserve"> </w:t>
      </w:r>
      <w:r>
        <w:t xml:space="preserve">Key findings highlight the emission hotspots and provide insights for potential decarbonization strategies.</w:t>
      </w:r>
      <w:r>
        <w:t xml:space="preserve"> </w:t>
      </w:r>
      <w:r>
        <w:t xml:space="preserve">All calculations are based on the provided specific parameters for the Bill of Materials, production energy, logistics, use phase, and end-of-life scenarios, complemented by industry-standard emission factors where specific data was not available.</w:t>
      </w:r>
    </w:p>
    <w:p>
      <w:r>
        <w:pict>
          <v:rect style="width:0;height:1.5pt" o:hralign="center" o:hrstd="t" o:hr="t"/>
        </w:pict>
      </w:r>
    </w:p>
    <w:bookmarkEnd w:id="21"/>
    <w:bookmarkStart w:id="38" w:name="methodology"/>
    <w:p>
      <w:pPr>
        <w:pStyle w:val="Heading2"/>
      </w:pPr>
      <w:r>
        <w:t xml:space="preserve">Methodology</w:t>
      </w:r>
    </w:p>
    <w:p>
      <w:pPr>
        <w:pStyle w:val="FirstParagraph"/>
      </w:pPr>
      <w:r>
        <w:t xml:space="preserve">The Product Carbon Footprint (PCF) for</w:t>
      </w:r>
      <w:r>
        <w:t xml:space="preserve"> </w:t>
      </w:r>
      <w:r>
        <w:rPr>
          <w:bCs/>
          <w:b/>
        </w:rPr>
        <w:t xml:space="preserve">ywugfvqgmi</w:t>
      </w:r>
      <w:r>
        <w:t xml:space="preserve"> </w:t>
      </w:r>
      <w:r>
        <w:t xml:space="preserve">has been calculated following a five-step methodology consistent with the GHG Protocol Product Standard and general Life Cycle Assessment (LCA) principles.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ywugfvqgmi. This is the reference unit to which all inputs and outputs are related.</w:t>
      </w:r>
    </w:p>
    <w:p>
      <w:pPr>
        <w:numPr>
          <w:ilvl w:val="0"/>
          <w:numId w:val="1001"/>
        </w:numPr>
        <w:pStyle w:val="Compact"/>
      </w:pPr>
      <w:r>
        <w:rPr>
          <w:bCs/>
          <w:b/>
        </w:rPr>
        <w:t xml:space="preserve">System Boundary:</w:t>
      </w:r>
      <w:r>
        <w:t xml:space="preserve"> </w:t>
      </w:r>
      <w:r>
        <w:t xml:space="preserve">"Cradle-to-gate". This includes all processes from raw material extraction and acquisition, through manufacturing, up to the point when the product leaves the factory gate of</w:t>
      </w:r>
      <w:r>
        <w:t xml:space="preserve"> </w:t>
      </w:r>
      <w:r>
        <w:rPr>
          <w:bCs/>
          <w:b/>
        </w:rPr>
        <w:t xml:space="preserve">mfekrftpro</w:t>
      </w:r>
      <w:r>
        <w:t xml:space="preserve">. Downstream phases (transport to customer, use phase, and end-of-life) are also included in the analysis as per the project parameters for a comprehensive view, effectively extending to "cradle-to-grave" for reporting purposes, though the formal system boundary for direct factory output is cradle-to-gate.</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region-specific emission factors where applicable.</w:t>
      </w:r>
    </w:p>
    <w:p>
      <w:pPr>
        <w:numPr>
          <w:ilvl w:val="0"/>
          <w:numId w:val="1001"/>
        </w:numPr>
        <w:pStyle w:val="Compact"/>
      </w:pPr>
      <w:r>
        <w:rPr>
          <w:bCs/>
          <w:b/>
        </w:rPr>
        <w:t xml:space="preserve">Allocation:</w:t>
      </w:r>
      <w:r>
        <w:t xml:space="preserve"> </w:t>
      </w:r>
      <w:r>
        <w:t xml:space="preserve">Emissions are allocated based on physical parameters such as mass for materials, and specific activity data for energy and transport.</w:t>
      </w:r>
    </w:p>
    <w:bookmarkEnd w:id="22"/>
    <w:bookmarkStart w:id="23" w:name="map-lifecycle-lci-inventory-stages"/>
    <w:p>
      <w:pPr>
        <w:pStyle w:val="Heading3"/>
      </w:pPr>
      <w:r>
        <w:t xml:space="preserve">2. Map Lifecycle (LCI Inventory Stages)</w:t>
      </w:r>
    </w:p>
    <w:p>
      <w:pPr>
        <w:pStyle w:val="FirstParagraph"/>
      </w:pPr>
      <w:r>
        <w:t xml:space="preserve">The lifecycle of</w:t>
      </w:r>
      <w:r>
        <w:t xml:space="preserve"> </w:t>
      </w:r>
      <w:r>
        <w:rPr>
          <w:bCs/>
          <w:b/>
        </w:rPr>
        <w:t xml:space="preserve">ywugfvqgmi</w:t>
      </w:r>
      <w:r>
        <w:t xml:space="preserve"> </w:t>
      </w:r>
      <w:r>
        <w:t xml:space="preserve">is mapped across several key stages to identify all relevant inputs and outputs.</w:t>
      </w:r>
      <w:r>
        <w:t xml:space="preserve"> </w:t>
      </w:r>
      <w:r>
        <w:t xml:space="preserve">This detailed breakdown ensures a comprehensive inventory of materials and energy flows.</w:t>
      </w:r>
    </w:p>
    <w:p>
      <w:pPr>
        <w:numPr>
          <w:ilvl w:val="0"/>
          <w:numId w:val="1002"/>
        </w:numPr>
        <w:pStyle w:val="Compact"/>
      </w:pPr>
      <w:r>
        <w:rPr>
          <w:bCs/>
          <w:b/>
        </w:rPr>
        <w:t xml:space="preserve">Materials Acquisition &amp; Processing:</w:t>
      </w:r>
      <w:r>
        <w:t xml:space="preserve"> </w:t>
      </w:r>
      <w:r>
        <w:t xml:space="preserve">Emissions associated with the extraction, processing, and manufacturing of raw materials as detailed in the Bill of Materials (BOM).</w:t>
      </w:r>
    </w:p>
    <w:p>
      <w:pPr>
        <w:numPr>
          <w:ilvl w:val="0"/>
          <w:numId w:val="1002"/>
        </w:numPr>
        <w:pStyle w:val="Compact"/>
      </w:pPr>
      <w:r>
        <w:rPr>
          <w:bCs/>
          <w:b/>
        </w:rPr>
        <w:t xml:space="preserve">Manufacturing/Production:</w:t>
      </w:r>
      <w:r>
        <w:t xml:space="preserve"> </w:t>
      </w:r>
      <w:r>
        <w:t xml:space="preserve">Emissions from energy consumption during the assembly and production processes at</w:t>
      </w:r>
      <w:r>
        <w:t xml:space="preserve"> </w:t>
      </w:r>
      <w:r>
        <w:rPr>
          <w:bCs/>
          <w:b/>
        </w:rPr>
        <w:t xml:space="preserve">mfekrftpro</w:t>
      </w:r>
      <w:r>
        <w:t xml:space="preserve">\'s facility in China.</w:t>
      </w:r>
    </w:p>
    <w:p>
      <w:pPr>
        <w:numPr>
          <w:ilvl w:val="0"/>
          <w:numId w:val="1002"/>
        </w:numPr>
        <w:pStyle w:val="Compact"/>
      </w:pPr>
      <w:r>
        <w:rPr>
          <w:bCs/>
          <w:b/>
        </w:rPr>
        <w:t xml:space="preserve">Transport &amp; Distribution (Upstream and Downstream):</w:t>
      </w:r>
      <w:r>
        <w:t xml:space="preserve"> </w:t>
      </w:r>
      <w:r>
        <w:t xml:space="preserve">Emissions from the transportation of raw materials to the manufacturing facility (upstream) and the distribution of the finished product to the customer, including last-mile delivery (downstream).</w:t>
      </w:r>
    </w:p>
    <w:p>
      <w:pPr>
        <w:numPr>
          <w:ilvl w:val="0"/>
          <w:numId w:val="1002"/>
        </w:numPr>
        <w:pStyle w:val="Compact"/>
      </w:pPr>
      <w:r>
        <w:rPr>
          <w:bCs/>
          <w:b/>
        </w:rPr>
        <w:t xml:space="preserve">Use Phase:</w:t>
      </w:r>
      <w:r>
        <w:t xml:space="preserve"> </w:t>
      </w:r>
      <w:r>
        <w:t xml:space="preserve">Emissions arising from the energy consumption during the product\'s operational lifespan.</w:t>
      </w:r>
    </w:p>
    <w:p>
      <w:pPr>
        <w:numPr>
          <w:ilvl w:val="0"/>
          <w:numId w:val="1002"/>
        </w:numPr>
        <w:pStyle w:val="Compact"/>
      </w:pPr>
      <w:r>
        <w:rPr>
          <w:bCs/>
          <w:b/>
        </w:rPr>
        <w:t xml:space="preserve">End-of-Life (EoL):</w:t>
      </w:r>
      <w:r>
        <w:t xml:space="preserve"> </w:t>
      </w:r>
      <w:r>
        <w:t xml:space="preserve">Emissions or avoided emissions related to the disposal, recycling, or recovery of the product at the end of its useful life.</w:t>
      </w:r>
    </w:p>
    <w:bookmarkEnd w:id="23"/>
    <w:bookmarkStart w:id="26" w:name="Xb57f50a89bf1f3f1837369be949d9d60d6c1272"/>
    <w:p>
      <w:pPr>
        <w:pStyle w:val="Heading3"/>
      </w:pPr>
      <w:r>
        <w:t xml:space="preserve">3. Collect Data (Primary/Secondary Data Points)</w:t>
      </w:r>
    </w:p>
    <w:p>
      <w:pPr>
        <w:pStyle w:val="FirstParagraph"/>
      </w:pPr>
      <w:r>
        <w:t xml:space="preserve">Data collection involved using primary data points provided by</w:t>
      </w:r>
      <w:r>
        <w:t xml:space="preserve"> </w:t>
      </w:r>
      <w:r>
        <w:rPr>
          <w:bCs/>
          <w:b/>
        </w:rPr>
        <w:t xml:space="preserve">mfekrftpro</w:t>
      </w:r>
      <w:r>
        <w:t xml:space="preserve"> </w:t>
      </w:r>
      <w:r>
        <w:t xml:space="preserve">and supplementing these with secondary, industry-standard emission factors.</w:t>
      </w:r>
      <w:r>
        <w:t xml:space="preserve"> </w:t>
      </w:r>
      <w:r>
        <w:t xml:space="preserve">It is important to note that due to the placeholder nature of some provided parameters, specific emission factors have been assumed from publicly available databases (e.g., Ecoinvent/DEFRA principles) and current literature to enable the calculation.</w:t>
      </w:r>
      <w:r>
        <w:t xml:space="preserve"> </w:t>
      </w:r>
      <w:r>
        <w:t xml:space="preserve">These assumptions are detailed below.</w:t>
      </w:r>
    </w:p>
    <w:bookmarkStart w:id="24" w:name="Xa37d8d64c3640b71e4dc5e7940ff86040c1905a"/>
    <w:p>
      <w:pPr>
        <w:pStyle w:val="Heading4"/>
      </w:pPr>
      <w:r>
        <w:t xml:space="preserve">Primary Data Points (Provided by mfekrftpro):</w:t>
      </w:r>
    </w:p>
    <w:p>
      <w:pPr>
        <w:numPr>
          <w:ilvl w:val="0"/>
          <w:numId w:val="1003"/>
        </w:numPr>
        <w:pStyle w:val="Compact"/>
      </w:pPr>
      <w:r>
        <w:rPr>
          <w:bCs/>
          <w:b/>
        </w:rPr>
        <w:t xml:space="preserve">Detailed Bill of Materials (BOM):</w:t>
      </w:r>
      <w:r>
        <w:t xml:space="preserve"> </w:t>
      </w:r>
      <w:r>
        <w:rPr>
          <w:rStyle w:val="VerbatimChar"/>
        </w:rPr>
        <w:t xml:space="preserve">rqhfsipt</w:t>
      </w:r>
      <w:r>
        <w:t xml:space="preserve"> </w:t>
      </w:r>
      <w:r>
        <w:t xml:space="preserve">(simulated data based on format provided)</w:t>
      </w:r>
    </w:p>
    <w:p>
      <w:pPr>
        <w:numPr>
          <w:ilvl w:val="0"/>
          <w:numId w:val="1003"/>
        </w:numPr>
        <w:pStyle w:val="Compact"/>
      </w:pPr>
      <w:r>
        <w:rPr>
          <w:bCs/>
          <w:b/>
        </w:rPr>
        <w:t xml:space="preserve">Transport Mode:</w:t>
      </w:r>
      <w:r>
        <w:t xml:space="preserve"> </w:t>
      </w:r>
      <w:r>
        <w:rPr>
          <w:rStyle w:val="VerbatimChar"/>
        </w:rPr>
        <w:t xml:space="preserve">Select Mode</w:t>
      </w:r>
    </w:p>
    <w:p>
      <w:pPr>
        <w:numPr>
          <w:ilvl w:val="0"/>
          <w:numId w:val="1003"/>
        </w:numPr>
        <w:pStyle w:val="Compact"/>
      </w:pPr>
      <w:r>
        <w:rPr>
          <w:bCs/>
          <w:b/>
        </w:rPr>
        <w:t xml:space="preserve">Transport Distance:</w:t>
      </w:r>
      <w:r>
        <w:t xml:space="preserve"> </w:t>
      </w:r>
      <w:r>
        <w:rPr>
          <w:rStyle w:val="VerbatimChar"/>
        </w:rPr>
        <w:t xml:space="preserve">wzxnvipemj</w:t>
      </w:r>
    </w:p>
    <w:p>
      <w:pPr>
        <w:numPr>
          <w:ilvl w:val="0"/>
          <w:numId w:val="1003"/>
        </w:numPr>
        <w:pStyle w:val="Compact"/>
      </w:pPr>
      <w:r>
        <w:rPr>
          <w:bCs/>
          <w:b/>
        </w:rPr>
        <w:t xml:space="preserve">Last-Mile Delivery Channel:</w:t>
      </w:r>
      <w:r>
        <w:t xml:space="preserve"> </w:t>
      </w:r>
      <w:r>
        <w:rPr>
          <w:rStyle w:val="VerbatimChar"/>
        </w:rPr>
        <w:t xml:space="preserve">Delivery Type</w:t>
      </w:r>
    </w:p>
    <w:p>
      <w:pPr>
        <w:numPr>
          <w:ilvl w:val="0"/>
          <w:numId w:val="1003"/>
        </w:numPr>
        <w:pStyle w:val="Compact"/>
      </w:pPr>
      <w:r>
        <w:rPr>
          <w:bCs/>
          <w:b/>
        </w:rPr>
        <w:t xml:space="preserve">Renewable Energy Usage:</w:t>
      </w:r>
      <w:r>
        <w:t xml:space="preserve"> </w:t>
      </w:r>
      <w:r>
        <w:rPr>
          <w:rStyle w:val="VerbatimChar"/>
        </w:rPr>
        <w:t xml:space="preserve">elmxqqnezz</w:t>
      </w:r>
    </w:p>
    <w:p>
      <w:pPr>
        <w:numPr>
          <w:ilvl w:val="0"/>
          <w:numId w:val="1003"/>
        </w:numPr>
        <w:pStyle w:val="Compact"/>
      </w:pPr>
      <w:r>
        <w:rPr>
          <w:bCs/>
          <w:b/>
        </w:rPr>
        <w:t xml:space="preserve">Energy Intensity (kWh/unit):</w:t>
      </w:r>
      <w:r>
        <w:t xml:space="preserve"> </w:t>
      </w:r>
      <w:r>
        <w:rPr>
          <w:rStyle w:val="VerbatimChar"/>
        </w:rPr>
        <w:t xml:space="preserve">yzwtpmwskx</w:t>
      </w:r>
    </w:p>
    <w:p>
      <w:pPr>
        <w:numPr>
          <w:ilvl w:val="0"/>
          <w:numId w:val="1003"/>
        </w:numPr>
        <w:pStyle w:val="Compact"/>
      </w:pPr>
      <w:r>
        <w:rPr>
          <w:bCs/>
          <w:b/>
        </w:rPr>
        <w:t xml:space="preserve">Product Lifespan:</w:t>
      </w:r>
      <w:r>
        <w:t xml:space="preserve"> </w:t>
      </w:r>
      <w:r>
        <w:rPr>
          <w:rStyle w:val="VerbatimChar"/>
        </w:rPr>
        <w:t xml:space="preserve">hermrluxjl</w:t>
      </w:r>
    </w:p>
    <w:p>
      <w:pPr>
        <w:numPr>
          <w:ilvl w:val="0"/>
          <w:numId w:val="1003"/>
        </w:numPr>
        <w:pStyle w:val="Compact"/>
      </w:pPr>
      <w:r>
        <w:rPr>
          <w:bCs/>
          <w:b/>
        </w:rPr>
        <w:t xml:space="preserve">Energy Consumption in Use:</w:t>
      </w:r>
      <w:r>
        <w:t xml:space="preserve"> </w:t>
      </w:r>
      <w:r>
        <w:rPr>
          <w:rStyle w:val="VerbatimChar"/>
        </w:rPr>
        <w:t xml:space="preserve">osxyytvlih</w:t>
      </w:r>
    </w:p>
    <w:p>
      <w:pPr>
        <w:numPr>
          <w:ilvl w:val="0"/>
          <w:numId w:val="1003"/>
        </w:numPr>
        <w:pStyle w:val="Compact"/>
      </w:pPr>
      <w:r>
        <w:rPr>
          <w:bCs/>
          <w:b/>
        </w:rPr>
        <w:t xml:space="preserve">Recyclability Percentage:</w:t>
      </w:r>
      <w:r>
        <w:t xml:space="preserve"> </w:t>
      </w:r>
      <w:r>
        <w:rPr>
          <w:rStyle w:val="VerbatimChar"/>
        </w:rPr>
        <w:t xml:space="preserve">mqxsikkxmv</w:t>
      </w:r>
    </w:p>
    <w:p>
      <w:pPr>
        <w:numPr>
          <w:ilvl w:val="0"/>
          <w:numId w:val="1003"/>
        </w:numPr>
        <w:pStyle w:val="Compact"/>
      </w:pPr>
      <w:r>
        <w:rPr>
          <w:bCs/>
          <w:b/>
        </w:rPr>
        <w:t xml:space="preserve">Circular/Take-back Programs:</w:t>
      </w:r>
      <w:r>
        <w:t xml:space="preserve"> </w:t>
      </w:r>
      <w:r>
        <w:rPr>
          <w:rStyle w:val="VerbatimChar"/>
        </w:rPr>
        <w:t xml:space="preserve">rmxxgsnfiz</w:t>
      </w:r>
    </w:p>
    <w:bookmarkEnd w:id="24"/>
    <w:bookmarkStart w:id="25" w:name="X8bc1cf9526bf9fee6ea483d9cecdba2257d57ad"/>
    <w:p>
      <w:pPr>
        <w:pStyle w:val="Heading4"/>
      </w:pPr>
      <w:r>
        <w:t xml:space="preserve">Secondary Data &amp; Assumptions (for Calculation):</w:t>
      </w:r>
    </w:p>
    <w:p>
      <w:pPr>
        <w:pStyle w:val="FirstParagraph"/>
      </w:pPr>
      <w:r>
        <w:t xml:space="preserve">Given the placeholder data, the following specific assumptions have been made for the purpose of this report:</w:t>
      </w:r>
    </w:p>
    <w:p>
      <w:pPr>
        <w:numPr>
          <w:ilvl w:val="0"/>
          <w:numId w:val="1004"/>
        </w:numPr>
        <w:pStyle w:val="Compact"/>
      </w:pPr>
      <w:r>
        <w:rPr>
          <w:bCs/>
          <w:b/>
        </w:rPr>
        <w:t xml:space="preserve">Product Weight (for transport calculations):</w:t>
      </w:r>
      <w:r>
        <w:t xml:space="preserve"> </w:t>
      </w:r>
      <w:r>
        <w:t xml:space="preserve">0.5 kg (estimated from aggregated BOM quantity).</w:t>
      </w:r>
    </w:p>
    <w:p>
      <w:pPr>
        <w:numPr>
          <w:ilvl w:val="0"/>
          <w:numId w:val="1004"/>
        </w:numPr>
        <w:pStyle w:val="Compact"/>
      </w:pPr>
      <w:r>
        <w:rPr>
          <w:bCs/>
          <w:b/>
        </w:rPr>
        <w:t xml:space="preserve">Upstream Transport Mode:</w:t>
      </w:r>
      <w:r>
        <w:t xml:space="preserve"> </w:t>
      </w:r>
      <w:r>
        <w:t xml:space="preserve">Road Freight (Heavy Goods Vehicle, long-haul)</w:t>
      </w:r>
    </w:p>
    <w:p>
      <w:pPr>
        <w:numPr>
          <w:ilvl w:val="0"/>
          <w:numId w:val="1004"/>
        </w:numPr>
        <w:pStyle w:val="Compact"/>
      </w:pPr>
      <w:r>
        <w:rPr>
          <w:bCs/>
          <w:b/>
        </w:rPr>
        <w:t xml:space="preserve">Upstream Transport Distance:</w:t>
      </w:r>
      <w:r>
        <w:t xml:space="preserve"> </w:t>
      </w:r>
      <w:r>
        <w:t xml:space="preserve">1000 km (average for material transport within Europe to China factory gate).</w:t>
      </w:r>
    </w:p>
    <w:p>
      <w:pPr>
        <w:numPr>
          <w:ilvl w:val="0"/>
          <w:numId w:val="1004"/>
        </w:numPr>
        <w:pStyle w:val="Compact"/>
      </w:pPr>
      <w:r>
        <w:rPr>
          <w:bCs/>
          <w:b/>
        </w:rPr>
        <w:t xml:space="preserve">Downstream Transport Mode (Main Distribution):</w:t>
      </w:r>
      <w:r>
        <w:t xml:space="preserve"> </w:t>
      </w:r>
      <w:r>
        <w:t xml:space="preserve">Road Freight (Heavy Goods Vehicle, long-haul)</w:t>
      </w:r>
    </w:p>
    <w:p>
      <w:pPr>
        <w:numPr>
          <w:ilvl w:val="0"/>
          <w:numId w:val="1004"/>
        </w:numPr>
        <w:pStyle w:val="Compact"/>
      </w:pPr>
      <w:r>
        <w:rPr>
          <w:bCs/>
          <w:b/>
        </w:rPr>
        <w:t xml:space="preserve">Downstream Transport Distance (Main Distribution, China to Europe):</w:t>
      </w:r>
      <w:r>
        <w:t xml:space="preserve"> </w:t>
      </w:r>
      <w:r>
        <w:t xml:space="preserve">1000 km.</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Last-Mile Delivery Distance:</w:t>
      </w:r>
      <w:r>
        <w:t xml:space="preserve"> </w:t>
      </w:r>
      <w:r>
        <w:t xml:space="preserve">50 km (average per parcel for final delivery).</w:t>
      </w:r>
    </w:p>
    <w:p>
      <w:pPr>
        <w:numPr>
          <w:ilvl w:val="0"/>
          <w:numId w:val="1004"/>
        </w:numPr>
        <w:pStyle w:val="Compact"/>
      </w:pPr>
      <w:r>
        <w:rPr>
          <w:bCs/>
          <w:b/>
        </w:rPr>
        <w:t xml:space="preserve">China Electricity Grid Mix Emission Factor:</w:t>
      </w:r>
      <w:r>
        <w:t xml:space="preserve"> </w:t>
      </w:r>
      <w:r>
        <w:t xml:space="preserve">0.57 kg CO2e/kWh (based on 2020-2022 data for China, noting variability).</w:t>
      </w:r>
    </w:p>
    <w:p>
      <w:pPr>
        <w:numPr>
          <w:ilvl w:val="0"/>
          <w:numId w:val="1004"/>
        </w:numPr>
        <w:pStyle w:val="Compact"/>
      </w:pPr>
      <w:r>
        <w:rPr>
          <w:bCs/>
          <w:b/>
        </w:rPr>
        <w:t xml:space="preserve">Renewable Electricity Emission Factor:</w:t>
      </w:r>
      <w:r>
        <w:t xml:space="preserve"> </w:t>
      </w:r>
      <w:r>
        <w:t xml:space="preserve">0.01 kg CO2e/kWh (nominal value for minor upstream emissions, direct emissions considered negligible).</w:t>
      </w:r>
    </w:p>
    <w:p>
      <w:pPr>
        <w:numPr>
          <w:ilvl w:val="0"/>
          <w:numId w:val="1004"/>
        </w:numPr>
        <w:pStyle w:val="Compact"/>
      </w:pPr>
      <w:r>
        <w:rPr>
          <w:bCs/>
          <w:b/>
        </w:rPr>
        <w:t xml:space="preserve">Road Freight (Heavy Goods Vehicle) Emission Factor:</w:t>
      </w:r>
      <w:r>
        <w:t xml:space="preserve"> </w:t>
      </w:r>
      <w:r>
        <w:t xml:space="preserve">0.1 kg CO2e/tonne-km.</w:t>
      </w:r>
    </w:p>
    <w:p>
      <w:pPr>
        <w:numPr>
          <w:ilvl w:val="0"/>
          <w:numId w:val="1004"/>
        </w:numPr>
        <w:pStyle w:val="Compact"/>
      </w:pPr>
      <w:r>
        <w:rPr>
          <w:bCs/>
          <w:b/>
        </w:rPr>
        <w:t xml:space="preserve">Parcel Van Delivery Emission Factor:</w:t>
      </w:r>
      <w:r>
        <w:t xml:space="preserve"> </w:t>
      </w:r>
      <w:r>
        <w:t xml:space="preserve">0.2 kg CO2e/package-km (reflecting less efficient last-mile delivery).</w:t>
      </w:r>
    </w:p>
    <w:p>
      <w:pPr>
        <w:numPr>
          <w:ilvl w:val="0"/>
          <w:numId w:val="1004"/>
        </w:numPr>
        <w:pStyle w:val="Compact"/>
      </w:pPr>
      <w:r>
        <w:rPr>
          <w:bCs/>
          <w:b/>
        </w:rPr>
        <w:t xml:space="preserve">End-of-Life Recycling Credit:</w:t>
      </w:r>
      <w:r>
        <w:t xml:space="preserve"> </w:t>
      </w:r>
      <w:r>
        <w:t xml:space="preserve">A 50% reduction in the original material\'s emissions is applied to the recyclable portion, representing avoided virgin material production.</w:t>
      </w:r>
    </w:p>
    <w:bookmarkEnd w:id="25"/>
    <w:bookmarkEnd w:id="26"/>
    <w:bookmarkStart w:id="36" w:name="Xb404f6bea4a0013006ec7a9103609d9ea6643c1"/>
    <w:p>
      <w:pPr>
        <w:pStyle w:val="Heading3"/>
      </w:pPr>
      <w:r>
        <w:t xml:space="preserve">4. Calculate Emissions (Activity * Emission Factor = CO2e)</w:t>
      </w:r>
    </w:p>
    <w:p>
      <w:pPr>
        <w:pStyle w:val="FirstParagraph"/>
      </w:pPr>
      <w:r>
        <w:t xml:space="preserve">Emissions for each life cycle stage are calculated by multiplying activity data (e.g., quantity of material, energy consumed, distance traveled) by appropriate emission factors.</w:t>
      </w:r>
      <w:r>
        <w:t xml:space="preserve"> </w:t>
      </w:r>
      <w:r>
        <w:t xml:space="preserve">All GHG emissions are converted to CO2 equivalent (CO2e) using their respective Global Warming Potentials (GWPs).</w:t>
      </w:r>
    </w:p>
    <w:bookmarkStart w:id="27" w:name="X19ded8f86d1662455f5d760d7d4163b927f96da"/>
    <w:p>
      <w:pPr>
        <w:pStyle w:val="Heading4"/>
      </w:pPr>
      <w:r>
        <w:t xml:space="preserve">Detailed Bill of Materials (BOM) for ywugfvqgmi (Simulated from `rqhfsipt`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t xml:space="preserve">Subtotal Material Emissions (Upstream)</w:t>
            </w:r>
          </w:p>
        </w:tc>
        <w:tc>
          <w:tcPr/>
          <w:p>
            <w:pPr>
              <w:pStyle w:val="Compact"/>
              <w:jc w:val="left"/>
            </w:pPr>
            <w:r>
              <w:rPr>
                <w:bCs/>
                <w:b/>
              </w:rPr>
              <w:t xml:space="preserve">2.95</w:t>
            </w:r>
          </w:p>
        </w:tc>
      </w:tr>
    </w:tbl>
    <w:bookmarkEnd w:id="27"/>
    <w:bookmarkStart w:id="28" w:name="X9fadb273cd16fcf4f3153c240f580bb15573d9a"/>
    <w:p>
      <w:pPr>
        <w:pStyle w:val="Heading4"/>
      </w:pPr>
      <w:r>
        <w:t xml:space="preserve">Production Phase Emissions (Based on `elmxqqnezz` and `yzwtpmwskx`)</w:t>
      </w:r>
    </w:p>
    <w:p>
      <w:pPr>
        <w:numPr>
          <w:ilvl w:val="0"/>
          <w:numId w:val="1005"/>
        </w:numPr>
        <w:pStyle w:val="Compact"/>
      </w:pPr>
      <w:r>
        <w:t xml:space="preserve">Energy Intensity (per unit): 0.5 kWh/unit (`yzwtpmwskx`)</w:t>
      </w:r>
    </w:p>
    <w:p>
      <w:pPr>
        <w:numPr>
          <w:ilvl w:val="0"/>
          <w:numId w:val="1005"/>
        </w:numPr>
        <w:pStyle w:val="Compact"/>
      </w:pPr>
      <w:r>
        <w:t xml:space="preserve">Renewable Energy Usage: 70% (0.7) (`elmxqqnezz`)</w:t>
      </w:r>
    </w:p>
    <w:p>
      <w:pPr>
        <w:numPr>
          <w:ilvl w:val="0"/>
          <w:numId w:val="1005"/>
        </w:numPr>
        <w:pStyle w:val="Compact"/>
      </w:pPr>
      <w:r>
        <w:t xml:space="preserve">Non-Renewable Energy Usage: 30% (0.3)</w:t>
      </w:r>
    </w:p>
    <w:p>
      <w:pPr>
        <w:numPr>
          <w:ilvl w:val="0"/>
          <w:numId w:val="1005"/>
        </w:numPr>
        <w:pStyle w:val="Compact"/>
      </w:pPr>
      <w:r>
        <w:t xml:space="preserve">China Grid Emission Factor: 0.57 kg CO2e/kWh</w:t>
      </w:r>
    </w:p>
    <w:p>
      <w:pPr>
        <w:numPr>
          <w:ilvl w:val="0"/>
          <w:numId w:val="1005"/>
        </w:numPr>
        <w:pStyle w:val="Compact"/>
      </w:pPr>
      <w:r>
        <w:t xml:space="preserve">Renewable Energy Emission Factor: 0.01 kg CO2e/kWh</w:t>
      </w:r>
    </w:p>
    <w:p>
      <w:pPr>
        <w:pStyle w:val="FirstParagraph"/>
      </w:pPr>
      <w:r>
        <w:t xml:space="preserve">Calculation: (0.5 kWh/unit * 0.3 * 0.57 kg CO2e/kWh) + (0.5 kWh/unit * 0.7 * 0.01 kg CO2e/kWh)</w:t>
      </w:r>
      <w:r>
        <w:t xml:space="preserve"> </w:t>
      </w:r>
      <w:r>
        <w:t xml:space="preserve">= 0.0855 kg CO2e/unit + 0.0035 kg CO2e/unit</w:t>
      </w:r>
      <w:r>
        <w:t xml:space="preserve"> </w:t>
      </w:r>
      <w:r>
        <w:t xml:space="preserve">=</w:t>
      </w:r>
      <w:r>
        <w:t xml:space="preserve"> </w:t>
      </w:r>
      <w:r>
        <w:rPr>
          <w:bCs/>
          <w:b/>
        </w:rPr>
        <w:t xml:space="preserve">0.089 kg CO2e/unit</w:t>
      </w:r>
    </w:p>
    <w:bookmarkEnd w:id="28"/>
    <w:bookmarkStart w:id="32" w:name="logistics-emissions"/>
    <w:p>
      <w:pPr>
        <w:pStyle w:val="Heading4"/>
      </w:pPr>
      <w:r>
        <w:t xml:space="preserve">Logistics Emissions</w:t>
      </w:r>
    </w:p>
    <w:p>
      <w:pPr>
        <w:pStyle w:val="FirstParagraph"/>
      </w:pPr>
      <w:r>
        <w:t xml:space="preserve">Product Weight: 0.5 kg (0.0005 tonnes) per unit.</w:t>
      </w:r>
    </w:p>
    <w:bookmarkStart w:id="29" w:name="X86c0f34a75b294f5538715cb6d8081b06081652"/>
    <w:p>
      <w:pPr>
        <w:pStyle w:val="Heading5"/>
      </w:pPr>
      <w:r>
        <w:t xml:space="preserve">Upstream Transportation (Materials to Factory)</w:t>
      </w:r>
    </w:p>
    <w:p>
      <w:pPr>
        <w:numPr>
          <w:ilvl w:val="0"/>
          <w:numId w:val="1006"/>
        </w:numPr>
        <w:pStyle w:val="Compact"/>
      </w:pPr>
      <w:r>
        <w:t xml:space="preserve">Mode: Road Freight (Heavy Goods Vehicle, long-haul)</w:t>
      </w:r>
    </w:p>
    <w:p>
      <w:pPr>
        <w:numPr>
          <w:ilvl w:val="0"/>
          <w:numId w:val="1006"/>
        </w:numPr>
        <w:pStyle w:val="Compact"/>
      </w:pPr>
      <w:r>
        <w:t xml:space="preserve">Distance: 1000 km (`wzxnvipemj` assumed for upstream)</w:t>
      </w:r>
    </w:p>
    <w:p>
      <w:pPr>
        <w:numPr>
          <w:ilvl w:val="0"/>
          <w:numId w:val="1006"/>
        </w:numPr>
        <w:pStyle w:val="Compact"/>
      </w:pPr>
      <w:r>
        <w:t xml:space="preserve">Emission Factor: 0.1 kg CO2e/tonne-km</w:t>
      </w:r>
    </w:p>
    <w:p>
      <w:pPr>
        <w:pStyle w:val="FirstParagraph"/>
      </w:pPr>
      <w:r>
        <w:t xml:space="preserve">Calculation: 0.0005 tonnes * 1000 km * 0.1 kg CO2e/tonne-km</w:t>
      </w:r>
      <w:r>
        <w:t xml:space="preserve"> </w:t>
      </w:r>
      <w:r>
        <w:t xml:space="preserve">=</w:t>
      </w:r>
      <w:r>
        <w:t xml:space="preserve"> </w:t>
      </w:r>
      <w:r>
        <w:rPr>
          <w:bCs/>
          <w:b/>
        </w:rPr>
        <w:t xml:space="preserve">0.05 kg CO2e/unit</w:t>
      </w:r>
    </w:p>
    <w:bookmarkEnd w:id="29"/>
    <w:bookmarkStart w:id="30" w:name="Xb884f9e3c0d985c0d67cff5704b99e1b7986fc4"/>
    <w:p>
      <w:pPr>
        <w:pStyle w:val="Heading5"/>
      </w:pPr>
      <w:r>
        <w:t xml:space="preserve">Downstream Transportation (Main Distribution, Factory to Market)</w:t>
      </w:r>
    </w:p>
    <w:p>
      <w:pPr>
        <w:numPr>
          <w:ilvl w:val="0"/>
          <w:numId w:val="1007"/>
        </w:numPr>
        <w:pStyle w:val="Compact"/>
      </w:pPr>
      <w:r>
        <w:t xml:space="preserve">Mode: Road Freight (Heavy Goods Vehicle, long-haul)</w:t>
      </w:r>
    </w:p>
    <w:p>
      <w:pPr>
        <w:numPr>
          <w:ilvl w:val="0"/>
          <w:numId w:val="1007"/>
        </w:numPr>
        <w:pStyle w:val="Compact"/>
      </w:pPr>
      <w:r>
        <w:t xml:space="preserve">Distance: 1000 km (assumed for distribution from China to Europe)</w:t>
      </w:r>
    </w:p>
    <w:p>
      <w:pPr>
        <w:numPr>
          <w:ilvl w:val="0"/>
          <w:numId w:val="1007"/>
        </w:numPr>
        <w:pStyle w:val="Compact"/>
      </w:pPr>
      <w:r>
        <w:t xml:space="preserve">Emission Factor: 0.1 kg CO2e/tonne-km</w:t>
      </w:r>
    </w:p>
    <w:p>
      <w:pPr>
        <w:pStyle w:val="FirstParagraph"/>
      </w:pPr>
      <w:r>
        <w:t xml:space="preserve">Calculation: 0.0005 tonnes * 1000 km * 0.1 kg CO2e/tonne-km</w:t>
      </w:r>
      <w:r>
        <w:t xml:space="preserve"> </w:t>
      </w:r>
      <w:r>
        <w:t xml:space="preserve">=</w:t>
      </w:r>
      <w:r>
        <w:t xml:space="preserve"> </w:t>
      </w:r>
      <w:r>
        <w:rPr>
          <w:bCs/>
          <w:b/>
        </w:rPr>
        <w:t xml:space="preserve">0.05 kg CO2e/unit</w:t>
      </w:r>
    </w:p>
    <w:bookmarkEnd w:id="30"/>
    <w:bookmarkStart w:id="31" w:name="last-mile-delivery"/>
    <w:p>
      <w:pPr>
        <w:pStyle w:val="Heading5"/>
      </w:pPr>
      <w:r>
        <w:t xml:space="preserve">Last-Mile Delivery</w:t>
      </w:r>
    </w:p>
    <w:p>
      <w:pPr>
        <w:numPr>
          <w:ilvl w:val="0"/>
          <w:numId w:val="1008"/>
        </w:numPr>
        <w:pStyle w:val="Compact"/>
      </w:pPr>
      <w:r>
        <w:t xml:space="preserve">Channel: Parcel Van Delivery (`Delivery Type`)</w:t>
      </w:r>
    </w:p>
    <w:p>
      <w:pPr>
        <w:numPr>
          <w:ilvl w:val="0"/>
          <w:numId w:val="1008"/>
        </w:numPr>
        <w:pStyle w:val="Compact"/>
      </w:pPr>
      <w:r>
        <w:t xml:space="preserve">Distance: 50 km (assumed average)</w:t>
      </w:r>
    </w:p>
    <w:p>
      <w:pPr>
        <w:numPr>
          <w:ilvl w:val="0"/>
          <w:numId w:val="1008"/>
        </w:numPr>
        <w:pStyle w:val="Compact"/>
      </w:pPr>
      <w:r>
        <w:t xml:space="preserve">Emission Factor: 0.2 kg CO2e/package-km (assuming average package weight for parcel vans is reflected in factor)</w:t>
      </w:r>
    </w:p>
    <w:p>
      <w:pPr>
        <w:pStyle w:val="FirstParagraph"/>
      </w:pPr>
      <w:r>
        <w:t xml:space="preserve">Calculation: 1 unit * 50 km * 0.2 kg CO2e/package-km</w:t>
      </w:r>
      <w:r>
        <w:t xml:space="preserve"> </w:t>
      </w:r>
      <w:r>
        <w:t xml:space="preserve">=</w:t>
      </w:r>
      <w:r>
        <w:t xml:space="preserve"> </w:t>
      </w:r>
      <w:r>
        <w:rPr>
          <w:bCs/>
          <w:b/>
        </w:rPr>
        <w:t xml:space="preserve">10.0 kg CO2e/unit</w:t>
      </w:r>
    </w:p>
    <w:bookmarkEnd w:id="31"/>
    <w:bookmarkEnd w:id="32"/>
    <w:bookmarkStart w:id="33" w:name="X9d5c23626d642fc8049b0391f480885cf4c9e25"/>
    <w:p>
      <w:pPr>
        <w:pStyle w:val="Heading4"/>
      </w:pPr>
      <w:r>
        <w:t xml:space="preserve">Use Phase Emissions (Based on `hermrluxjl` and `osxyytvlih`)</w:t>
      </w:r>
    </w:p>
    <w:p>
      <w:pPr>
        <w:numPr>
          <w:ilvl w:val="0"/>
          <w:numId w:val="1009"/>
        </w:numPr>
        <w:pStyle w:val="Compact"/>
      </w:pPr>
      <w:r>
        <w:t xml:space="preserve">Product Lifespan: 5 years (`hermrluxjl`)</w:t>
      </w:r>
    </w:p>
    <w:p>
      <w:pPr>
        <w:numPr>
          <w:ilvl w:val="0"/>
          <w:numId w:val="1009"/>
        </w:numPr>
        <w:pStyle w:val="Compact"/>
      </w:pPr>
      <w:r>
        <w:t xml:space="preserve">Energy Consumption in Use: 10 kWh/year (`osxyytvlih`)</w:t>
      </w:r>
    </w:p>
    <w:p>
      <w:pPr>
        <w:numPr>
          <w:ilvl w:val="0"/>
          <w:numId w:val="1009"/>
        </w:numPr>
        <w:pStyle w:val="Compact"/>
      </w:pPr>
      <w:r>
        <w:t xml:space="preserve">Use Phase Electricity Source: Assumed global average grid mix for consumer use, ~0.4 kg CO2e/kWh (generic factor for illustrative purposes).</w:t>
      </w:r>
    </w:p>
    <w:p>
      <w:pPr>
        <w:pStyle w:val="FirstParagraph"/>
      </w:pPr>
      <w:r>
        <w:t xml:space="preserve">Calculation: 10 kWh/year * 5 years * 0.4 kg CO2e/kWh</w:t>
      </w:r>
      <w:r>
        <w:t xml:space="preserve"> </w:t>
      </w:r>
      <w:r>
        <w:t xml:space="preserve">=</w:t>
      </w:r>
      <w:r>
        <w:t xml:space="preserve"> </w:t>
      </w:r>
      <w:r>
        <w:rPr>
          <w:bCs/>
          <w:b/>
        </w:rPr>
        <w:t xml:space="preserve">20.0 kg CO2e/unit</w:t>
      </w:r>
    </w:p>
    <w:bookmarkEnd w:id="33"/>
    <w:bookmarkStart w:id="34" w:name="X9b28ccf313a516ed08a3623ecb521ec21e69535"/>
    <w:p>
      <w:pPr>
        <w:pStyle w:val="Heading4"/>
      </w:pPr>
      <w:r>
        <w:t xml:space="preserve">End-of-Life (EoL) Emissions/Credits (Based on `mqxsikkxmv` and `rmxxgsnfiz`)</w:t>
      </w:r>
    </w:p>
    <w:p>
      <w:pPr>
        <w:numPr>
          <w:ilvl w:val="0"/>
          <w:numId w:val="1010"/>
        </w:numPr>
        <w:pStyle w:val="Compact"/>
      </w:pPr>
      <w:r>
        <w:t xml:space="preserve">Recyclability Percentage: 80% (`mqxsikkxmv`)</w:t>
      </w:r>
    </w:p>
    <w:p>
      <w:pPr>
        <w:numPr>
          <w:ilvl w:val="0"/>
          <w:numId w:val="1010"/>
        </w:numPr>
        <w:pStyle w:val="Compact"/>
      </w:pPr>
      <w:r>
        <w:t xml:space="preserve">Circular/Take-back Programs: "Existing take-back program for key components." (`rmxxgsnfiz`)</w:t>
      </w:r>
    </w:p>
    <w:p>
      <w:pPr>
        <w:numPr>
          <w:ilvl w:val="0"/>
          <w:numId w:val="1010"/>
        </w:numPr>
        <w:pStyle w:val="Compact"/>
      </w:pPr>
      <w:r>
        <w:t xml:space="preserve">Total Material Emissions: 2.95 kg CO2e</w:t>
      </w:r>
    </w:p>
    <w:p>
      <w:pPr>
        <w:numPr>
          <w:ilvl w:val="0"/>
          <w:numId w:val="1010"/>
        </w:numPr>
        <w:pStyle w:val="Compact"/>
      </w:pPr>
      <w:r>
        <w:t xml:space="preserve">Recyclable Portion of Material Emissions: 2.95 kg CO2e * 0.80 = 2.36 kg CO2e</w:t>
      </w:r>
    </w:p>
    <w:p>
      <w:pPr>
        <w:numPr>
          <w:ilvl w:val="0"/>
          <w:numId w:val="1010"/>
        </w:numPr>
        <w:pStyle w:val="Compact"/>
      </w:pPr>
      <w:r>
        <w:t xml:space="preserve">EoL Recycling Credit: 50% of recyclable material emissions</w:t>
      </w:r>
    </w:p>
    <w:p>
      <w:pPr>
        <w:pStyle w:val="FirstParagraph"/>
      </w:pPr>
      <w:r>
        <w:t xml:space="preserve">Calculation: - (2.36 kg CO2e * 0.50)</w:t>
      </w:r>
      <w:r>
        <w:t xml:space="preserve"> </w:t>
      </w:r>
      <w:r>
        <w:t xml:space="preserve">=</w:t>
      </w:r>
      <w:r>
        <w:t xml:space="preserve"> </w:t>
      </w:r>
      <w:r>
        <w:rPr>
          <w:bCs/>
          <w:b/>
        </w:rPr>
        <w:t xml:space="preserve">-1.18 kg CO2e/unit (credit)</w:t>
      </w:r>
    </w:p>
    <w:bookmarkEnd w:id="34"/>
    <w:bookmarkStart w:id="35" w:name="X7f9ca5e0ab2c30c9223a9abd5c8cee55f7854dc"/>
    <w:p>
      <w:pPr>
        <w:pStyle w:val="Heading4"/>
      </w:pPr>
      <w:r>
        <w:t xml:space="preserve">Total Product Carbon Footprint (PCF) for ywugfvqgmi</w:t>
      </w:r>
    </w:p>
    <w:p>
      <w:pPr>
        <w:numPr>
          <w:ilvl w:val="0"/>
          <w:numId w:val="1011"/>
        </w:numPr>
        <w:pStyle w:val="Compact"/>
      </w:pPr>
      <w:r>
        <w:t xml:space="preserve">Materials (Upstream): 2.95 kg CO2e</w:t>
      </w:r>
    </w:p>
    <w:p>
      <w:pPr>
        <w:numPr>
          <w:ilvl w:val="0"/>
          <w:numId w:val="1011"/>
        </w:numPr>
        <w:pStyle w:val="Compact"/>
      </w:pPr>
      <w:r>
        <w:t xml:space="preserve">Production: 0.089 kg CO2e</w:t>
      </w:r>
    </w:p>
    <w:p>
      <w:pPr>
        <w:numPr>
          <w:ilvl w:val="0"/>
          <w:numId w:val="1011"/>
        </w:numPr>
        <w:pStyle w:val="Compact"/>
      </w:pPr>
      <w:r>
        <w:t xml:space="preserve">Upstream Transport: 0.05 kg CO2e</w:t>
      </w:r>
    </w:p>
    <w:p>
      <w:pPr>
        <w:numPr>
          <w:ilvl w:val="0"/>
          <w:numId w:val="1011"/>
        </w:numPr>
        <w:pStyle w:val="Compact"/>
      </w:pPr>
      <w:r>
        <w:t xml:space="preserve">Downstream Transport (Main Distribution): 0.05 kg CO2e</w:t>
      </w:r>
    </w:p>
    <w:p>
      <w:pPr>
        <w:numPr>
          <w:ilvl w:val="0"/>
          <w:numId w:val="1011"/>
        </w:numPr>
        <w:pStyle w:val="Compact"/>
      </w:pPr>
      <w:r>
        <w:t xml:space="preserve">Last-Mile Delivery: 10.0 kg CO2e</w:t>
      </w:r>
    </w:p>
    <w:p>
      <w:pPr>
        <w:numPr>
          <w:ilvl w:val="0"/>
          <w:numId w:val="1011"/>
        </w:numPr>
        <w:pStyle w:val="Compact"/>
      </w:pPr>
      <w:r>
        <w:t xml:space="preserve">Use Phase: 20.0 kg CO2e</w:t>
      </w:r>
    </w:p>
    <w:p>
      <w:pPr>
        <w:numPr>
          <w:ilvl w:val="0"/>
          <w:numId w:val="1011"/>
        </w:numPr>
        <w:pStyle w:val="Compact"/>
      </w:pPr>
      <w:r>
        <w:t xml:space="preserve">End-of-Life: -1.18 kg CO2e</w:t>
      </w:r>
    </w:p>
    <w:p>
      <w:pPr>
        <w:pStyle w:val="FirstParagraph"/>
      </w:pPr>
      <w:r>
        <w:t xml:space="preserve">Total PCF per Functional Unit (1.0 unit of ywugfvqgmi) = 31.95 kg CO2e</w:t>
      </w:r>
    </w:p>
    <w:bookmarkEnd w:id="35"/>
    <w:bookmarkEnd w:id="36"/>
    <w:bookmarkStart w:id="37" w:name="review-report"/>
    <w:p>
      <w:pPr>
        <w:pStyle w:val="Heading3"/>
      </w:pPr>
      <w:r>
        <w:t xml:space="preserve">5. Review &amp; Report</w:t>
      </w:r>
    </w:p>
    <w:p>
      <w:pPr>
        <w:pStyle w:val="FirstParagraph"/>
      </w:pPr>
      <w:r>
        <w:t xml:space="preserve">The review identifies the main emission hotspots and evaluates the reliability of the analysis.</w:t>
      </w:r>
      <w:r>
        <w:t xml:space="preserve"> </w:t>
      </w:r>
      <w:r>
        <w:t xml:space="preserve">The most significant contributors to the product\'s carbon footprint are the Use Phase and Last-Mile Delivery, primarily due to assumed energy consumption and transport distances.</w:t>
      </w:r>
      <w:r>
        <w:t xml:space="preserve"> </w:t>
      </w:r>
      <w:r>
        <w:t xml:space="preserve">The reliability of this analysis is directly dependent on the accuracy and completeness of the primary data provided and the appropriateness of the secondary emission factors applied.</w:t>
      </w:r>
      <w:r>
        <w:t xml:space="preserve"> </w:t>
      </w:r>
      <w:r>
        <w:t xml:space="preserve">The use of assumed emission factors (as detailed in "Secondary Data &amp; Assumptions") introduces a degree of uncertainty, which would be refined with access to specific, verified Ecoinvent or DEFRA database factors.</w:t>
      </w:r>
    </w:p>
    <w:p>
      <w:r>
        <w:pict>
          <v:rect style="width:0;height:1.5pt" o:hralign="center" o:hrstd="t" o:hr="t"/>
        </w:pict>
      </w:r>
    </w:p>
    <w:bookmarkEnd w:id="37"/>
    <w:bookmarkEnd w:id="38"/>
    <w:bookmarkStart w:id="40" w:name="ghg-protocol-adherence"/>
    <w:p>
      <w:pPr>
        <w:pStyle w:val="Heading2"/>
      </w:pPr>
      <w:r>
        <w:t xml:space="preserve">GHG Protocol Adherence</w:t>
      </w:r>
    </w:p>
    <w:p>
      <w:pPr>
        <w:pStyle w:val="FirstParagraph"/>
      </w:pPr>
      <w:r>
        <w:t xml:space="preserve">The Product Carbon Footprint for</w:t>
      </w:r>
      <w:r>
        <w:t xml:space="preserve"> </w:t>
      </w:r>
      <w:r>
        <w:rPr>
          <w:bCs/>
          <w:b/>
        </w:rPr>
        <w:t xml:space="preserve">ywugfvqgmi</w:t>
      </w:r>
      <w:r>
        <w:t xml:space="preserve"> </w:t>
      </w:r>
      <w:r>
        <w:t xml:space="preserve">has been categorized according to the Greenhouse Gas (GHG) Protocol\'s Scope 1, Scope 2, and Scope 3 emissions framework.</w:t>
      </w:r>
    </w:p>
    <w:p>
      <w:pPr>
        <w:numPr>
          <w:ilvl w:val="0"/>
          <w:numId w:val="1012"/>
        </w:numPr>
        <w:pStyle w:val="Compact"/>
      </w:pPr>
      <w:r>
        <w:rPr>
          <w:bCs/>
          <w:b/>
        </w:rPr>
        <w:t xml:space="preserve">Scope 1 (Direct Emissions):</w:t>
      </w:r>
      <w:r>
        <w:t xml:space="preserve"> </w:t>
      </w:r>
      <w:r>
        <w:t xml:space="preserve">Emissions from sources owned or controlled by</w:t>
      </w:r>
      <w:r>
        <w:t xml:space="preserve"> </w:t>
      </w:r>
      <w:r>
        <w:rPr>
          <w:bCs/>
          <w:b/>
        </w:rPr>
        <w:t xml:space="preserve">mfekrftpro</w:t>
      </w:r>
      <w:r>
        <w:t xml:space="preserve">. For a "factory_gate" system boundary focusing on the product, direct emissions (e.g., from on-site fuel combustion not covered by purchased electricity) are assumed negligible in this PCF, as specific data was not provided. If applicable, these would include direct process emissions or company vehicle fuel consumption within the factory boundary.</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consumed by</w:t>
      </w:r>
      <w:r>
        <w:t xml:space="preserve"> </w:t>
      </w:r>
      <w:r>
        <w:rPr>
          <w:bCs/>
          <w:b/>
        </w:rPr>
        <w:t xml:space="preserve">mfekrftpro</w:t>
      </w:r>
      <w:r>
        <w:t xml:space="preserve"> </w:t>
      </w:r>
      <w:r>
        <w:t xml:space="preserve">for the manufacturing of</w:t>
      </w:r>
      <w:r>
        <w:t xml:space="preserve"> </w:t>
      </w:r>
      <w:r>
        <w:rPr>
          <w:bCs/>
          <w:b/>
        </w:rPr>
        <w:t xml:space="preserve">ywugfvqgmi</w:t>
      </w:r>
      <w:r>
        <w:t xml:space="preserve">.</w:t>
      </w:r>
    </w:p>
    <w:p>
      <w:pPr>
        <w:numPr>
          <w:ilvl w:val="1"/>
          <w:numId w:val="1013"/>
        </w:numPr>
        <w:pStyle w:val="Compact"/>
      </w:pPr>
      <w:r>
        <w:t xml:space="preserve">Production Energy: 0.089 kg CO2e</w:t>
      </w:r>
    </w:p>
    <w:p>
      <w:pPr>
        <w:numPr>
          <w:ilvl w:val="0"/>
          <w:numId w:val="1012"/>
        </w:numPr>
        <w:pStyle w:val="Compact"/>
      </w:pPr>
      <w:r>
        <w:rPr>
          <w:bCs/>
          <w:b/>
        </w:rPr>
        <w:t xml:space="preserve">Scope 3 (Other Indirect Emissions):</w:t>
      </w:r>
      <w:r>
        <w:t xml:space="preserve"> </w:t>
      </w:r>
      <w:r>
        <w:t xml:space="preserve">All other indirect emissions occurring in the value chain of</w:t>
      </w:r>
      <w:r>
        <w:t xml:space="preserve"> </w:t>
      </w:r>
      <w:r>
        <w:rPr>
          <w:bCs/>
          <w:b/>
        </w:rPr>
        <w:t xml:space="preserve">mfekrftpro</w:t>
      </w:r>
      <w:r>
        <w:t xml:space="preserve">, both upstream (e.g., raw material production, upstream transport) and downstream (e.g., product distribution, use phase, end-of-life). Scope 3 typically represents the largest portion of a product\'s carbon footprint.</w:t>
      </w:r>
    </w:p>
    <w:p>
      <w:pPr>
        <w:numPr>
          <w:ilvl w:val="1"/>
          <w:numId w:val="1014"/>
        </w:numPr>
        <w:pStyle w:val="Compact"/>
      </w:pPr>
      <w:r>
        <w:t xml:space="preserve">Purchased Goods and Services (Materials): 2.95 kg CO2e</w:t>
      </w:r>
    </w:p>
    <w:p>
      <w:pPr>
        <w:numPr>
          <w:ilvl w:val="1"/>
          <w:numId w:val="1014"/>
        </w:numPr>
        <w:pStyle w:val="Compact"/>
      </w:pPr>
      <w:r>
        <w:t xml:space="preserve">Upstream Transportation and Distribution: 0.05 kg CO2e</w:t>
      </w:r>
    </w:p>
    <w:p>
      <w:pPr>
        <w:numPr>
          <w:ilvl w:val="1"/>
          <w:numId w:val="1014"/>
        </w:numPr>
        <w:pStyle w:val="Compact"/>
      </w:pPr>
      <w:r>
        <w:t xml:space="preserve">Downstream Transportation and Distribution (Main Distribution &amp; Last-Mile): 0.05 kg CO2e + 10.0 kg CO2e = 10.05 kg CO2e</w:t>
      </w:r>
    </w:p>
    <w:p>
      <w:pPr>
        <w:numPr>
          <w:ilvl w:val="1"/>
          <w:numId w:val="1014"/>
        </w:numPr>
        <w:pStyle w:val="Compact"/>
      </w:pPr>
      <w:r>
        <w:t xml:space="preserve">Use of Sold Products: 20.0 kg CO2e</w:t>
      </w:r>
    </w:p>
    <w:p>
      <w:pPr>
        <w:numPr>
          <w:ilvl w:val="1"/>
          <w:numId w:val="1014"/>
        </w:numPr>
        <w:pStyle w:val="Compact"/>
      </w:pPr>
      <w:r>
        <w:t xml:space="preserve">End-of-Life Treatment of Sold Products: -1.18 kg CO2e (credit)</w:t>
      </w:r>
    </w:p>
    <w:bookmarkStart w:id="39" w:name="summary-of-pcf-by-ghg-scope"/>
    <w:p>
      <w:pPr>
        <w:pStyle w:val="Heading3"/>
      </w:pPr>
      <w:r>
        <w:t xml:space="preserve">Summary of PCF by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purchased electricity for production</w:t>
            </w:r>
          </w:p>
        </w:tc>
        <w:tc>
          <w:tcPr/>
          <w:p>
            <w:pPr>
              <w:pStyle w:val="Compact"/>
              <w:jc w:val="left"/>
            </w:pPr>
            <w:r>
              <w:t xml:space="preserve">0.089</w:t>
            </w:r>
          </w:p>
        </w:tc>
        <w:tc>
          <w:tcPr/>
          <w:p>
            <w:pPr>
              <w:pStyle w:val="Compact"/>
              <w:jc w:val="left"/>
            </w:pPr>
            <w:r>
              <w:t xml:space="preserve">0.3%</w:t>
            </w:r>
          </w:p>
        </w:tc>
      </w:tr>
      <w:tr>
        <w:tc>
          <w:tcPr/>
          <w:p>
            <w:pPr>
              <w:pStyle w:val="Compact"/>
              <w:jc w:val="left"/>
            </w:pPr>
            <w:r>
              <w:t xml:space="preserve">Scope 3</w:t>
            </w:r>
          </w:p>
        </w:tc>
        <w:tc>
          <w:tcPr/>
          <w:p>
            <w:pPr>
              <w:pStyle w:val="Compact"/>
              <w:jc w:val="left"/>
            </w:pPr>
            <w:r>
              <w:t xml:space="preserve">All other indirect emissions across the value chain</w:t>
            </w:r>
          </w:p>
        </w:tc>
        <w:tc>
          <w:tcPr/>
          <w:p>
            <w:pPr>
              <w:pStyle w:val="Compact"/>
              <w:jc w:val="left"/>
            </w:pPr>
            <w:r>
              <w:t xml:space="preserve">31.87</w:t>
            </w:r>
          </w:p>
        </w:tc>
        <w:tc>
          <w:tcPr/>
          <w:p>
            <w:pPr>
              <w:pStyle w:val="Compact"/>
              <w:jc w:val="left"/>
            </w:pPr>
            <w:r>
              <w:t xml:space="preserve">99.7%</w:t>
            </w:r>
          </w:p>
        </w:tc>
      </w:tr>
      <w:tr>
        <w:tc>
          <w:tcPr>
            <w:gridSpan w:val="2"/>
          </w:tcPr>
          <w:p>
            <w:pPr>
              <w:pStyle w:val="Compact"/>
              <w:jc w:val="right"/>
            </w:pPr>
            <w:r>
              <w:t xml:space="preserve">Total Product Carbon Footprint</w:t>
            </w:r>
          </w:p>
        </w:tc>
        <w:tc>
          <w:tcPr/>
          <w:p>
            <w:pPr>
              <w:pStyle w:val="Compact"/>
              <w:jc w:val="left"/>
            </w:pPr>
            <w:r>
              <w:rPr>
                <w:bCs/>
                <w:b/>
              </w:rPr>
              <w:t xml:space="preserve">31.959</w:t>
            </w:r>
          </w:p>
        </w:tc>
        <w:tc>
          <w:tcPr/>
          <w:p>
            <w:pPr>
              <w:pStyle w:val="Compact"/>
              <w:jc w:val="left"/>
            </w:pPr>
            <w:r>
              <w:rPr>
                <w:bCs/>
                <w:b/>
              </w:rPr>
              <w:t xml:space="preserve">100.0%</w:t>
            </w:r>
          </w:p>
        </w:tc>
      </w:tr>
    </w:tbl>
    <w:p>
      <w:r>
        <w:pict>
          <v:rect style="width:0;height:1.5pt" o:hralign="center" o:hrstd="t" o:hr="t"/>
        </w:pict>
      </w:r>
    </w:p>
    <w:bookmarkEnd w:id="39"/>
    <w:bookmarkEnd w:id="40"/>
    <w:bookmarkStart w:id="41" w:name="X61d3769a0e02cec5df82237437d331ea0b2845b"/>
    <w:p>
      <w:pPr>
        <w:pStyle w:val="Heading2"/>
      </w:pPr>
      <w:r>
        <w:t xml:space="preserve">2026 LSR Update: Land Sector and Removals Standard Application</w:t>
      </w:r>
    </w:p>
    <w:p>
      <w:pPr>
        <w:pStyle w:val="FirstParagraph"/>
      </w:pPr>
      <w:r>
        <w:t xml:space="preserve">The GHG Protocol\'s Land Sector and Removals (LSR) Standard, released on January 30, 2026, and taking effect on January 1, 2027, provides crucial accounting requirements and guidance for quantifying, reporting, and tracking land emissions, CO2 removals, and technological CO2 removals.</w:t>
      </w:r>
      <w:r>
        <w:t xml:space="preserve"> </w:t>
      </w:r>
      <w:r>
        <w:t xml:space="preserve">While the primary product</w:t>
      </w:r>
      <w:r>
        <w:t xml:space="preserve"> </w:t>
      </w:r>
      <w:r>
        <w:rPr>
          <w:bCs/>
          <w:b/>
        </w:rPr>
        <w:t xml:space="preserve">ywugfvqgmi</w:t>
      </w:r>
      <w:r>
        <w:t xml:space="preserve"> </w:t>
      </w:r>
      <w:r>
        <w:t xml:space="preserve">may not directly involve land management in its manufacturing, the LSR Standard is highly relevant for upstream Scope 3 emissions, particularly for materials derived from agriculture or forestry (e.g., wood-based components, natural fibers, or even bio-based plastics in the "Plastics" category).</w:t>
      </w:r>
      <w:r>
        <w:t xml:space="preserve"> </w:t>
      </w:r>
      <w:r>
        <w:t xml:space="preserve">For this report, the "Packaging Cardboard" material (Category: Paper &amp; Board) would fall under the purview of LSR, requiring consideration of land use change and biogenic carbon flows in its production lifecycle.</w:t>
      </w:r>
      <w:r>
        <w:t xml:space="preserve"> </w:t>
      </w:r>
      <w:r>
        <w:t xml:space="preserve">The accompanying Guidance document for the LSR Standard, expected in Q2 2026, will provide further practical direction for implementation.</w:t>
      </w:r>
      <w:r>
        <w:t xml:space="preserve"> </w:t>
      </w:r>
      <w:r>
        <w:rPr>
          <w:bCs/>
          <w:b/>
        </w:rPr>
        <w:t xml:space="preserve">mfekrftpro</w:t>
      </w:r>
      <w:r>
        <w:t xml:space="preserve"> </w:t>
      </w:r>
      <w:r>
        <w:t xml:space="preserve">should ensure that its suppliers for land-based materials are compliant with this standard to accurately report the associated Scope 3 emissions and potential removals.</w:t>
      </w:r>
    </w:p>
    <w:p>
      <w:r>
        <w:pict>
          <v:rect style="width:0;height:1.5pt" o:hralign="center" o:hrstd="t" o:hr="t"/>
        </w:pict>
      </w:r>
    </w:p>
    <w:bookmarkEnd w:id="41"/>
    <w:bookmarkStart w:id="42" w:name="X1f6b86fdd0fd2b95afaf058731206ea470bcbbf"/>
    <w:p>
      <w:pPr>
        <w:pStyle w:val="Heading2"/>
      </w:pPr>
      <w:r>
        <w:t xml:space="preserve">Scope 3 Compliance: 95% Coverage for 2026 Requirements</w:t>
      </w:r>
    </w:p>
    <w:p>
      <w:pPr>
        <w:pStyle w:val="FirstParagraph"/>
      </w:pPr>
      <w:r>
        <w:t xml:space="preserve">The proposed revisions to the GHG Protocol Scope 3 Standard, outlined in March 2026, introduce a significant requirement for companies to account for and report at least 95% of their total required Scope 3 emissions to ensure compliance. This represents a shift towards tighter quantitative boundaries and more comprehensive reporting across the value chain.</w:t>
      </w:r>
      <w:r>
        <w:t xml:space="preserve"> </w:t>
      </w:r>
      <w:r>
        <w:t xml:space="preserve">This PCF analysis for</w:t>
      </w:r>
      <w:r>
        <w:t xml:space="preserve"> </w:t>
      </w:r>
      <w:r>
        <w:rPr>
          <w:bCs/>
          <w:b/>
        </w:rPr>
        <w:t xml:space="preserve">ywugfvqgmi</w:t>
      </w:r>
      <w:r>
        <w:t xml:space="preserve"> </w:t>
      </w:r>
      <w:r>
        <w:t xml:space="preserve">aims to achieve this level of coverage by meticulously breaking down emissions across materials, production energy, transport (both upstream and downstream), use phase, and end-of-life scenarios.</w:t>
      </w:r>
      <w:r>
        <w:t xml:space="preserve"> </w:t>
      </w:r>
      <w:r>
        <w:t xml:space="preserve">The detailed BOM, specific logistics data, and comprehensive energy consumption figures contribute to a high level of coverage for the product\'s value chain emissions.</w:t>
      </w:r>
      <w:r>
        <w:t xml:space="preserve"> </w:t>
      </w:r>
      <w:r>
        <w:t xml:space="preserve">However, the reliance on estimated emission factors for some aspects (as detailed in the "Secondary Data &amp; Assumptions" section) means that while the categories are covered, the precision of the underlying data would benefit from further primary data collection and more specific database integration (e.g., Ecoinvent/DEFRA).</w:t>
      </w:r>
      <w:r>
        <w:t xml:space="preserve"> </w:t>
      </w:r>
      <w:r>
        <w:rPr>
          <w:bCs/>
          <w:b/>
        </w:rPr>
        <w:t xml:space="preserve">mfekrftpro</w:t>
      </w:r>
      <w:r>
        <w:t xml:space="preserve"> </w:t>
      </w:r>
      <w:r>
        <w:t xml:space="preserve">should focus on improving data quality and traceability for all Scope 3 categories to meet and exceed the 95% threshold in future reporting.</w:t>
      </w:r>
    </w:p>
    <w:p>
      <w:r>
        <w:pict>
          <v:rect style="width:0;height:1.5pt" o:hralign="center" o:hrstd="t" o:hr="t"/>
        </w:pict>
      </w:r>
    </w:p>
    <w:bookmarkEnd w:id="42"/>
    <w:bookmarkStart w:id="44" w:name="conclusion-and-recommendations"/>
    <w:p>
      <w:pPr>
        <w:pStyle w:val="Heading2"/>
      </w:pPr>
      <w:r>
        <w:t xml:space="preserve">Conclusion and Recommendations</w:t>
      </w:r>
    </w:p>
    <w:p>
      <w:pPr>
        <w:pStyle w:val="FirstParagraph"/>
      </w:pPr>
      <w:r>
        <w:t xml:space="preserve">The Product Carbon Footprint for</w:t>
      </w:r>
      <w:r>
        <w:t xml:space="preserve"> </w:t>
      </w:r>
      <w:r>
        <w:rPr>
          <w:bCs/>
          <w:b/>
        </w:rPr>
        <w:t xml:space="preserve">ywugfvqgmi</w:t>
      </w:r>
      <w:r>
        <w:t xml:space="preserve"> </w:t>
      </w:r>
      <w:r>
        <w:t xml:space="preserve">is calculated to be</w:t>
      </w:r>
      <w:r>
        <w:t xml:space="preserve"> </w:t>
      </w:r>
      <w:r>
        <w:rPr>
          <w:bCs/>
          <w:b/>
        </w:rPr>
        <w:t xml:space="preserve">31.95 kg CO2e per unit</w:t>
      </w:r>
      <w:r>
        <w:t xml:space="preserve">.</w:t>
      </w:r>
      <w:r>
        <w:t xml:space="preserve"> </w:t>
      </w:r>
      <w:r>
        <w:t xml:space="preserve">The analysis clearly indicates that the primary emission hotspots are:</w:t>
      </w:r>
    </w:p>
    <w:p>
      <w:pPr>
        <w:numPr>
          <w:ilvl w:val="0"/>
          <w:numId w:val="1015"/>
        </w:numPr>
        <w:pStyle w:val="Compact"/>
      </w:pPr>
      <w:r>
        <w:rPr>
          <w:bCs/>
          <w:b/>
        </w:rPr>
        <w:t xml:space="preserve">Use Phase (20.0 kg CO2e):</w:t>
      </w:r>
      <w:r>
        <w:t xml:space="preserve"> </w:t>
      </w:r>
      <w:r>
        <w:t xml:space="preserve">This constitutes the largest portion, highlighting the significant impact of the product\'s energy consumption during its lifespan.</w:t>
      </w:r>
    </w:p>
    <w:p>
      <w:pPr>
        <w:numPr>
          <w:ilvl w:val="0"/>
          <w:numId w:val="1015"/>
        </w:numPr>
        <w:pStyle w:val="Compact"/>
      </w:pPr>
      <w:r>
        <w:rPr>
          <w:bCs/>
          <w:b/>
        </w:rPr>
        <w:t xml:space="preserve">Last-Mile Delivery (10.0 kg CO2e):</w:t>
      </w:r>
      <w:r>
        <w:t xml:space="preserve"> </w:t>
      </w:r>
      <w:r>
        <w:t xml:space="preserve">The final leg of distribution has a substantial impact, likely due to less efficient vehicle types and potentially lower load factors compared to long-haul freight.</w:t>
      </w:r>
    </w:p>
    <w:p>
      <w:pPr>
        <w:numPr>
          <w:ilvl w:val="0"/>
          <w:numId w:val="1015"/>
        </w:numPr>
        <w:pStyle w:val="Compact"/>
      </w:pPr>
      <w:r>
        <w:rPr>
          <w:bCs/>
          <w:b/>
        </w:rPr>
        <w:t xml:space="preserve">Materials (2.95 kg CO2e):</w:t>
      </w:r>
      <w:r>
        <w:t xml:space="preserve"> </w:t>
      </w:r>
      <w:r>
        <w:t xml:space="preserve">Raw material extraction and processing also contribute significantly, with aluminum and plastic components being notable contributors.</w:t>
      </w:r>
    </w:p>
    <w:bookmarkStart w:id="43" w:name="recommendations-for-carbon-reduction"/>
    <w:p>
      <w:pPr>
        <w:pStyle w:val="Heading3"/>
      </w:pPr>
      <w:r>
        <w:t xml:space="preserve">Recommendations for Carbon Reduction:</w:t>
      </w:r>
    </w:p>
    <w:p>
      <w:pPr>
        <w:numPr>
          <w:ilvl w:val="0"/>
          <w:numId w:val="1016"/>
        </w:numPr>
        <w:pStyle w:val="Compact"/>
      </w:pPr>
      <w:r>
        <w:rPr>
          <w:bCs/>
          <w:b/>
        </w:rPr>
        <w:t xml:space="preserve">Optimize Use Phase Energy Efficiency:</w:t>
      </w:r>
      <w:r>
        <w:t xml:space="preserve"> </w:t>
      </w:r>
      <w:r>
        <w:t xml:space="preserve">Invest in research and development to reduce the energy consumption of</w:t>
      </w:r>
      <w:r>
        <w:t xml:space="preserve"> </w:t>
      </w:r>
      <w:r>
        <w:rPr>
          <w:bCs/>
          <w:b/>
        </w:rPr>
        <w:t xml:space="preserve">ywugfvqgmi</w:t>
      </w:r>
      <w:r>
        <w:t xml:space="preserve"> </w:t>
      </w:r>
      <w:r>
        <w:t xml:space="preserve">during its operational lifespan. Explore low-power modes, extend battery life (if applicable), or design for energy-efficient operation.</w:t>
      </w:r>
    </w:p>
    <w:p>
      <w:pPr>
        <w:numPr>
          <w:ilvl w:val="0"/>
          <w:numId w:val="1016"/>
        </w:numPr>
        <w:pStyle w:val="Compact"/>
      </w:pPr>
      <w:r>
        <w:rPr>
          <w:bCs/>
          <w:b/>
        </w:rPr>
        <w:t xml:space="preserve">Decarbonize Last-Mile Delivery:</w:t>
      </w:r>
      <w:r>
        <w:t xml:space="preserve"> </w:t>
      </w:r>
      <w:r>
        <w:t xml:space="preserve">Engage with logistics partners to transition to lower-emission last-mile delivery vehicles (e.g., electric vans, cargo bikes in urban areas). Optimize delivery routes and consolidation strategies to reduce kilometers traveled per package.</w:t>
      </w:r>
    </w:p>
    <w:p>
      <w:pPr>
        <w:numPr>
          <w:ilvl w:val="0"/>
          <w:numId w:val="1016"/>
        </w:numPr>
        <w:pStyle w:val="Compact"/>
      </w:pPr>
      <w:r>
        <w:rPr>
          <w:bCs/>
          <w:b/>
        </w:rPr>
        <w:t xml:space="preserve">Sustainable Material Sourcing:</w:t>
      </w:r>
      <w:r>
        <w:t xml:space="preserve"> </w:t>
      </w:r>
      <w:r>
        <w:t xml:space="preserve">Continuously evaluate the Bill of Materials for opportunities to use lower-carbon alternatives, such as recycled content, bio-based materials with certified low-impact production, or materials with inherently lower embodied emissions. Focus on reducing the impact of aluminum and plastics.</w:t>
      </w:r>
    </w:p>
    <w:p>
      <w:pPr>
        <w:numPr>
          <w:ilvl w:val="0"/>
          <w:numId w:val="1016"/>
        </w:numPr>
        <w:pStyle w:val="Compact"/>
      </w:pPr>
      <w:r>
        <w:rPr>
          <w:bCs/>
          <w:b/>
        </w:rPr>
        <w:t xml:space="preserve">Enhance Circularity:</w:t>
      </w:r>
      <w:r>
        <w:t xml:space="preserve"> </w:t>
      </w:r>
      <w:r>
        <w:t xml:space="preserve">Leverage the high recyclability (80%) and the existing take-back program. Explore design-for-disassembly to facilitate easier recycling and consider opportunities for remanufacturing or reuse of components, further increasing the end-of-life credit.</w:t>
      </w:r>
    </w:p>
    <w:p>
      <w:pPr>
        <w:numPr>
          <w:ilvl w:val="0"/>
          <w:numId w:val="1016"/>
        </w:numPr>
        <w:pStyle w:val="Compact"/>
      </w:pPr>
      <w:r>
        <w:rPr>
          <w:bCs/>
          <w:b/>
        </w:rPr>
        <w:t xml:space="preserve">Improve Data Quality:</w:t>
      </w:r>
      <w:r>
        <w:t xml:space="preserve"> </w:t>
      </w:r>
      <w:r>
        <w:t xml:space="preserve">Work with suppliers to gather primary, verified emission data for materials and upstream processes. Implement robust data collection systems for internal operations and logistics to reduce reliance on secondary data.</w:t>
      </w:r>
    </w:p>
    <w:p>
      <w:pPr>
        <w:numPr>
          <w:ilvl w:val="0"/>
          <w:numId w:val="1016"/>
        </w:numPr>
        <w:pStyle w:val="Compact"/>
      </w:pPr>
      <w:r>
        <w:rPr>
          <w:bCs/>
          <w:b/>
        </w:rPr>
        <w:t xml:space="preserve">Monitor GHG Protocol Updates:</w:t>
      </w:r>
      <w:r>
        <w:t xml:space="preserve"> </w:t>
      </w:r>
      <w:r>
        <w:t xml:space="preserve">Stay abreast of the evolving GHG Protocol standards, particularly the LSR Standard and the final Scope 3 reporting requirements, to ensure ongoing compliance and leadership in sustainability reporting.</w:t>
      </w:r>
    </w:p>
    <w:p>
      <w:pPr>
        <w:pStyle w:val="FirstParagraph"/>
      </w:pPr>
      <w:r>
        <w:t xml:space="preserve">By focusing on these areas,</w:t>
      </w:r>
      <w:r>
        <w:t xml:space="preserve"> </w:t>
      </w:r>
      <w:r>
        <w:rPr>
          <w:bCs/>
          <w:b/>
        </w:rPr>
        <w:t xml:space="preserve">mfekrftpro</w:t>
      </w:r>
      <w:r>
        <w:t xml:space="preserve"> </w:t>
      </w:r>
      <w:r>
        <w:t xml:space="preserve">can significantly reduce the carbon footprint of</w:t>
      </w:r>
      <w:r>
        <w:t xml:space="preserve"> </w:t>
      </w:r>
      <w:r>
        <w:rPr>
          <w:bCs/>
          <w:b/>
        </w:rPr>
        <w:t xml:space="preserve">ywugfvqgmi</w:t>
      </w:r>
      <w:r>
        <w:t xml:space="preserve"> </w:t>
      </w:r>
      <w:r>
        <w:t xml:space="preserve">and demonstrate its commitment to environmental stewardship.</w:t>
      </w:r>
    </w:p>
    <w:p>
      <w:pPr>
        <w:pStyle w:val="BodyText"/>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ywugfvqgmi</dc:title>
  <dc:creator/>
  <dc:description>High-detail Product Carbon Footprint (PCF) analysis for product ywugfvqgmi by mfekrftpro, adhering to GHG Protocol and 2026 updates.</dc:description>
  <dc:language>en</dc:language>
  <cp:keywords/>
  <dcterms:created xsi:type="dcterms:W3CDTF">2026-07-15T11:37:17Z</dcterms:created>
  <dcterms:modified xsi:type="dcterms:W3CDTF">2026-07-15T11:37:17Z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