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ywehzmgkug</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ywehzmgkug</w:t>
      </w:r>
    </w:p>
    <w:p>
      <w:pPr>
        <w:pStyle w:val="BodyText"/>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lfelyhkiwu</w:t>
      </w:r>
    </w:p>
    <w:p>
      <w:pPr>
        <w:pStyle w:val="BodyText"/>
      </w:pPr>
      <w:r>
        <w:rPr>
          <w:bCs/>
          <w:b/>
        </w:rPr>
        <w:t xml:space="preserve">Senior Sustainability Consultant:</w:t>
      </w:r>
      <w:r>
        <w:t xml:space="preserve"> </w:t>
      </w:r>
      <w:r>
        <w:t xml:space="preserve">euzoesmzqm</w:t>
      </w:r>
    </w:p>
    <w:p>
      <w:pPr>
        <w:pStyle w:val="BodyText"/>
      </w:pPr>
      <w:r>
        <w:t xml:space="preserve">Disclaimer: This report is generated based on available data and industry standards, incorporating specific parameters provided.</w:t>
      </w:r>
      <w:r>
        <w:t xml:space="preserve"> </w:t>
      </w:r>
      <w:r>
        <w:t xml:space="preserve">All emission factors and calculation methodologies are applied in accordance with the Greenhouse Gas Protocol.</w:t>
      </w:r>
    </w:p>
    <w:bookmarkEnd w:id="20"/>
    <w:bookmarkStart w:id="45" w:name="Xa87d010c1fd868336511b306fbd202996615f12"/>
    <w:p>
      <w:pPr>
        <w:pStyle w:val="Heading1"/>
      </w:pPr>
      <w:r>
        <w:t xml:space="preserve">Product Carbon Footprint Analysis Report</w:t>
      </w:r>
    </w:p>
    <w:p>
      <w:pPr>
        <w:pStyle w:val="FirstParagraph"/>
      </w:pPr>
      <w:r>
        <w:rPr>
          <w:bCs/>
          <w:b/>
        </w:rPr>
        <w:t xml:space="preserve">Generated Date:</w:t>
      </w:r>
      <w:r>
        <w:t xml:space="preserve"> </w:t>
      </w:r>
      <w:r>
        <w:t xml:space="preserve">June 2,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ywehzmgkug</w:t>
      </w:r>
      <w:r>
        <w:t xml:space="preserve"> </w:t>
      </w:r>
      <w:r>
        <w:t xml:space="preserve">manufactured by</w:t>
      </w:r>
      <w:r>
        <w:t xml:space="preserve"> </w:t>
      </w:r>
      <w:r>
        <w:rPr>
          <w:bCs/>
          <w:b/>
        </w:rPr>
        <w:t xml:space="preserve">lfelyhkiwu</w:t>
      </w:r>
      <w:r>
        <w:t xml:space="preserve">.</w:t>
      </w:r>
      <w:r>
        <w:t xml:space="preserve"> </w:t>
      </w:r>
      <w:r>
        <w:t xml:space="preserve">Conducted by Senior Sustainability Consultant</w:t>
      </w:r>
      <w:r>
        <w:t xml:space="preserve"> </w:t>
      </w:r>
      <w:r>
        <w:rPr>
          <w:bCs/>
          <w:b/>
        </w:rPr>
        <w:t xml:space="preserve">euzoesmzqm</w:t>
      </w:r>
      <w:r>
        <w:t xml:space="preserve">, this analysis adheres to the Greenhouse Gas (GHG) Protocol,</w:t>
      </w:r>
      <w:r>
        <w:t xml:space="preserve"> </w:t>
      </w:r>
      <w:r>
        <w:t xml:space="preserve">including the latest 2026 Land Sector and Removals (LSR) Standard update, and ensures comprehensive Scope 3 coverage.</w:t>
      </w:r>
      <w:r>
        <w:t xml:space="preserve"> </w:t>
      </w:r>
      <w:r>
        <w:t xml:space="preserve">The primary objective is to quantify the greenhouse gas emissions associated with the product across its lifecycle,</w:t>
      </w:r>
      <w:r>
        <w:t xml:space="preserve"> </w:t>
      </w:r>
      <w:r>
        <w:t xml:space="preserve">from raw material acquisition to end-of-life treatment, providing a foundation for identifying emission hotspots and</w:t>
      </w:r>
      <w:r>
        <w:t xml:space="preserve"> </w:t>
      </w:r>
      <w:r>
        <w:t xml:space="preserve">informing strategic sustainability initiatives.</w:t>
      </w:r>
    </w:p>
    <w:p>
      <w:r>
        <w:pict>
          <v:rect style="width:0;height:1.5pt" o:hralign="center" o:hrstd="t" o:hr="t"/>
        </w:pict>
      </w:r>
    </w:p>
    <w:bookmarkEnd w:id="21"/>
    <w:bookmarkStart w:id="22" w:name="define-scope"/>
    <w:p>
      <w:pPr>
        <w:pStyle w:val="Heading2"/>
      </w:pPr>
      <w:r>
        <w:t xml:space="preserve">1. Define Scope</w:t>
      </w:r>
    </w:p>
    <w:p>
      <w:pPr>
        <w:pStyle w:val="FirstParagraph"/>
      </w:pPr>
      <w:r>
        <w:t xml:space="preserve">The scoping phase establishes the foundational parameters for the PCF analysis, ensuring consistency and comparability of results.</w:t>
      </w:r>
    </w:p>
    <w:p>
      <w:pPr>
        <w:numPr>
          <w:ilvl w:val="0"/>
          <w:numId w:val="1001"/>
        </w:numPr>
        <w:pStyle w:val="Compact"/>
      </w:pPr>
      <w:r>
        <w:rPr>
          <w:bCs/>
          <w:b/>
        </w:rPr>
        <w:t xml:space="preserve">Functional Unit:</w:t>
      </w:r>
      <w:r>
        <w:t xml:space="preserve"> </w:t>
      </w:r>
      <w:r>
        <w:t xml:space="preserve">1.0 unit of ywehzmgkug. This serves as the reference unit to which all inputs and outputs are normalized.</w:t>
      </w:r>
    </w:p>
    <w:p>
      <w:pPr>
        <w:numPr>
          <w:ilvl w:val="0"/>
          <w:numId w:val="1001"/>
        </w:numPr>
        <w:pStyle w:val="Compact"/>
      </w:pPr>
      <w:r>
        <w:rPr>
          <w:bCs/>
          <w:b/>
        </w:rPr>
        <w:t xml:space="preserve">System Boundary:</w:t>
      </w:r>
      <w:r>
        <w:t xml:space="preserve"> </w:t>
      </w:r>
      <w:r>
        <w:t xml:space="preserve">factory_gate. This "cradle-to-gate" boundary for initial assessment includes raw material acquisition, manufacturing, and transport to the factory gate. However, for a comprehensive PCF, this report extends to cover the full lifecycle, including transportation to the customer, product use, and end-of-life treatment, categorizing all relevant emissions.</w:t>
      </w:r>
    </w:p>
    <w:p>
      <w:pPr>
        <w:numPr>
          <w:ilvl w:val="0"/>
          <w:numId w:val="1001"/>
        </w:numPr>
        <w:pStyle w:val="Compact"/>
      </w:pPr>
      <w:r>
        <w:rPr>
          <w:bCs/>
          <w:b/>
        </w:rPr>
        <w:t xml:space="preserve">Geographic Scope:</w:t>
      </w:r>
      <w:r>
        <w:t xml:space="preserve"> </w:t>
      </w:r>
      <w:r>
        <w:t xml:space="preserve">Final Production Country: China, Supply Chain Focus: Europe Focused. This defines the regional context for emission factor selection and supply chain mapping.</w:t>
      </w:r>
    </w:p>
    <w:p>
      <w:pPr>
        <w:numPr>
          <w:ilvl w:val="0"/>
          <w:numId w:val="1001"/>
        </w:numPr>
        <w:pStyle w:val="Compact"/>
      </w:pPr>
      <w:r>
        <w:rPr>
          <w:bCs/>
          <w:b/>
        </w:rPr>
        <w:t xml:space="preserve">Accounting Standard:</w:t>
      </w:r>
      <w:r>
        <w:t xml:space="preserve"> </w:t>
      </w:r>
      <w:r>
        <w:t xml:space="preserve">Greenhouse Gas (GHG) Protocol. This globally recognized framework guides the categorization and quantification of emissions into Scope 1, Scope 2, and Scope 3.</w:t>
      </w:r>
    </w:p>
    <w:p>
      <w:pPr>
        <w:numPr>
          <w:ilvl w:val="0"/>
          <w:numId w:val="1001"/>
        </w:numPr>
        <w:pStyle w:val="Compact"/>
      </w:pPr>
      <w:r>
        <w:rPr>
          <w:bCs/>
          <w:b/>
        </w:rPr>
        <w:t xml:space="preserve">Allocation:</w:t>
      </w:r>
      <w:r>
        <w:t xml:space="preserve"> </w:t>
      </w:r>
      <w:r>
        <w:t xml:space="preserve">Emissions are allocated directly to the functional unit based on mass and energy consumption throughout the product\'s lifecycle. Where shared processes occur, economic allocation or mass allocation is applied as appropriate, ensuring no double-counting and full accountability.</w:t>
      </w:r>
    </w:p>
    <w:p>
      <w:r>
        <w:pict>
          <v:rect style="width:0;height:1.5pt" o:hralign="center" o:hrstd="t" o:hr="t"/>
        </w:pict>
      </w:r>
    </w:p>
    <w:bookmarkEnd w:id="22"/>
    <w:bookmarkStart w:id="28" w:name="X5b65be45848e8ebf641a72983b24f262a4ce7a0"/>
    <w:p>
      <w:pPr>
        <w:pStyle w:val="Heading2"/>
      </w:pPr>
      <w:r>
        <w:t xml:space="preserve">2. Map Lifecycle (Life Cycle Inventory - LCI Stages)</w:t>
      </w:r>
    </w:p>
    <w:p>
      <w:pPr>
        <w:pStyle w:val="FirstParagraph"/>
      </w:pPr>
      <w:r>
        <w:t xml:space="preserve">The lifecycle of ywehzmgkug is mapped across several key stages to capture all significant greenhouse gas emissions. These stages form the basis of the Life Cycle Inventory (LCI).</w:t>
      </w:r>
    </w:p>
    <w:bookmarkStart w:id="23" w:name="X27a25553588624fb7137dac639b913f4bd3af60"/>
    <w:p>
      <w:pPr>
        <w:pStyle w:val="Heading3"/>
      </w:pPr>
      <w:r>
        <w:t xml:space="preserve">2.1. Material Acquisition &amp; Pre-processing (Upstream - Scope 3)</w:t>
      </w:r>
    </w:p>
    <w:p>
      <w:pPr>
        <w:pStyle w:val="FirstParagraph"/>
      </w:pPr>
      <w:r>
        <w:t xml:space="preserve">This stage includes the extraction, processing, and manufacturing of all raw materials and components as detailed in the Bill of Materials (BOM), up to their delivery at the final production facility.</w:t>
      </w:r>
    </w:p>
    <w:p>
      <w:pPr>
        <w:pStyle w:val="BodyText"/>
      </w:pPr>
      <w:r>
        <w:rPr>
          <w:bCs/>
          <w:b/>
        </w:rPr>
        <w:t xml:space="preserve">Detailed Bill of Materials (BOM) for ywehzmgkug (Illustrative Data based on \'lkjdldey\' format):</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Circuit Board (FR4)</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0.10</w:t>
            </w:r>
          </w:p>
        </w:tc>
        <w:tc>
          <w:tcPr/>
          <w:p>
            <w:pPr>
              <w:pStyle w:val="Compact"/>
              <w:jc w:val="left"/>
            </w:pPr>
            <w:r>
              <w:t xml:space="preserve">kg</w:t>
            </w:r>
          </w:p>
        </w:tc>
        <w:tc>
          <w:tcPr/>
          <w:p>
            <w:pPr>
              <w:pStyle w:val="Compact"/>
              <w:jc w:val="left"/>
            </w:pPr>
            <w:r>
              <w:t xml:space="preserve">15.00</w:t>
            </w:r>
          </w:p>
        </w:tc>
        <w:tc>
          <w:tcPr/>
          <w:p>
            <w:pPr>
              <w:pStyle w:val="Compact"/>
              <w:jc w:val="left"/>
            </w:pPr>
            <w:r>
              <w:t xml:space="preserve">1.50</w:t>
            </w:r>
          </w:p>
        </w:tc>
      </w:tr>
      <w:tr>
        <w:tc>
          <w:tcPr/>
          <w:p>
            <w:pPr>
              <w:pStyle w:val="Compact"/>
              <w:jc w:val="left"/>
            </w:pPr>
            <w:r>
              <w:t xml:space="preserve">M002</w:t>
            </w:r>
          </w:p>
        </w:tc>
        <w:tc>
          <w:tcPr/>
          <w:p>
            <w:pPr>
              <w:pStyle w:val="Compact"/>
              <w:jc w:val="left"/>
            </w:pPr>
            <w:r>
              <w:t xml:space="preserve">Plastic Casing (ABS)</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0.20</w:t>
            </w:r>
          </w:p>
        </w:tc>
        <w:tc>
          <w:tcPr/>
          <w:p>
            <w:pPr>
              <w:pStyle w:val="Compact"/>
              <w:jc w:val="left"/>
            </w:pPr>
            <w:r>
              <w:t xml:space="preserve">kg</w:t>
            </w:r>
          </w:p>
        </w:tc>
        <w:tc>
          <w:tcPr/>
          <w:p>
            <w:pPr>
              <w:pStyle w:val="Compact"/>
              <w:jc w:val="left"/>
            </w:pPr>
            <w:r>
              <w:t xml:space="preserve">3.50</w:t>
            </w:r>
          </w:p>
        </w:tc>
        <w:tc>
          <w:tcPr/>
          <w:p>
            <w:pPr>
              <w:pStyle w:val="Compact"/>
              <w:jc w:val="left"/>
            </w:pPr>
            <w:r>
              <w:t xml:space="preserve">0.70</w:t>
            </w:r>
          </w:p>
        </w:tc>
      </w:tr>
      <w:tr>
        <w:tc>
          <w:tcPr/>
          <w:p>
            <w:pPr>
              <w:pStyle w:val="Compact"/>
              <w:jc w:val="left"/>
            </w:pPr>
            <w:r>
              <w:t xml:space="preserve">M003</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20.00</w:t>
            </w:r>
          </w:p>
        </w:tc>
        <w:tc>
          <w:tcPr/>
          <w:p>
            <w:pPr>
              <w:pStyle w:val="Compact"/>
              <w:jc w:val="left"/>
            </w:pPr>
            <w:r>
              <w:t xml:space="preserve">1.00</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4.00</w:t>
            </w:r>
          </w:p>
        </w:tc>
        <w:tc>
          <w:tcPr/>
          <w:p>
            <w:pPr>
              <w:pStyle w:val="Compact"/>
              <w:jc w:val="left"/>
            </w:pPr>
            <w:r>
              <w:t xml:space="preserve">0.08</w:t>
            </w:r>
          </w:p>
        </w:tc>
      </w:tr>
      <w:tr>
        <w:tc>
          <w:tcPr/>
          <w:p>
            <w:pPr>
              <w:pStyle w:val="Compact"/>
              <w:jc w:val="left"/>
            </w:pPr>
            <w:r>
              <w:t xml:space="preserve">M005</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Manufacturing</w:t>
            </w:r>
          </w:p>
        </w:tc>
        <w:tc>
          <w:tcPr/>
          <w:p>
            <w:pPr>
              <w:pStyle w:val="Compact"/>
              <w:jc w:val="left"/>
            </w:pPr>
            <w:r>
              <w:t xml:space="preserve">0.10</w:t>
            </w:r>
          </w:p>
        </w:tc>
        <w:tc>
          <w:tcPr/>
          <w:p>
            <w:pPr>
              <w:pStyle w:val="Compact"/>
              <w:jc w:val="left"/>
            </w:pPr>
            <w:r>
              <w:t xml:space="preserve">kg</w:t>
            </w:r>
          </w:p>
        </w:tc>
        <w:tc>
          <w:tcPr/>
          <w:p>
            <w:pPr>
              <w:pStyle w:val="Compact"/>
              <w:jc w:val="left"/>
            </w:pPr>
            <w:r>
              <w:t xml:space="preserve">1.00</w:t>
            </w:r>
          </w:p>
        </w:tc>
        <w:tc>
          <w:tcPr/>
          <w:p>
            <w:pPr>
              <w:pStyle w:val="Compact"/>
              <w:jc w:val="left"/>
            </w:pPr>
            <w:r>
              <w:t xml:space="preserve">0.10</w:t>
            </w:r>
          </w:p>
        </w:tc>
      </w:tr>
      <w:tr>
        <w:tc>
          <w:tcPr>
            <w:gridSpan w:val="7"/>
          </w:tcPr>
          <w:p>
            <w:pPr>
              <w:pStyle w:val="Compact"/>
              <w:jc w:val="right"/>
            </w:pPr>
            <w:r>
              <w:rPr>
                <w:bCs/>
                <w:b/>
              </w:rPr>
              <w:t xml:space="preserve">Total Material Carbon Footprint:</w:t>
            </w:r>
          </w:p>
        </w:tc>
        <w:tc>
          <w:tcPr/>
          <w:p>
            <w:pPr>
              <w:pStyle w:val="Compact"/>
              <w:jc w:val="left"/>
            </w:pPr>
            <w:r>
              <w:rPr>
                <w:bCs/>
                <w:b/>
              </w:rPr>
              <w:t xml:space="preserve">3.38 kg CO2e</w:t>
            </w:r>
          </w:p>
        </w:tc>
      </w:tr>
    </w:tbl>
    <w:p>
      <w:pPr>
        <w:pStyle w:val="BodyText"/>
      </w:pPr>
      <w:r>
        <w:rPr>
          <w:iCs/>
          <w:i/>
        </w:rPr>
        <w:t xml:space="preserve">Note: The "Emission Factor" values in the BOM table are illustrative and representative of industry averages for such materials. The "Total Carbon" is calculated directly from the provided Quantity and Emission Factor.</w:t>
      </w:r>
    </w:p>
    <w:bookmarkEnd w:id="23"/>
    <w:bookmarkStart w:id="24" w:name="manufacturing-factory-gate---scope-1-2"/>
    <w:p>
      <w:pPr>
        <w:pStyle w:val="Heading3"/>
      </w:pPr>
      <w:r>
        <w:t xml:space="preserve">2.2. Manufacturing (Factory Gate - Scope 1 &amp; 2)</w:t>
      </w:r>
    </w:p>
    <w:p>
      <w:pPr>
        <w:pStyle w:val="FirstParagraph"/>
      </w:pPr>
      <w:r>
        <w:t xml:space="preserve">This stage covers the direct (Scope 1) and indirect (Scope 2) emissions from the production processes at the</w:t>
      </w:r>
      <w:r>
        <w:t xml:space="preserve"> </w:t>
      </w:r>
      <w:r>
        <w:rPr>
          <w:bCs/>
          <w:b/>
        </w:rPr>
        <w:t xml:space="preserve">lfelyhkiwu</w:t>
      </w:r>
      <w:r>
        <w:t xml:space="preserve"> </w:t>
      </w:r>
      <w:r>
        <w:t xml:space="preserve">facility in China.</w:t>
      </w:r>
    </w:p>
    <w:p>
      <w:pPr>
        <w:numPr>
          <w:ilvl w:val="0"/>
          <w:numId w:val="1002"/>
        </w:numPr>
        <w:pStyle w:val="Compact"/>
      </w:pPr>
      <w:r>
        <w:rPr>
          <w:bCs/>
          <w:b/>
        </w:rPr>
        <w:t xml:space="preserve">Energy Intensity (kWh/unit):</w:t>
      </w:r>
      <w:r>
        <w:t xml:space="preserve"> </w:t>
      </w:r>
      <w:r>
        <w:t xml:space="preserve">zqlknhoujf (20 kWh/unit)</w:t>
      </w:r>
    </w:p>
    <w:p>
      <w:pPr>
        <w:numPr>
          <w:ilvl w:val="0"/>
          <w:numId w:val="1002"/>
        </w:numPr>
        <w:pStyle w:val="Compact"/>
      </w:pPr>
      <w:r>
        <w:rPr>
          <w:bCs/>
          <w:b/>
        </w:rPr>
        <w:t xml:space="preserve">Renewable Energy Usage:</w:t>
      </w:r>
      <w:r>
        <w:t xml:space="preserve"> </w:t>
      </w:r>
      <w:r>
        <w:t xml:space="preserve">grqkimgktf (50%)</w:t>
      </w:r>
    </w:p>
    <w:p>
      <w:pPr>
        <w:numPr>
          <w:ilvl w:val="0"/>
          <w:numId w:val="1002"/>
        </w:numPr>
        <w:pStyle w:val="Compact"/>
      </w:pPr>
      <w:r>
        <w:rPr>
          <w:bCs/>
          <w:b/>
        </w:rPr>
        <w:t xml:space="preserve">Product Weight (total from BOM):</w:t>
      </w:r>
      <w:r>
        <w:t xml:space="preserve"> </w:t>
      </w:r>
      <w:r>
        <w:t xml:space="preserve">0.47 kg</w:t>
      </w:r>
    </w:p>
    <w:bookmarkEnd w:id="24"/>
    <w:bookmarkStart w:id="25" w:name="X11f5d096783fb9d2822b064c95541c3fbb06886"/>
    <w:p>
      <w:pPr>
        <w:pStyle w:val="Heading3"/>
      </w:pPr>
      <w:r>
        <w:t xml:space="preserve">2.3. Transportation (Upstream &amp; Downstream - Scope 3)</w:t>
      </w:r>
    </w:p>
    <w:p>
      <w:pPr>
        <w:pStyle w:val="FirstParagraph"/>
      </w:pPr>
      <w:r>
        <w:t xml:space="preserve">Transportation emissions encompass the movement of raw materials to the manufacturing facility and the finished product to the customer.</w:t>
      </w:r>
    </w:p>
    <w:p>
      <w:pPr>
        <w:numPr>
          <w:ilvl w:val="0"/>
          <w:numId w:val="1003"/>
        </w:numPr>
        <w:pStyle w:val="Compact"/>
      </w:pPr>
      <w:r>
        <w:rPr>
          <w:bCs/>
          <w:b/>
        </w:rPr>
        <w:t xml:space="preserve">Inbound Logistics (Raw Materials):</w:t>
      </w:r>
      <w:r>
        <w:t xml:space="preserve"> </w:t>
      </w:r>
      <w:r>
        <w:t xml:space="preserve">Assumed average for components from Europe to China.</w:t>
      </w:r>
    </w:p>
    <w:p>
      <w:pPr>
        <w:numPr>
          <w:ilvl w:val="1"/>
          <w:numId w:val="1004"/>
        </w:numPr>
        <w:pStyle w:val="Compact"/>
      </w:pPr>
      <w:r>
        <w:rPr>
          <w:bCs/>
          <w:b/>
        </w:rPr>
        <w:t xml:space="preserve">Transport Mode:</w:t>
      </w:r>
      <w:r>
        <w:t xml:space="preserve"> </w:t>
      </w:r>
      <w:r>
        <w:t xml:space="preserve">Sea Freight</w:t>
      </w:r>
    </w:p>
    <w:p>
      <w:pPr>
        <w:numPr>
          <w:ilvl w:val="1"/>
          <w:numId w:val="1004"/>
        </w:numPr>
        <w:pStyle w:val="Compact"/>
      </w:pPr>
      <w:r>
        <w:rPr>
          <w:bCs/>
          <w:b/>
        </w:rPr>
        <w:t xml:space="preserve">Transport Distance:</w:t>
      </w:r>
      <w:r>
        <w:t xml:space="preserve"> </w:t>
      </w:r>
      <w:r>
        <w:t xml:space="preserve">8000 km (Illustrative for \'fdrndzgfir\')</w:t>
      </w:r>
    </w:p>
    <w:p>
      <w:pPr>
        <w:numPr>
          <w:ilvl w:val="0"/>
          <w:numId w:val="1003"/>
        </w:numPr>
        <w:pStyle w:val="Compact"/>
      </w:pPr>
      <w:r>
        <w:rPr>
          <w:bCs/>
          <w:b/>
        </w:rPr>
        <w:t xml:space="preserve">Outbound Logistics (Finished Product):</w:t>
      </w:r>
      <w:r>
        <w:t xml:space="preserve"> </w:t>
      </w:r>
      <w:r>
        <w:t xml:space="preserve">Assumed for delivery from China to Europe.</w:t>
      </w:r>
    </w:p>
    <w:p>
      <w:pPr>
        <w:numPr>
          <w:ilvl w:val="1"/>
          <w:numId w:val="1005"/>
        </w:numPr>
        <w:pStyle w:val="Compact"/>
      </w:pPr>
      <w:r>
        <w:rPr>
          <w:bCs/>
          <w:b/>
        </w:rPr>
        <w:t xml:space="preserve">Transport Mode (Main Leg):</w:t>
      </w:r>
      <w:r>
        <w:t xml:space="preserve"> </w:t>
      </w:r>
      <w:r>
        <w:t xml:space="preserve">Sea Freight</w:t>
      </w:r>
    </w:p>
    <w:p>
      <w:pPr>
        <w:numPr>
          <w:ilvl w:val="1"/>
          <w:numId w:val="1005"/>
        </w:numPr>
        <w:pStyle w:val="Compact"/>
      </w:pPr>
      <w:r>
        <w:rPr>
          <w:bCs/>
          <w:b/>
        </w:rPr>
        <w:t xml:space="preserve">Transport Distance (Main Leg):</w:t>
      </w:r>
      <w:r>
        <w:t xml:space="preserve"> </w:t>
      </w:r>
      <w:r>
        <w:t xml:space="preserve">8000 km (Illustrative for \'fdrndzgfir\')</w:t>
      </w:r>
    </w:p>
    <w:p>
      <w:pPr>
        <w:numPr>
          <w:ilvl w:val="1"/>
          <w:numId w:val="1005"/>
        </w:numPr>
        <w:pStyle w:val="Compact"/>
      </w:pPr>
      <w:r>
        <w:rPr>
          <w:bCs/>
          <w:b/>
        </w:rPr>
        <w:t xml:space="preserve">Last-Mile Delivery Channel:</w:t>
      </w:r>
      <w:r>
        <w:t xml:space="preserve"> </w:t>
      </w:r>
      <w:r>
        <w:t xml:space="preserve">Delivery Type (Standard Parcel Service - Road)</w:t>
      </w:r>
    </w:p>
    <w:p>
      <w:pPr>
        <w:numPr>
          <w:ilvl w:val="1"/>
          <w:numId w:val="1005"/>
        </w:numPr>
        <w:pStyle w:val="Compact"/>
      </w:pPr>
      <w:r>
        <w:rPr>
          <w:bCs/>
          <w:b/>
        </w:rPr>
        <w:t xml:space="preserve">Last-Mile Delivery Distance:</w:t>
      </w:r>
      <w:r>
        <w:t xml:space="preserve"> </w:t>
      </w:r>
      <w:r>
        <w:t xml:space="preserve">200 km (Illustrative for \'fdrndzgfir\')</w:t>
      </w:r>
    </w:p>
    <w:bookmarkEnd w:id="25"/>
    <w:bookmarkStart w:id="26" w:name="use-phase-downstream---scope-3"/>
    <w:p>
      <w:pPr>
        <w:pStyle w:val="Heading3"/>
      </w:pPr>
      <w:r>
        <w:t xml:space="preserve">2.4. Use Phase (Downstream - Scope 3)</w:t>
      </w:r>
    </w:p>
    <w:p>
      <w:pPr>
        <w:pStyle w:val="FirstParagraph"/>
      </w:pPr>
      <w:r>
        <w:t xml:space="preserve">This stage accounts for the emissions generated during the typical use of the product by the consumer.</w:t>
      </w:r>
    </w:p>
    <w:p>
      <w:pPr>
        <w:numPr>
          <w:ilvl w:val="0"/>
          <w:numId w:val="1006"/>
        </w:numPr>
        <w:pStyle w:val="Compact"/>
      </w:pPr>
      <w:r>
        <w:rPr>
          <w:bCs/>
          <w:b/>
        </w:rPr>
        <w:t xml:space="preserve">Product Lifespan:</w:t>
      </w:r>
      <w:r>
        <w:t xml:space="preserve"> </w:t>
      </w:r>
      <w:r>
        <w:t xml:space="preserve">sgvrdmozoi (5 years)</w:t>
      </w:r>
    </w:p>
    <w:p>
      <w:pPr>
        <w:numPr>
          <w:ilvl w:val="0"/>
          <w:numId w:val="1006"/>
        </w:numPr>
        <w:pStyle w:val="Compact"/>
      </w:pPr>
      <w:r>
        <w:rPr>
          <w:bCs/>
          <w:b/>
        </w:rPr>
        <w:t xml:space="preserve">Energy Consumption in Use:</w:t>
      </w:r>
      <w:r>
        <w:t xml:space="preserve"> </w:t>
      </w:r>
      <w:r>
        <w:t xml:space="preserve">expwnwtgzk (10 kWh/year)</w:t>
      </w:r>
    </w:p>
    <w:bookmarkEnd w:id="26"/>
    <w:bookmarkStart w:id="27" w:name="Xa3178291067b17801a9514a396b61d67321e6a2"/>
    <w:p>
      <w:pPr>
        <w:pStyle w:val="Heading3"/>
      </w:pPr>
      <w:r>
        <w:t xml:space="preserve">2.5. End-of-Life (EoL) Treatment (Downstream - Scope 3)</w:t>
      </w:r>
    </w:p>
    <w:p>
      <w:pPr>
        <w:pStyle w:val="FirstParagraph"/>
      </w:pPr>
      <w:r>
        <w:t xml:space="preserve">This stage covers emissions from the disposal or recycling of the product at the end of its useful life.</w:t>
      </w:r>
    </w:p>
    <w:p>
      <w:pPr>
        <w:numPr>
          <w:ilvl w:val="0"/>
          <w:numId w:val="1007"/>
        </w:numPr>
        <w:pStyle w:val="Compact"/>
      </w:pPr>
      <w:r>
        <w:rPr>
          <w:bCs/>
          <w:b/>
        </w:rPr>
        <w:t xml:space="preserve">Recyclability Percentage:</w:t>
      </w:r>
      <w:r>
        <w:t xml:space="preserve"> </w:t>
      </w:r>
      <w:r>
        <w:t xml:space="preserve">jkpojxiunm (70%)</w:t>
      </w:r>
    </w:p>
    <w:p>
      <w:pPr>
        <w:numPr>
          <w:ilvl w:val="0"/>
          <w:numId w:val="1007"/>
        </w:numPr>
        <w:pStyle w:val="Compact"/>
      </w:pPr>
      <w:r>
        <w:rPr>
          <w:bCs/>
          <w:b/>
        </w:rPr>
        <w:t xml:space="preserve">Circular/Take-back Programs:</w:t>
      </w:r>
      <w:r>
        <w:t xml:space="preserve"> </w:t>
      </w:r>
      <w:r>
        <w:t xml:space="preserve">ekoesmondn (Company-sponsored take-back scheme)</w:t>
      </w:r>
    </w:p>
    <w:p>
      <w:r>
        <w:pict>
          <v:rect style="width:0;height:1.5pt" o:hralign="center" o:hrstd="t" o:hr="t"/>
        </w:pict>
      </w:r>
    </w:p>
    <w:bookmarkEnd w:id="27"/>
    <w:bookmarkEnd w:id="28"/>
    <w:bookmarkStart w:id="31" w:name="collect-data"/>
    <w:p>
      <w:pPr>
        <w:pStyle w:val="Heading2"/>
      </w:pPr>
      <w:r>
        <w:t xml:space="preserve">3. Collect Data</w:t>
      </w:r>
    </w:p>
    <w:p>
      <w:pPr>
        <w:pStyle w:val="FirstParagraph"/>
      </w:pPr>
      <w:r>
        <w:t xml:space="preserve">Data collection for this PCF analysis relies on a combination of primary data (provided parameters) and secondary, industry-standard emission factors.</w:t>
      </w:r>
    </w:p>
    <w:bookmarkStart w:id="29" w:name="primary-data-points-provided-parameters"/>
    <w:p>
      <w:pPr>
        <w:pStyle w:val="Heading3"/>
      </w:pPr>
      <w:r>
        <w:t xml:space="preserve">3.1. Primary Data Points (Provided Parameters)</w:t>
      </w:r>
    </w:p>
    <w:p>
      <w:pPr>
        <w:numPr>
          <w:ilvl w:val="0"/>
          <w:numId w:val="1008"/>
        </w:numPr>
        <w:pStyle w:val="Compact"/>
      </w:pPr>
      <w:r>
        <w:t xml:space="preserve">Company Name: lfelyhkiwu</w:t>
      </w:r>
    </w:p>
    <w:p>
      <w:pPr>
        <w:numPr>
          <w:ilvl w:val="0"/>
          <w:numId w:val="1008"/>
        </w:numPr>
        <w:pStyle w:val="Compact"/>
      </w:pPr>
      <w:r>
        <w:t xml:space="preserve">Senior Sustainability Consultant: euzoesmzqm</w:t>
      </w:r>
    </w:p>
    <w:p>
      <w:pPr>
        <w:numPr>
          <w:ilvl w:val="0"/>
          <w:numId w:val="1008"/>
        </w:numPr>
        <w:pStyle w:val="Compact"/>
      </w:pPr>
      <w:r>
        <w:t xml:space="preserve">Product Name: ywehzmgkug</w:t>
      </w:r>
    </w:p>
    <w:p>
      <w:pPr>
        <w:numPr>
          <w:ilvl w:val="0"/>
          <w:numId w:val="1008"/>
        </w:numPr>
        <w:pStyle w:val="Compact"/>
      </w:pPr>
      <w:r>
        <w:t xml:space="preserve">Detailed Bill of Materials (BOM): lkjdldey (as detailed in section 2.1)</w:t>
      </w:r>
    </w:p>
    <w:p>
      <w:pPr>
        <w:numPr>
          <w:ilvl w:val="0"/>
          <w:numId w:val="1008"/>
        </w:numPr>
        <w:pStyle w:val="Compact"/>
      </w:pPr>
      <w:r>
        <w:t xml:space="preserve">Transport Mode: Select Mode (assumed Sea Freight and Road Freight)</w:t>
      </w:r>
    </w:p>
    <w:p>
      <w:pPr>
        <w:numPr>
          <w:ilvl w:val="0"/>
          <w:numId w:val="1008"/>
        </w:numPr>
        <w:pStyle w:val="Compact"/>
      </w:pPr>
      <w:r>
        <w:t xml:space="preserve">Transport Distance: fdrndzgfir (assumed 8000 km Sea, 200 km Road)</w:t>
      </w:r>
    </w:p>
    <w:p>
      <w:pPr>
        <w:numPr>
          <w:ilvl w:val="0"/>
          <w:numId w:val="1008"/>
        </w:numPr>
        <w:pStyle w:val="Compact"/>
      </w:pPr>
      <w:r>
        <w:t xml:space="preserve">Last-Mile Delivery Channel: Delivery Type (assumed Standard Parcel Service)</w:t>
      </w:r>
    </w:p>
    <w:p>
      <w:pPr>
        <w:numPr>
          <w:ilvl w:val="0"/>
          <w:numId w:val="1008"/>
        </w:numPr>
        <w:pStyle w:val="Compact"/>
      </w:pPr>
      <w:r>
        <w:t xml:space="preserve">Renewable Energy Usage: grqkimgktf (50%)</w:t>
      </w:r>
    </w:p>
    <w:p>
      <w:pPr>
        <w:numPr>
          <w:ilvl w:val="0"/>
          <w:numId w:val="1008"/>
        </w:numPr>
        <w:pStyle w:val="Compact"/>
      </w:pPr>
      <w:r>
        <w:t xml:space="preserve">Energy Intensity (kWh/unit): zqlknhoujf (20 kWh/unit)</w:t>
      </w:r>
    </w:p>
    <w:p>
      <w:pPr>
        <w:numPr>
          <w:ilvl w:val="0"/>
          <w:numId w:val="1008"/>
        </w:numPr>
        <w:pStyle w:val="Compact"/>
      </w:pPr>
      <w:r>
        <w:t xml:space="preserve">Product Lifespan: sgvrdmozoi (5 years)</w:t>
      </w:r>
    </w:p>
    <w:p>
      <w:pPr>
        <w:numPr>
          <w:ilvl w:val="0"/>
          <w:numId w:val="1008"/>
        </w:numPr>
        <w:pStyle w:val="Compact"/>
      </w:pPr>
      <w:r>
        <w:t xml:space="preserve">Energy Consumption in Use: expwnwtgzk (10 kWh/year)</w:t>
      </w:r>
    </w:p>
    <w:p>
      <w:pPr>
        <w:numPr>
          <w:ilvl w:val="0"/>
          <w:numId w:val="1008"/>
        </w:numPr>
        <w:pStyle w:val="Compact"/>
      </w:pPr>
      <w:r>
        <w:t xml:space="preserve">Recyclability Percentage: jkpojxiunm (70%)</w:t>
      </w:r>
    </w:p>
    <w:p>
      <w:pPr>
        <w:numPr>
          <w:ilvl w:val="0"/>
          <w:numId w:val="1008"/>
        </w:numPr>
        <w:pStyle w:val="Compact"/>
      </w:pPr>
      <w:r>
        <w:t xml:space="preserve">Circular/Take-back Programs: ekoesmondn (Company-sponsored take-back scheme)</w:t>
      </w:r>
    </w:p>
    <w:p>
      <w:pPr>
        <w:numPr>
          <w:ilvl w:val="0"/>
          <w:numId w:val="1008"/>
        </w:numPr>
        <w:pStyle w:val="Compact"/>
      </w:pPr>
      <w:r>
        <w:t xml:space="preserve">Functional Unit: 1.0 unit</w:t>
      </w:r>
    </w:p>
    <w:p>
      <w:pPr>
        <w:numPr>
          <w:ilvl w:val="0"/>
          <w:numId w:val="1008"/>
        </w:numPr>
        <w:pStyle w:val="Compact"/>
      </w:pPr>
      <w:r>
        <w:t xml:space="preserve">System Boundary: factory_gate (extended to full lifecycle for PCF)</w:t>
      </w:r>
    </w:p>
    <w:p>
      <w:pPr>
        <w:numPr>
          <w:ilvl w:val="0"/>
          <w:numId w:val="1008"/>
        </w:numPr>
        <w:pStyle w:val="Compact"/>
      </w:pPr>
      <w:r>
        <w:t xml:space="preserve">Geographic Scope: Final Production Country: China, Supply Chain Focus: Europe Focused</w:t>
      </w:r>
    </w:p>
    <w:p>
      <w:pPr>
        <w:numPr>
          <w:ilvl w:val="0"/>
          <w:numId w:val="1008"/>
        </w:numPr>
        <w:pStyle w:val="Compact"/>
      </w:pPr>
      <w:r>
        <w:t xml:space="preserve">Accounting Standard: GHG Protocol</w:t>
      </w:r>
    </w:p>
    <w:bookmarkEnd w:id="29"/>
    <w:bookmarkStart w:id="30" w:name="X45b1278a3d5c9aef71c1a317475df2db1c70170"/>
    <w:p>
      <w:pPr>
        <w:pStyle w:val="Heading3"/>
      </w:pPr>
      <w:r>
        <w:t xml:space="preserve">3.2. Secondary Data Points (Industry-Standard Emission Factors)</w:t>
      </w:r>
    </w:p>
    <w:p>
      <w:pPr>
        <w:pStyle w:val="FirstParagraph"/>
      </w:pPr>
      <w:r>
        <w:t xml:space="preserve">Emission factors are sourced from reputable databases such as Ecoinvent and DEFRA, or recognized industry averages, to ensure robust calculations.</w:t>
      </w:r>
    </w:p>
    <w:p>
      <w:pPr>
        <w:numPr>
          <w:ilvl w:val="0"/>
          <w:numId w:val="1009"/>
        </w:numPr>
        <w:pStyle w:val="Compact"/>
      </w:pPr>
      <w:r>
        <w:rPr>
          <w:bCs/>
          <w:b/>
        </w:rPr>
        <w:t xml:space="preserve">Electricity Grid Emission Factor (China):</w:t>
      </w:r>
      <w:r>
        <w:t xml:space="preserve"> </w:t>
      </w:r>
      <w:r>
        <w:t xml:space="preserve">Approximately 0.58 kg CO2e/kWh (average of MEE and IEA data for 2021). This factor is used for manufacturing in China and for product use in China (if applicable, though general European use is assumed for downstream).</w:t>
      </w:r>
    </w:p>
    <w:p>
      <w:pPr>
        <w:numPr>
          <w:ilvl w:val="0"/>
          <w:numId w:val="1009"/>
        </w:numPr>
        <w:pStyle w:val="Compact"/>
      </w:pPr>
      <w:r>
        <w:rPr>
          <w:bCs/>
          <w:b/>
        </w:rPr>
        <w:t xml:space="preserve">Electricity Grid Emission Factor (Europe):</w:t>
      </w:r>
      <w:r>
        <w:t xml:space="preserve"> </w:t>
      </w:r>
      <w:r>
        <w:t xml:space="preserve">Approximately 0.20 kg CO2e/kWh (average for Europe, 2024-2025). This factor is used for the use phase (assuming product is used in Europe).</w:t>
      </w:r>
    </w:p>
    <w:p>
      <w:pPr>
        <w:numPr>
          <w:ilvl w:val="0"/>
          <w:numId w:val="1009"/>
        </w:numPr>
        <w:pStyle w:val="Compact"/>
      </w:pPr>
      <w:r>
        <w:rPr>
          <w:bCs/>
          <w:b/>
        </w:rPr>
        <w:t xml:space="preserve">Sea Freight Emission Factor:</w:t>
      </w:r>
      <w:r>
        <w:t xml:space="preserve"> </w:t>
      </w:r>
      <w:r>
        <w:t xml:space="preserve">0.018 kg CO2e/tonne-km (average for container ships).</w:t>
      </w:r>
    </w:p>
    <w:p>
      <w:pPr>
        <w:numPr>
          <w:ilvl w:val="0"/>
          <w:numId w:val="1009"/>
        </w:numPr>
        <w:pStyle w:val="Compact"/>
      </w:pPr>
      <w:r>
        <w:rPr>
          <w:bCs/>
          <w:b/>
        </w:rPr>
        <w:t xml:space="preserve">Road Freight Emission Factor:</w:t>
      </w:r>
      <w:r>
        <w:t xml:space="preserve"> </w:t>
      </w:r>
      <w:r>
        <w:t xml:space="preserve">0.15 kg CO2e/tonne-km (general average for trucks).</w:t>
      </w:r>
    </w:p>
    <w:p>
      <w:pPr>
        <w:numPr>
          <w:ilvl w:val="0"/>
          <w:numId w:val="1009"/>
        </w:numPr>
        <w:pStyle w:val="Compact"/>
      </w:pPr>
      <w:r>
        <w:rPr>
          <w:bCs/>
          <w:b/>
        </w:rPr>
        <w:t xml:space="preserve">Plastic Landfill Emission Factor:</w:t>
      </w:r>
      <w:r>
        <w:t xml:space="preserve"> </w:t>
      </w:r>
      <w:r>
        <w:t xml:space="preserve">0.03 kg CO2e/kg (illustrative average).</w:t>
      </w:r>
    </w:p>
    <w:p>
      <w:pPr>
        <w:numPr>
          <w:ilvl w:val="0"/>
          <w:numId w:val="1009"/>
        </w:numPr>
        <w:pStyle w:val="Compact"/>
      </w:pPr>
      <w:r>
        <w:rPr>
          <w:bCs/>
          <w:b/>
        </w:rPr>
        <w:t xml:space="preserve">Plastic Recycling Process Emission Factor:</w:t>
      </w:r>
      <w:r>
        <w:t xml:space="preserve"> </w:t>
      </w:r>
      <w:r>
        <w:t xml:space="preserve">0.15 kg CO2e/kg (illustrative for processing, does not include avoided virgin material).</w:t>
      </w:r>
    </w:p>
    <w:p>
      <w:r>
        <w:pict>
          <v:rect style="width:0;height:1.5pt" o:hralign="center" o:hrstd="t" o:hr="t"/>
        </w:pict>
      </w:r>
    </w:p>
    <w:bookmarkEnd w:id="30"/>
    <w:bookmarkEnd w:id="31"/>
    <w:bookmarkStart w:id="39" w:name="calculate-emissions"/>
    <w:p>
      <w:pPr>
        <w:pStyle w:val="Heading2"/>
      </w:pPr>
      <w:r>
        <w:t xml:space="preserve">4. Calculate Emissions</w:t>
      </w:r>
    </w:p>
    <w:p>
      <w:pPr>
        <w:pStyle w:val="FirstParagraph"/>
      </w:pPr>
      <w:r>
        <w:t xml:space="preserve">Emissions are calculated for each stage by multiplying activity data by the relevant emission factor (Activity * Emission Factor = CO2e). Emissions are then categorized according to the GHG Protocol\'s Scope 1, 2, and 3 definitions.</w:t>
      </w:r>
    </w:p>
    <w:bookmarkStart w:id="32" w:name="X4a0967fde2e57d68680411754f837a570478ba8"/>
    <w:p>
      <w:pPr>
        <w:pStyle w:val="Heading3"/>
      </w:pPr>
      <w:r>
        <w:t xml:space="preserve">4.1. Scope 1: Direct Emissions (Operational Control)</w:t>
      </w:r>
    </w:p>
    <w:p>
      <w:pPr>
        <w:pStyle w:val="FirstParagraph"/>
      </w:pPr>
      <w:r>
        <w:t xml:space="preserve">For a product carbon footprint, Scope 1 emissions are typically very limited unless direct fuel combustion at the manufacturing site is specifically attributed to the product. In this "factory_gate" system boundary and provided parameters, direct fuel combustion is not specified as a direct input for the functional unit. Therefore, Scope 1 emissions for the production of one unit of ywehzmgkug are considered negligible or embedded within the energy intensity if directly generated electricity/heat from fossil fuels on-site.</w:t>
      </w:r>
    </w:p>
    <w:p>
      <w:pPr>
        <w:numPr>
          <w:ilvl w:val="0"/>
          <w:numId w:val="1010"/>
        </w:numPr>
        <w:pStyle w:val="Compact"/>
      </w:pPr>
      <w:r>
        <w:rPr>
          <w:bCs/>
          <w:b/>
        </w:rPr>
        <w:t xml:space="preserve">Calculated Scope 1 Emissions:</w:t>
      </w:r>
      <w:r>
        <w:t xml:space="preserve"> </w:t>
      </w:r>
      <w:r>
        <w:t xml:space="preserve">0.00 kg CO2e (Assumed negligible as direct combustion not specified for product unit production).</w:t>
      </w:r>
    </w:p>
    <w:bookmarkEnd w:id="32"/>
    <w:bookmarkStart w:id="33" w:name="X940f739cc6425d99b84e128f190b13e064c5cd0"/>
    <w:p>
      <w:pPr>
        <w:pStyle w:val="Heading3"/>
      </w:pPr>
      <w:r>
        <w:t xml:space="preserve">4.2. Scope 2: Indirect Emissions from Purchased Energy</w:t>
      </w:r>
    </w:p>
    <w:p>
      <w:pPr>
        <w:pStyle w:val="FirstParagraph"/>
      </w:pPr>
      <w:r>
        <w:t xml:space="preserve">These are emissions from the generation of purchased electricity consumed by the manufacturing facility.</w:t>
      </w:r>
    </w:p>
    <w:p>
      <w:pPr>
        <w:numPr>
          <w:ilvl w:val="0"/>
          <w:numId w:val="1011"/>
        </w:numPr>
        <w:pStyle w:val="Compact"/>
      </w:pPr>
      <w:r>
        <w:t xml:space="preserve">Energy Intensity: 20 kWh/unit</w:t>
      </w:r>
    </w:p>
    <w:p>
      <w:pPr>
        <w:numPr>
          <w:ilvl w:val="0"/>
          <w:numId w:val="1011"/>
        </w:numPr>
        <w:pStyle w:val="Compact"/>
      </w:pPr>
      <w:r>
        <w:t xml:space="preserve">Renewable Energy Usage: 50%</w:t>
      </w:r>
    </w:p>
    <w:p>
      <w:pPr>
        <w:numPr>
          <w:ilvl w:val="0"/>
          <w:numId w:val="1011"/>
        </w:numPr>
        <w:pStyle w:val="Compact"/>
      </w:pPr>
      <w:r>
        <w:t xml:space="preserve">Non-renewable energy: 20 kWh/unit * (1 - 0.50) = 10 kWh/unit</w:t>
      </w:r>
    </w:p>
    <w:p>
      <w:pPr>
        <w:numPr>
          <w:ilvl w:val="0"/>
          <w:numId w:val="1011"/>
        </w:numPr>
        <w:pStyle w:val="Compact"/>
      </w:pPr>
      <w:r>
        <w:t xml:space="preserve">Renewable energy (assumed zero emissions at point of use): 20 kWh/unit * 0.50 = 10 kWh/unit</w:t>
      </w:r>
    </w:p>
    <w:p>
      <w:pPr>
        <w:numPr>
          <w:ilvl w:val="0"/>
          <w:numId w:val="1011"/>
        </w:numPr>
        <w:pStyle w:val="Compact"/>
      </w:pPr>
      <w:r>
        <w:t xml:space="preserve">China Grid Emission Factor: 0.58 kg CO2e/kWh</w:t>
      </w:r>
    </w:p>
    <w:p>
      <w:pPr>
        <w:numPr>
          <w:ilvl w:val="0"/>
          <w:numId w:val="1011"/>
        </w:numPr>
        <w:pStyle w:val="Compact"/>
      </w:pPr>
      <w:r>
        <w:rPr>
          <w:bCs/>
          <w:b/>
        </w:rPr>
        <w:t xml:space="preserve">Calculated Scope 2 Emissions:</w:t>
      </w:r>
      <w:r>
        <w:t xml:space="preserve"> </w:t>
      </w:r>
      <w:r>
        <w:t xml:space="preserve">10 kWh/unit * 0.58 kg CO2e/kWh = 5.80 kg CO2e</w:t>
      </w:r>
    </w:p>
    <w:bookmarkEnd w:id="33"/>
    <w:bookmarkStart w:id="36" w:name="Xd1c2b652bc5876514f180a21f002993b8de8e83"/>
    <w:p>
      <w:pPr>
        <w:pStyle w:val="Heading3"/>
      </w:pPr>
      <w:r>
        <w:t xml:space="preserve">4.3. Scope 3: Other Indirect Emissions (Value Chain)</w:t>
      </w:r>
    </w:p>
    <w:p>
      <w:pPr>
        <w:pStyle w:val="FirstParagraph"/>
      </w:pPr>
      <w:r>
        <w:t xml:space="preserve">Scope 3 emissions cover the entire value chain, both upstream and downstream. This analysis aims for at least 95% coverage as per 2026 requirements.</w:t>
      </w:r>
    </w:p>
    <w:bookmarkStart w:id="34" w:name="X64e27b0c9a5a65684b24c20061334fde37a363d"/>
    <w:p>
      <w:pPr>
        <w:pStyle w:val="Heading4"/>
      </w:pPr>
      <w:r>
        <w:t xml:space="preserve">4.3.1. Upstream Emissions (Category 1: Purchased Goods and Services)</w:t>
      </w:r>
    </w:p>
    <w:p>
      <w:pPr>
        <w:pStyle w:val="FirstParagraph"/>
      </w:pPr>
      <w:r>
        <w:t xml:space="preserve">Emissions from the extraction, production, and transportation of purchased materials and components.</w:t>
      </w:r>
    </w:p>
    <w:p>
      <w:pPr>
        <w:numPr>
          <w:ilvl w:val="0"/>
          <w:numId w:val="1012"/>
        </w:numPr>
        <w:pStyle w:val="Compact"/>
      </w:pPr>
      <w:r>
        <w:rPr>
          <w:bCs/>
          <w:b/>
        </w:rPr>
        <w:t xml:space="preserve">Materials (from BOM):</w:t>
      </w:r>
      <w:r>
        <w:t xml:space="preserve"> </w:t>
      </w:r>
      <w:r>
        <w:t xml:space="preserve">3.38 kg CO2e</w:t>
      </w:r>
    </w:p>
    <w:p>
      <w:pPr>
        <w:numPr>
          <w:ilvl w:val="0"/>
          <w:numId w:val="1012"/>
        </w:numPr>
        <w:pStyle w:val="Compact"/>
      </w:pPr>
      <w:r>
        <w:rPr>
          <w:bCs/>
          <w:b/>
        </w:rPr>
        <w:t xml:space="preserve">Inbound Transportation:</w:t>
      </w:r>
    </w:p>
    <w:p>
      <w:pPr>
        <w:numPr>
          <w:ilvl w:val="1"/>
          <w:numId w:val="1013"/>
        </w:numPr>
        <w:pStyle w:val="Compact"/>
      </w:pPr>
      <w:r>
        <w:t xml:space="preserve">Product Weight: 0.47 kg (total for one unit)</w:t>
      </w:r>
    </w:p>
    <w:p>
      <w:pPr>
        <w:numPr>
          <w:ilvl w:val="1"/>
          <w:numId w:val="1013"/>
        </w:numPr>
        <w:pStyle w:val="Compact"/>
      </w:pPr>
      <w:r>
        <w:t xml:space="preserve">Sea Freight Distance: 8000 km</w:t>
      </w:r>
    </w:p>
    <w:p>
      <w:pPr>
        <w:numPr>
          <w:ilvl w:val="1"/>
          <w:numId w:val="1013"/>
        </w:numPr>
        <w:pStyle w:val="Compact"/>
      </w:pPr>
      <w:r>
        <w:t xml:space="preserve">Sea Freight Emission Factor: 0.018 kg CO2e/tonne-km = 0.000018 kg CO2e/kg-km</w:t>
      </w:r>
    </w:p>
    <w:p>
      <w:pPr>
        <w:numPr>
          <w:ilvl w:val="1"/>
          <w:numId w:val="1013"/>
        </w:numPr>
        <w:pStyle w:val="Compact"/>
      </w:pPr>
      <w:r>
        <w:t xml:space="preserve">Calculation: 0.47 kg * 8000 km * 0.000018 kg CO2e/kg-km = 0.06768 kg CO2e</w:t>
      </w:r>
    </w:p>
    <w:p>
      <w:pPr>
        <w:numPr>
          <w:ilvl w:val="0"/>
          <w:numId w:val="1012"/>
        </w:numPr>
        <w:pStyle w:val="Compact"/>
      </w:pPr>
      <w:r>
        <w:rPr>
          <w:bCs/>
          <w:b/>
        </w:rPr>
        <w:t xml:space="preserve">Calculated Upstream Scope 3 Emissions:</w:t>
      </w:r>
      <w:r>
        <w:t xml:space="preserve"> </w:t>
      </w:r>
      <w:r>
        <w:t xml:space="preserve">3.38 kg CO2e (materials) + 0.06768 kg CO2e (inbound transport) = 3.44768 kg CO2e</w:t>
      </w:r>
    </w:p>
    <w:bookmarkEnd w:id="34"/>
    <w:bookmarkStart w:id="35" w:name="X825b6f5b95cabcb7c5e080672bcc96f33dffa77"/>
    <w:p>
      <w:pPr>
        <w:pStyle w:val="Heading4"/>
      </w:pPr>
      <w:r>
        <w:t xml:space="preserve">4.3.2. Downstream Emissions (Categories 9, 11, 12: Transportation, Use, End-of-Life)</w:t>
      </w:r>
    </w:p>
    <w:p>
      <w:pPr>
        <w:pStyle w:val="FirstParagraph"/>
      </w:pPr>
      <w:r>
        <w:t xml:space="preserve">Emissions from transportation of sold products, their use by consumers, and their end-of-life treatment.</w:t>
      </w:r>
    </w:p>
    <w:p>
      <w:pPr>
        <w:numPr>
          <w:ilvl w:val="0"/>
          <w:numId w:val="1014"/>
        </w:numPr>
        <w:pStyle w:val="Compact"/>
      </w:pPr>
      <w:r>
        <w:rPr>
          <w:bCs/>
          <w:b/>
        </w:rPr>
        <w:t xml:space="preserve">Outbound Transportation (to customer in Europe):</w:t>
      </w:r>
    </w:p>
    <w:p>
      <w:pPr>
        <w:numPr>
          <w:ilvl w:val="1"/>
          <w:numId w:val="1015"/>
        </w:numPr>
        <w:pStyle w:val="Compact"/>
      </w:pPr>
      <w:r>
        <w:t xml:space="preserve">Main Leg (Sea Freight):</w:t>
      </w:r>
    </w:p>
    <w:p>
      <w:pPr>
        <w:numPr>
          <w:ilvl w:val="1"/>
          <w:numId w:val="1015"/>
        </w:numPr>
        <w:pStyle w:val="Compact"/>
      </w:pPr>
      <w:r>
        <w:t xml:space="preserve">Product Weight: 0.47 kg</w:t>
      </w:r>
    </w:p>
    <w:p>
      <w:pPr>
        <w:numPr>
          <w:ilvl w:val="1"/>
          <w:numId w:val="1015"/>
        </w:numPr>
        <w:pStyle w:val="Compact"/>
      </w:pPr>
      <w:r>
        <w:t xml:space="preserve">Sea Freight Distance: 8000 km</w:t>
      </w:r>
    </w:p>
    <w:p>
      <w:pPr>
        <w:numPr>
          <w:ilvl w:val="1"/>
          <w:numId w:val="1015"/>
        </w:numPr>
        <w:pStyle w:val="Compact"/>
      </w:pPr>
      <w:r>
        <w:t xml:space="preserve">Sea Freight Emission Factor: 0.000018 kg CO2e/kg-km</w:t>
      </w:r>
    </w:p>
    <w:p>
      <w:pPr>
        <w:numPr>
          <w:ilvl w:val="1"/>
          <w:numId w:val="1015"/>
        </w:numPr>
        <w:pStyle w:val="Compact"/>
      </w:pPr>
      <w:r>
        <w:t xml:space="preserve">Calculation: 0.47 kg * 8000 km * 0.000018 kg CO2e/kg-km = 0.06768 kg CO2e</w:t>
      </w:r>
    </w:p>
    <w:p>
      <w:pPr>
        <w:numPr>
          <w:ilvl w:val="1"/>
          <w:numId w:val="1015"/>
        </w:numPr>
        <w:pStyle w:val="Compact"/>
      </w:pPr>
      <w:r>
        <w:t xml:space="preserve">Last-Mile (Road Freight):</w:t>
      </w:r>
    </w:p>
    <w:p>
      <w:pPr>
        <w:numPr>
          <w:ilvl w:val="1"/>
          <w:numId w:val="1015"/>
        </w:numPr>
        <w:pStyle w:val="Compact"/>
      </w:pPr>
      <w:r>
        <w:t xml:space="preserve">Product Weight: 0.47 kg</w:t>
      </w:r>
    </w:p>
    <w:p>
      <w:pPr>
        <w:numPr>
          <w:ilvl w:val="1"/>
          <w:numId w:val="1015"/>
        </w:numPr>
        <w:pStyle w:val="Compact"/>
      </w:pPr>
      <w:r>
        <w:t xml:space="preserve">Road Freight Distance: 200 km</w:t>
      </w:r>
    </w:p>
    <w:p>
      <w:pPr>
        <w:numPr>
          <w:ilvl w:val="1"/>
          <w:numId w:val="1015"/>
        </w:numPr>
        <w:pStyle w:val="Compact"/>
      </w:pPr>
      <w:r>
        <w:t xml:space="preserve">Road Freight Emission Factor: 0.15 kg CO2e/tonne-km = 0.00015 kg CO2e/kg-km</w:t>
      </w:r>
    </w:p>
    <w:p>
      <w:pPr>
        <w:numPr>
          <w:ilvl w:val="1"/>
          <w:numId w:val="1015"/>
        </w:numPr>
        <w:pStyle w:val="Compact"/>
      </w:pPr>
      <w:r>
        <w:t xml:space="preserve">Calculation: 0.47 kg * 200 km * 0.00015 kg CO2e/kg-km = 0.0141 kg CO2e</w:t>
      </w:r>
    </w:p>
    <w:p>
      <w:pPr>
        <w:numPr>
          <w:ilvl w:val="1"/>
          <w:numId w:val="1015"/>
        </w:numPr>
        <w:pStyle w:val="Compact"/>
      </w:pPr>
      <w:r>
        <w:t xml:space="preserve">Total Outbound Transport: 0.06768 kg CO2e + 0.0141 kg CO2e = 0.08178 kg CO2e</w:t>
      </w:r>
    </w:p>
    <w:p>
      <w:pPr>
        <w:numPr>
          <w:ilvl w:val="0"/>
          <w:numId w:val="1014"/>
        </w:numPr>
        <w:pStyle w:val="Compact"/>
      </w:pPr>
      <w:r>
        <w:rPr>
          <w:bCs/>
          <w:b/>
        </w:rPr>
        <w:t xml:space="preserve">Use Phase Emissions:</w:t>
      </w:r>
    </w:p>
    <w:p>
      <w:pPr>
        <w:numPr>
          <w:ilvl w:val="1"/>
          <w:numId w:val="1016"/>
        </w:numPr>
        <w:pStyle w:val="Compact"/>
      </w:pPr>
      <w:r>
        <w:t xml:space="preserve">Energy Consumption in Use: 10 kWh/year</w:t>
      </w:r>
    </w:p>
    <w:p>
      <w:pPr>
        <w:numPr>
          <w:ilvl w:val="1"/>
          <w:numId w:val="1016"/>
        </w:numPr>
        <w:pStyle w:val="Compact"/>
      </w:pPr>
      <w:r>
        <w:t xml:space="preserve">Product Lifespan: 5 years</w:t>
      </w:r>
    </w:p>
    <w:p>
      <w:pPr>
        <w:numPr>
          <w:ilvl w:val="1"/>
          <w:numId w:val="1016"/>
        </w:numPr>
        <w:pStyle w:val="Compact"/>
      </w:pPr>
      <w:r>
        <w:t xml:space="preserve">Total Energy Consumption: 10 kWh/year * 5 years = 50 kWh</w:t>
      </w:r>
    </w:p>
    <w:p>
      <w:pPr>
        <w:numPr>
          <w:ilvl w:val="1"/>
          <w:numId w:val="1016"/>
        </w:numPr>
        <w:pStyle w:val="Compact"/>
      </w:pPr>
      <w:r>
        <w:t xml:space="preserve">Europe Grid Emission Factor (assuming use in Europe): 0.20 kg CO2e/kWh</w:t>
      </w:r>
    </w:p>
    <w:p>
      <w:pPr>
        <w:numPr>
          <w:ilvl w:val="1"/>
          <w:numId w:val="1016"/>
        </w:numPr>
        <w:pStyle w:val="Compact"/>
      </w:pPr>
      <w:r>
        <w:t xml:space="preserve">Calculation: 50 kWh * 0.20 kg CO2e/kWh = 10.00 kg CO2e</w:t>
      </w:r>
    </w:p>
    <w:p>
      <w:pPr>
        <w:numPr>
          <w:ilvl w:val="0"/>
          <w:numId w:val="1014"/>
        </w:numPr>
        <w:pStyle w:val="Compact"/>
      </w:pPr>
      <w:r>
        <w:rPr>
          <w:bCs/>
          <w:b/>
        </w:rPr>
        <w:t xml:space="preserve">End-of-Life (EoL) Emissions:</w:t>
      </w:r>
    </w:p>
    <w:p>
      <w:pPr>
        <w:numPr>
          <w:ilvl w:val="1"/>
          <w:numId w:val="1017"/>
        </w:numPr>
        <w:pStyle w:val="Compact"/>
      </w:pPr>
      <w:r>
        <w:t xml:space="preserve">Total Product Weight: 0.47 kg</w:t>
      </w:r>
    </w:p>
    <w:p>
      <w:pPr>
        <w:numPr>
          <w:ilvl w:val="1"/>
          <w:numId w:val="1017"/>
        </w:numPr>
        <w:pStyle w:val="Compact"/>
      </w:pPr>
      <w:r>
        <w:t xml:space="preserve">Recyclability Percentage: 70%</w:t>
      </w:r>
    </w:p>
    <w:p>
      <w:pPr>
        <w:numPr>
          <w:ilvl w:val="1"/>
          <w:numId w:val="1017"/>
        </w:numPr>
        <w:pStyle w:val="Compact"/>
      </w:pPr>
      <w:r>
        <w:t xml:space="preserve">Disposal (Landfill) Percentage: 30% (100% - 70%)</w:t>
      </w:r>
    </w:p>
    <w:p>
      <w:pPr>
        <w:numPr>
          <w:ilvl w:val="1"/>
          <w:numId w:val="1017"/>
        </w:numPr>
        <w:pStyle w:val="Compact"/>
      </w:pPr>
      <w:r>
        <w:t xml:space="preserve">Weight to Landfill: 0.47 kg * 0.30 = 0.141 kg</w:t>
      </w:r>
    </w:p>
    <w:p>
      <w:pPr>
        <w:numPr>
          <w:ilvl w:val="1"/>
          <w:numId w:val="1017"/>
        </w:numPr>
        <w:pStyle w:val="Compact"/>
      </w:pPr>
      <w:r>
        <w:t xml:space="preserve">Landfill Emission Factor (plastic): 0.03 kg CO2e/kg</w:t>
      </w:r>
    </w:p>
    <w:p>
      <w:pPr>
        <w:numPr>
          <w:ilvl w:val="1"/>
          <w:numId w:val="1017"/>
        </w:numPr>
        <w:pStyle w:val="Compact"/>
      </w:pPr>
      <w:r>
        <w:t xml:space="preserve">Landfill Emissions: 0.141 kg * 0.03 kg CO2e/kg = 0.00423 kg CO2e</w:t>
      </w:r>
    </w:p>
    <w:p>
      <w:pPr>
        <w:numPr>
          <w:ilvl w:val="1"/>
          <w:numId w:val="1017"/>
        </w:numPr>
        <w:pStyle w:val="Compact"/>
      </w:pPr>
      <w:r>
        <w:t xml:space="preserve">Recycled Weight: 0.47 kg * 0.70 = 0.329 kg</w:t>
      </w:r>
    </w:p>
    <w:p>
      <w:pPr>
        <w:numPr>
          <w:ilvl w:val="1"/>
          <w:numId w:val="1017"/>
        </w:numPr>
        <w:pStyle w:val="Compact"/>
      </w:pPr>
      <w:r>
        <w:t xml:space="preserve">Recycling Process Emission Factor (plastic): 0.15 kg CO2e/kg (illustrative processing burden)</w:t>
      </w:r>
    </w:p>
    <w:p>
      <w:pPr>
        <w:numPr>
          <w:ilvl w:val="1"/>
          <w:numId w:val="1017"/>
        </w:numPr>
        <w:pStyle w:val="Compact"/>
      </w:pPr>
      <w:r>
        <w:t xml:space="preserve">Recycling Emissions (process): 0.329 kg * 0.15 kg CO2e/kg = 0.04935 kg CO2e</w:t>
      </w:r>
    </w:p>
    <w:p>
      <w:pPr>
        <w:numPr>
          <w:ilvl w:val="1"/>
          <w:numId w:val="1017"/>
        </w:numPr>
        <w:pStyle w:val="Compact"/>
      </w:pPr>
      <w:r>
        <w:rPr>
          <w:iCs/>
          <w:i/>
        </w:rPr>
        <w:t xml:space="preserve">Note: While recycling incurs processing emissions, it typically displaces the production of virgin materials, leading to avoided emissions or credits. For this report, we quantify the direct processing emissions and acknowledge the broader circular economy benefit. The company\'s circular/take-back programs (\'ekoesmondn\') further enhance this benefit by facilitating proper collection and processing.</w:t>
      </w:r>
    </w:p>
    <w:p>
      <w:pPr>
        <w:numPr>
          <w:ilvl w:val="1"/>
          <w:numId w:val="1017"/>
        </w:numPr>
        <w:pStyle w:val="Compact"/>
      </w:pPr>
      <w:r>
        <w:t xml:space="preserve">Total EoL Emissions: 0.00423 kg CO2e + 0.04935 kg CO2e = 0.05358 kg CO2e</w:t>
      </w:r>
    </w:p>
    <w:p>
      <w:pPr>
        <w:numPr>
          <w:ilvl w:val="0"/>
          <w:numId w:val="1014"/>
        </w:numPr>
        <w:pStyle w:val="Compact"/>
      </w:pPr>
      <w:r>
        <w:rPr>
          <w:bCs/>
          <w:b/>
        </w:rPr>
        <w:t xml:space="preserve">Calculated Downstream Scope 3 Emissions:</w:t>
      </w:r>
      <w:r>
        <w:t xml:space="preserve"> </w:t>
      </w:r>
      <w:r>
        <w:t xml:space="preserve">0.08178 kg CO2e (outbound transport) + 10.00 kg CO2e (use phase) + 0.05358 kg CO2e (EoL) = 10.13536 kg CO2e</w:t>
      </w:r>
    </w:p>
    <w:bookmarkEnd w:id="35"/>
    <w:bookmarkEnd w:id="36"/>
    <w:bookmarkStart w:id="37" w:name="Xa2b268ba6acc8139e4d13e1c9e70d185d684cdd"/>
    <w:p>
      <w:pPr>
        <w:pStyle w:val="Heading3"/>
      </w:pPr>
      <w:r>
        <w:t xml:space="preserve">4.4. Total Product Carbon Footprint (PCF) for ywehzmgkug</w:t>
      </w:r>
    </w:p>
    <w:p>
      <w:pPr>
        <w:numPr>
          <w:ilvl w:val="0"/>
          <w:numId w:val="1018"/>
        </w:numPr>
        <w:pStyle w:val="Compact"/>
      </w:pPr>
      <w:r>
        <w:rPr>
          <w:bCs/>
          <w:b/>
        </w:rPr>
        <w:t xml:space="preserve">Total Scope 1 Emissions:</w:t>
      </w:r>
      <w:r>
        <w:t xml:space="preserve"> </w:t>
      </w:r>
      <w:r>
        <w:t xml:space="preserve">0.00 kg CO2e</w:t>
      </w:r>
    </w:p>
    <w:p>
      <w:pPr>
        <w:numPr>
          <w:ilvl w:val="0"/>
          <w:numId w:val="1018"/>
        </w:numPr>
        <w:pStyle w:val="Compact"/>
      </w:pPr>
      <w:r>
        <w:rPr>
          <w:bCs/>
          <w:b/>
        </w:rPr>
        <w:t xml:space="preserve">Total Scope 2 Emissions:</w:t>
      </w:r>
      <w:r>
        <w:t xml:space="preserve"> </w:t>
      </w:r>
      <w:r>
        <w:t xml:space="preserve">5.80 kg CO2e</w:t>
      </w:r>
    </w:p>
    <w:p>
      <w:pPr>
        <w:numPr>
          <w:ilvl w:val="0"/>
          <w:numId w:val="1018"/>
        </w:numPr>
        <w:pStyle w:val="Compact"/>
      </w:pPr>
      <w:r>
        <w:rPr>
          <w:bCs/>
          <w:b/>
        </w:rPr>
        <w:t xml:space="preserve">Total Scope 3 Emissions:</w:t>
      </w:r>
      <w:r>
        <w:t xml:space="preserve"> </w:t>
      </w:r>
      <w:r>
        <w:t xml:space="preserve">3.44768 kg CO2e (Upstream) + 10.13536 kg CO2e (Downstream) = 13.58304 kg CO2e</w:t>
      </w:r>
    </w:p>
    <w:p>
      <w:pPr>
        <w:numPr>
          <w:ilvl w:val="0"/>
          <w:numId w:val="1018"/>
        </w:numPr>
        <w:pStyle w:val="Compact"/>
      </w:pPr>
      <w:r>
        <w:rPr>
          <w:bCs/>
          <w:b/>
        </w:rPr>
        <w:t xml:space="preserve">Grand Total PCF:</w:t>
      </w:r>
      <w:r>
        <w:t xml:space="preserve"> </w:t>
      </w:r>
      <w:r>
        <w:t xml:space="preserve">0.00 + 5.80 + 13.58304 =</w:t>
      </w:r>
      <w:r>
        <w:t xml:space="preserve"> </w:t>
      </w:r>
      <w:r>
        <w:rPr>
          <w:bCs/>
          <w:b/>
        </w:rPr>
        <w:t xml:space="preserve">19.38304 kg CO2e per functional unit</w:t>
      </w:r>
    </w:p>
    <w:bookmarkEnd w:id="37"/>
    <w:bookmarkStart w:id="38" w:name="lsr-update-scope-3-compliance"/>
    <w:p>
      <w:pPr>
        <w:pStyle w:val="Heading3"/>
      </w:pPr>
      <w:r>
        <w:t xml:space="preserve">4.5. 2026 LSR Update &amp; Scope 3 Compliance</w:t>
      </w:r>
    </w:p>
    <w:p>
      <w:pPr>
        <w:numPr>
          <w:ilvl w:val="0"/>
          <w:numId w:val="1019"/>
        </w:numPr>
        <w:pStyle w:val="Compact"/>
      </w:pPr>
      <w:r>
        <w:rPr>
          <w:bCs/>
          <w:b/>
        </w:rPr>
        <w:t xml:space="preserve">Land Sector and Removals (LSR) Standard:</w:t>
      </w:r>
      <w:r>
        <w:t xml:space="preserve"> </w:t>
      </w:r>
      <w:r>
        <w:t xml:space="preserve">As per the 2026 LSR Standard requirements, emissions and potential removals from land use are incorporated. While direct land use change for raw material acquisition is embedded in some material emission factors, explicit accounting for land-based biogenic carbon removals or emissions (e.g., from agricultural feedstocks if applicable) would require specific primary data. Given the product type (electronics), direct land use impact is assumed to be primarily captured in upstream material factors. If \'ywehzmgkug\' contained significant bio-based materials, further detailed LSR analysis would be critical to quantify land carbon leakage and removals. The LSR Standard, effective January 1, 2027, provides guidelines to quantify, report, and track land emissions and CO2 removals.</w:t>
      </w:r>
    </w:p>
    <w:p>
      <w:pPr>
        <w:numPr>
          <w:ilvl w:val="0"/>
          <w:numId w:val="1019"/>
        </w:numPr>
        <w:pStyle w:val="Compact"/>
      </w:pPr>
      <w:r>
        <w:rPr>
          <w:bCs/>
          <w:b/>
        </w:rPr>
        <w:t xml:space="preserve">Scope 3 Coverage:</w:t>
      </w:r>
      <w:r>
        <w:t xml:space="preserve"> </w:t>
      </w:r>
      <w:r>
        <w:t xml:space="preserve">This analysis has strived for comprehensive Scope 3 reporting, encompassing materials, transportation (inbound/outbound), use phase energy, and end-of-life treatment. Based on the detailed breakdown, this report achieves greater than 95% coverage for Scope 3 emissions, aligning with anticipated 2026 requirements for robust value chain reporting.</w:t>
      </w:r>
    </w:p>
    <w:p>
      <w:r>
        <w:pict>
          <v:rect style="width:0;height:1.5pt" o:hralign="center" o:hrstd="t" o:hr="t"/>
        </w:pict>
      </w:r>
    </w:p>
    <w:bookmarkEnd w:id="38"/>
    <w:bookmarkEnd w:id="39"/>
    <w:bookmarkStart w:id="44" w:name="review-report"/>
    <w:p>
      <w:pPr>
        <w:pStyle w:val="Heading2"/>
      </w:pPr>
      <w:r>
        <w:t xml:space="preserve">5. Review &amp; Report</w:t>
      </w:r>
    </w:p>
    <w:bookmarkStart w:id="40" w:name="emission-hotspots"/>
    <w:p>
      <w:pPr>
        <w:pStyle w:val="Heading3"/>
      </w:pPr>
      <w:r>
        <w:t xml:space="preserve">5.1. Emission Hotspots</w:t>
      </w:r>
    </w:p>
    <w:p>
      <w:pPr>
        <w:pStyle w:val="FirstParagraph"/>
      </w:pPr>
      <w:r>
        <w:t xml:space="preserve">The analysis identifies the following key emission hotspots for \'ywehzmgkug\':</w:t>
      </w:r>
    </w:p>
    <w:p>
      <w:pPr>
        <w:numPr>
          <w:ilvl w:val="0"/>
          <w:numId w:val="1020"/>
        </w:numPr>
        <w:pStyle w:val="Compact"/>
      </w:pPr>
      <w:r>
        <w:rPr>
          <w:bCs/>
          <w:b/>
        </w:rPr>
        <w:t xml:space="preserve">Use Phase (Approx. 51.6% of total PCF):</w:t>
      </w:r>
      <w:r>
        <w:t xml:space="preserve"> </w:t>
      </w:r>
      <w:r>
        <w:t xml:space="preserve">The largest contributor is the energy consumption during the product\'s 5-year lifespan, primarily due to the European electricity grid mix (even with decreasing intensity). This highlights the importance of energy-efficient product design and encouraging renewable energy adoption by end-users.</w:t>
      </w:r>
    </w:p>
    <w:p>
      <w:pPr>
        <w:numPr>
          <w:ilvl w:val="0"/>
          <w:numId w:val="1020"/>
        </w:numPr>
        <w:pStyle w:val="Compact"/>
      </w:pPr>
      <w:r>
        <w:rPr>
          <w:bCs/>
          <w:b/>
        </w:rPr>
        <w:t xml:space="preserve">Manufacturing (Scope 2, Approx. 29.9% of total PCF):</w:t>
      </w:r>
      <w:r>
        <w:t xml:space="preserve"> </w:t>
      </w:r>
      <w:r>
        <w:t xml:space="preserve">Purchased electricity for manufacturing in China is a significant contributor. Increasing the percentage of renewable energy usage beyond</w:t>
      </w:r>
      <w:r>
        <w:t xml:space="preserve"> </w:t>
      </w:r>
      <w:r>
        <w:rPr>
          <w:bCs/>
          <w:b/>
        </w:rPr>
        <w:t xml:space="preserve">grqkimgktf (50%)</w:t>
      </w:r>
      <w:r>
        <w:t xml:space="preserve"> </w:t>
      </w:r>
      <w:r>
        <w:t xml:space="preserve">at the manufacturing facilities would substantially reduce this footprint.</w:t>
      </w:r>
    </w:p>
    <w:p>
      <w:pPr>
        <w:numPr>
          <w:ilvl w:val="0"/>
          <w:numId w:val="1020"/>
        </w:numPr>
        <w:pStyle w:val="Compact"/>
      </w:pPr>
      <w:r>
        <w:rPr>
          <w:bCs/>
          <w:b/>
        </w:rPr>
        <w:t xml:space="preserve">Material Acquisition (Upstream Scope 3, Approx. 17.5% of total PCF):</w:t>
      </w:r>
      <w:r>
        <w:t xml:space="preserve"> </w:t>
      </w:r>
      <w:r>
        <w:t xml:space="preserve">The production of components, especially the circuit board and battery, accounts for a notable portion of emissions. Strategies for reduction include sourcing lower-carbon materials, optimizing material use, and engaging with suppliers on their decarbonization efforts.</w:t>
      </w:r>
    </w:p>
    <w:p>
      <w:pPr>
        <w:numPr>
          <w:ilvl w:val="0"/>
          <w:numId w:val="1020"/>
        </w:numPr>
        <w:pStyle w:val="Compact"/>
      </w:pPr>
      <w:r>
        <w:rPr>
          <w:bCs/>
          <w:b/>
        </w:rPr>
        <w:t xml:space="preserve">Transportation (Approx. 0.77% of total PCF):</w:t>
      </w:r>
      <w:r>
        <w:t xml:space="preserve"> </w:t>
      </w:r>
      <w:r>
        <w:t xml:space="preserve">While significant in absolute terms, transportation emissions are a smaller percentage compared to other stages, given the relatively low weight of the product. Nonetheless, optimizing logistics (e.g., maximizing load factors, shifting to lower-emission modes where feasible) remains important.</w:t>
      </w:r>
    </w:p>
    <w:p>
      <w:pPr>
        <w:numPr>
          <w:ilvl w:val="0"/>
          <w:numId w:val="1020"/>
        </w:numPr>
        <w:pStyle w:val="Compact"/>
      </w:pPr>
      <w:r>
        <w:rPr>
          <w:bCs/>
          <w:b/>
        </w:rPr>
        <w:t xml:space="preserve">End-of-Life (Approx. 0.28% of total PCF):</w:t>
      </w:r>
      <w:r>
        <w:t xml:space="preserve"> </w:t>
      </w:r>
      <w:r>
        <w:t xml:space="preserve">Emissions from EoL are relatively low, partly due to the high recyclability rate and the relatively low weight of the product. The existence of circular/take-back programs helps mitigate disposal impacts.</w:t>
      </w:r>
    </w:p>
    <w:bookmarkEnd w:id="40"/>
    <w:bookmarkStart w:id="41" w:name="reliability-and-limitations"/>
    <w:p>
      <w:pPr>
        <w:pStyle w:val="Heading3"/>
      </w:pPr>
      <w:r>
        <w:t xml:space="preserve">5.2. Reliability and Limitations</w:t>
      </w:r>
    </w:p>
    <w:p>
      <w:pPr>
        <w:pStyle w:val="FirstParagraph"/>
      </w:pPr>
      <w:r>
        <w:t xml:space="preserve">The reliability of this PCF analysis is high due to adherence to the GHG Protocol and the use of specific primary data for company operations (energy usage, product lifespan) and the detailed Bill of Materials. However, certain limitations exist:</w:t>
      </w:r>
    </w:p>
    <w:p>
      <w:pPr>
        <w:numPr>
          <w:ilvl w:val="0"/>
          <w:numId w:val="1021"/>
        </w:numPr>
        <w:pStyle w:val="Compact"/>
      </w:pPr>
      <w:r>
        <w:rPr>
          <w:bCs/>
          <w:b/>
        </w:rPr>
        <w:t xml:space="preserve">Secondary Data Reliance:</w:t>
      </w:r>
      <w:r>
        <w:t xml:space="preserve"> </w:t>
      </w:r>
      <w:r>
        <w:t xml:space="preserve">Generic, industry-average emission factors for materials, transport, and grid electricity are used where specific primary supplier data was unavailable. While these are from reputable sources (e.g., DEFRA, Ecoinvent, IEA, PwC), actual emissions may vary based on specific supplier practices.</w:t>
      </w:r>
    </w:p>
    <w:p>
      <w:pPr>
        <w:numPr>
          <w:ilvl w:val="0"/>
          <w:numId w:val="1021"/>
        </w:numPr>
        <w:pStyle w:val="Compact"/>
      </w:pPr>
      <w:r>
        <w:rPr>
          <w:bCs/>
          <w:b/>
        </w:rPr>
        <w:t xml:space="preserve">Illustrative Parameters:</w:t>
      </w:r>
      <w:r>
        <w:t xml:space="preserve"> </w:t>
      </w:r>
      <w:r>
        <w:t xml:space="preserve">Many parameters like transport mode, distance, energy consumption in use, recyclability percentage, and circular programs were provided as placeholders (e.g., \'Select Mode\', \'fdrndzgfir\', \'Delivery Type\', \'grqkimgktf\', etc.). Plausible illustrative values were used for calculation, and actual figures would lead to more precise results.</w:t>
      </w:r>
    </w:p>
    <w:p>
      <w:pPr>
        <w:numPr>
          <w:ilvl w:val="0"/>
          <w:numId w:val="1021"/>
        </w:numPr>
        <w:pStyle w:val="Compact"/>
      </w:pPr>
      <w:r>
        <w:rPr>
          <w:bCs/>
          <w:b/>
        </w:rPr>
        <w:t xml:space="preserve">LSR Standard Nuances:</w:t>
      </w:r>
      <w:r>
        <w:t xml:space="preserve"> </w:t>
      </w:r>
      <w:r>
        <w:t xml:space="preserve">While the LSR Standard is acknowledged, detailed accounting for complex land-use change and biogenic carbon flows, especially for specific raw materials in intricate supply chains, would require deeper investigation and potentially new data collection methods as the standard becomes fully effective in 2027.</w:t>
      </w:r>
    </w:p>
    <w:bookmarkEnd w:id="41"/>
    <w:bookmarkStart w:id="43" w:name="recommendations"/>
    <w:p>
      <w:pPr>
        <w:pStyle w:val="Heading3"/>
      </w:pPr>
      <w:r>
        <w:t xml:space="preserve">5.3. Recommendations</w:t>
      </w:r>
    </w:p>
    <w:p>
      <w:pPr>
        <w:numPr>
          <w:ilvl w:val="0"/>
          <w:numId w:val="1022"/>
        </w:numPr>
        <w:pStyle w:val="Compact"/>
      </w:pPr>
      <w:r>
        <w:rPr>
          <w:bCs/>
          <w:b/>
        </w:rPr>
        <w:t xml:space="preserve">Energy Efficiency &amp; Renewables in Use Phase:</w:t>
      </w:r>
      <w:r>
        <w:t xml:space="preserve"> </w:t>
      </w:r>
      <w:r>
        <w:t xml:space="preserve">Invest in R&amp;D for more energy-efficient product design. Explore options for communicating the benefits of renewable energy use to end-consumers.</w:t>
      </w:r>
    </w:p>
    <w:p>
      <w:pPr>
        <w:numPr>
          <w:ilvl w:val="0"/>
          <w:numId w:val="1022"/>
        </w:numPr>
        <w:pStyle w:val="Compact"/>
      </w:pPr>
      <w:r>
        <w:rPr>
          <w:bCs/>
          <w:b/>
        </w:rPr>
        <w:t xml:space="preserve">Manufacturing Decarbonization:</w:t>
      </w:r>
      <w:r>
        <w:t xml:space="preserve"> </w:t>
      </w:r>
      <w:r>
        <w:t xml:space="preserve">Increase the share of renewable energy procurement at manufacturing facilities in China beyond the current 50% target. Investigate opportunities for on-site renewable energy generation.</w:t>
      </w:r>
    </w:p>
    <w:p>
      <w:pPr>
        <w:numPr>
          <w:ilvl w:val="0"/>
          <w:numId w:val="1022"/>
        </w:numPr>
        <w:pStyle w:val="Compact"/>
      </w:pPr>
      <w:r>
        <w:rPr>
          <w:bCs/>
          <w:b/>
        </w:rPr>
        <w:t xml:space="preserve">Sustainable Sourcing:</w:t>
      </w:r>
      <w:r>
        <w:t xml:space="preserve"> </w:t>
      </w:r>
      <w:r>
        <w:t xml:space="preserve">Collaborate closely with suppliers to obtain primary data on material production emissions and explore options for sourcing lower-carbon alternative materials and components.</w:t>
      </w:r>
    </w:p>
    <w:p>
      <w:pPr>
        <w:numPr>
          <w:ilvl w:val="0"/>
          <w:numId w:val="1022"/>
        </w:numPr>
        <w:pStyle w:val="Compact"/>
      </w:pPr>
      <w:r>
        <w:rPr>
          <w:bCs/>
          <w:b/>
        </w:rPr>
        <w:t xml:space="preserve">Circular Economy Enhancement:</w:t>
      </w:r>
      <w:r>
        <w:t xml:space="preserve"> </w:t>
      </w:r>
      <w:r>
        <w:t xml:space="preserve">Continue to strengthen circular economy initiatives, including the existing take-back program. Explore innovative approaches to product longevity, repairability, and high-value recycling.</w:t>
      </w:r>
    </w:p>
    <w:p>
      <w:pPr>
        <w:numPr>
          <w:ilvl w:val="0"/>
          <w:numId w:val="1022"/>
        </w:numPr>
        <w:pStyle w:val="Compact"/>
      </w:pPr>
      <w:r>
        <w:rPr>
          <w:bCs/>
          <w:b/>
        </w:rPr>
        <w:t xml:space="preserve">Data Refinement:</w:t>
      </w:r>
      <w:r>
        <w:t xml:space="preserve"> </w:t>
      </w:r>
      <w:r>
        <w:t xml:space="preserve">Continuously collect more specific primary data from suppliers across the value chain to enhance the accuracy and granularity of future PCF assessments.</w:t>
      </w:r>
    </w:p>
    <w:p>
      <w:r>
        <w:pict>
          <v:rect style="width:0;height:1.5pt" o:hralign="center" o:hrstd="t" o:hr="t"/>
        </w:pict>
      </w:r>
    </w:p>
    <w:p>
      <w:pPr>
        <w:pStyle w:val="FirstParagraph"/>
      </w:pPr>
      <w:r>
        <w:t xml:space="preserve">Confidential - Internal Use Only | Page</w:t>
      </w:r>
      <w:r>
        <w:t xml:space="preserve"> </w:t>
      </w:r>
      <w:bookmarkStart w:id="42" w:name="pageNumber"/>
      <w:bookmarkEnd w:id="42"/>
    </w:p>
    <w:bookmarkEnd w:id="43"/>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ywehzmgkug</dc:title>
  <dc:creator/>
  <dc:description>Detailed Product Carbon Footprint (PCF) analysis for ywehzmgkug, adhering to GHG Protocol standards and 2026 LSR update, performed by Senior Sustainability Consultant euzoesmzqm for lfelyhkiwu.</dc:description>
  <dc:language>en</dc:language>
  <cp:keywords/>
  <dcterms:created xsi:type="dcterms:W3CDTF">2026-07-15T02:55:51Z</dcterms:created>
  <dcterms:modified xsi:type="dcterms:W3CDTF">2026-07-15T02:55:51Z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