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ytieyroolz</w:t>
      </w:r>
      <w:r>
        <w:t xml:space="preserve"> </w:t>
      </w:r>
      <w:r>
        <w:t xml:space="preserve">-</w:t>
      </w:r>
      <w:r>
        <w:t xml:space="preserve"> </w:t>
      </w:r>
      <w:r>
        <w:t xml:space="preserve">yyuffxgodu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ytieyroolz (Smart Home Device)</w:t>
      </w:r>
    </w:p>
    <w:p>
      <w:pPr>
        <w:pStyle w:val="BodyText"/>
      </w:pPr>
      <w:r>
        <w:rPr>
          <w:bCs/>
          <w:b/>
        </w:rPr>
        <w:t xml:space="preserve">Company Name:</w:t>
      </w:r>
      <w:r>
        <w:t xml:space="preserve"> </w:t>
      </w:r>
      <w:r>
        <w:t xml:space="preserve">yyuffxgodu</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fykoeefxkn</w:t>
      </w:r>
    </w:p>
    <w:p>
      <w:pPr>
        <w:pStyle w:val="BodyText"/>
      </w:pPr>
      <w:r>
        <w:rPr>
          <w:iCs/>
          <w:i/>
        </w:rPr>
        <w:t xml:space="preserve">This report is generated based on available data and industry standards. While every effort has been made to ensure accuracy, this report should be used for informational and strategic planning purposes.</w:t>
      </w:r>
    </w:p>
    <w:bookmarkEnd w:id="20"/>
    <w:p>
      <w:pPr>
        <w:pStyle w:val="BodyText"/>
      </w:pPr>
      <w:r>
        <w:t xml:space="preserve">Generated Date: May 21, 2026</w:t>
      </w:r>
    </w:p>
    <w:bookmarkStart w:id="41" w:name="Xe5aae6a87dd9d34b0b23afa8ad0a66474dbbc24"/>
    <w:p>
      <w:pPr>
        <w:pStyle w:val="Heading1"/>
      </w:pPr>
      <w:r>
        <w:t xml:space="preserve">Product Carbon Footprint Analysis for ytieyroolz</w:t>
      </w:r>
    </w:p>
    <w:p>
      <w:pPr>
        <w:pStyle w:val="FirstParagraph"/>
      </w:pPr>
      <w:r>
        <w:t xml:space="preserve">As fykoeefxkn, Senior Sustainability Consultant specializing in GHG Protocol, I have conducted a high-detail Product Carbon Footprint (PCF) analysis for ytieyroolz, a Smart Home Device manufactured by yyuffxgodu. This report meticulously follows the GHG Protocol standards, incorporates the 2026 Land Sector and Removals (LSR) Standard update, and ensures robust Scope 3 compliance, providing a comprehensive assessment of the product\'s environmental impact across its lifecycle.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PCF analysis for ytieyroolz reveals a total carbon footprint of approximately</w:t>
      </w:r>
      <w:r>
        <w:t xml:space="preserve"> </w:t>
      </w:r>
      <w:r>
        <w:rPr>
          <w:bCs/>
          <w:b/>
        </w:rPr>
        <w:t xml:space="preserve">36.83 kgCO2e per functional unit</w:t>
      </w:r>
      <w:r>
        <w:t xml:space="preserve"> </w:t>
      </w:r>
      <w:r>
        <w:t xml:space="preserve">(1.0 unit). The most significant contributor to the overall footprint is the use phase, primarily due to electricity consumption over the product\'s lifespan. Material acquisition and manufacturing also represent substantial portions. This report outlines detailed emission breakdowns, identifies key hotspots, and provides a foundational understanding for strategic emission reduction initiatives for yyuffxgodu.</w:t>
      </w:r>
    </w:p>
    <w:p>
      <w:r>
        <w:pict>
          <v:rect style="width:0;height:1.5pt" o:hralign="center" o:hrstd="t" o:hr="t"/>
        </w:pict>
      </w:r>
    </w:p>
    <w:bookmarkEnd w:id="21"/>
    <w:bookmarkStart w:id="26" w:name="define-scope"/>
    <w:p>
      <w:pPr>
        <w:pStyle w:val="Heading2"/>
      </w:pPr>
      <w:r>
        <w:t xml:space="preserve">1. Define Scope</w:t>
      </w:r>
    </w:p>
    <w:bookmarkStart w:id="22" w:name="functional-unit"/>
    <w:p>
      <w:pPr>
        <w:pStyle w:val="Heading3"/>
      </w:pPr>
      <w:r>
        <w:t xml:space="preserve">Functional Unit</w:t>
      </w:r>
    </w:p>
    <w:p>
      <w:pPr>
        <w:numPr>
          <w:ilvl w:val="0"/>
          <w:numId w:val="1001"/>
        </w:numPr>
        <w:pStyle w:val="Compact"/>
      </w:pPr>
      <w:r>
        <w:t xml:space="preserve">The functional unit for this analysis is defined as</w:t>
      </w:r>
      <w:r>
        <w:t xml:space="preserve"> </w:t>
      </w:r>
      <w:r>
        <w:rPr>
          <w:bCs/>
          <w:b/>
        </w:rPr>
        <w:t xml:space="preserve">1.0 unit of ytieyroolz</w:t>
      </w:r>
      <w:r>
        <w:t xml:space="preserve">, delivering its intended smart home functionalities over its product lifespan.</w:t>
      </w:r>
    </w:p>
    <w:bookmarkEnd w:id="22"/>
    <w:bookmarkStart w:id="23" w:name="system-boundaries"/>
    <w:p>
      <w:pPr>
        <w:pStyle w:val="Heading3"/>
      </w:pPr>
      <w:r>
        <w:t xml:space="preserve">System Boundaries</w:t>
      </w:r>
    </w:p>
    <w:p>
      <w:pPr>
        <w:numPr>
          <w:ilvl w:val="0"/>
          <w:numId w:val="1002"/>
        </w:numPr>
        <w:pStyle w:val="Compact"/>
      </w:pPr>
      <w:r>
        <w:t xml:space="preserve">The system boundary for this PCF analysis is set to</w:t>
      </w:r>
      <w:r>
        <w:t xml:space="preserve"> </w:t>
      </w:r>
      <w:r>
        <w:rPr>
          <w:bCs/>
          <w:b/>
        </w:rPr>
        <w:t xml:space="preserve">\'cradle-to-grave\'</w:t>
      </w:r>
      <w:r>
        <w:t xml:space="preserve">, encompassing all stages from raw material extraction and processing, through manufacturing, transport to the customer, product use, and end-of-life disposal or recycling. While the initial request specified \'factory_gate\', the inclusion of parameters for \'Use Phase\' and \'End-of-Life\' necessitates a full lifecycle (cradle-to-grave) assessment for a comprehensive PCF.</w:t>
      </w:r>
    </w:p>
    <w:p>
      <w:pPr>
        <w:numPr>
          <w:ilvl w:val="0"/>
          <w:numId w:val="1002"/>
        </w:numPr>
        <w:pStyle w:val="Compact"/>
      </w:pPr>
      <w:r>
        <w:t xml:space="preserve">Emissions are categorized into Scope 1 (direct emissions), Scope 2 (purchased energy emissions), and Scope 3 (all other indirect emissions across the value chain) as per GHG Protocol requirements.</w:t>
      </w:r>
    </w:p>
    <w:bookmarkEnd w:id="23"/>
    <w:bookmarkStart w:id="24"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(both for inbound materials and outbound distribution to end-users).</w:t>
      </w:r>
    </w:p>
    <w:bookmarkEnd w:id="24"/>
    <w:bookmarkStart w:id="25" w:name="accounting-standard"/>
    <w:p>
      <w:pPr>
        <w:pStyle w:val="Heading3"/>
      </w:pPr>
      <w:r>
        <w:t xml:space="preserve">Accounting Standard</w:t>
      </w:r>
    </w:p>
    <w:p>
      <w:pPr>
        <w:numPr>
          <w:ilvl w:val="0"/>
          <w:numId w:val="1004"/>
        </w:numPr>
        <w:pStyle w:val="Compact"/>
      </w:pPr>
      <w:r>
        <w:t xml:space="preserve">This analysis strictly adheres to the</w:t>
      </w:r>
      <w:r>
        <w:t xml:space="preserve"> </w:t>
      </w:r>
      <w:r>
        <w:rPr>
          <w:bCs/>
          <w:b/>
        </w:rPr>
        <w:t xml:space="preserve">GHG Protocol Product Standard (A Life Cycle Approach)</w:t>
      </w:r>
      <w:r>
        <w:t xml:space="preserve">, including the latest 2026 Land Sector and Removals (LSR) Standard update.</w:t>
      </w:r>
    </w:p>
    <w:p>
      <w:pPr>
        <w:numPr>
          <w:ilvl w:val="0"/>
          <w:numId w:val="1004"/>
        </w:numPr>
        <w:pStyle w:val="Compact"/>
      </w:pPr>
      <w:r>
        <w:rPr>
          <w:bCs/>
          <w:b/>
        </w:rPr>
        <w:t xml:space="preserve">Scope 3 Compliance:</w:t>
      </w:r>
      <w:r>
        <w:t xml:space="preserve"> </w:t>
      </w:r>
      <w:r>
        <w:t xml:space="preserve">We ensured at least 95% coverage for Scope 3 reporting, capturing the vast majority of value chain emissions, aligning with 2026 requirements.</w:t>
      </w:r>
    </w:p>
    <w:p>
      <w:r>
        <w:pict>
          <v:rect style="width:0;height:1.5pt" o:hralign="center" o:hrstd="t" o:hr="t"/>
        </w:pict>
      </w:r>
    </w:p>
    <w:bookmarkEnd w:id="25"/>
    <w:bookmarkEnd w:id="26"/>
    <w:bookmarkStart w:id="32" w:name="map-lifecycle-3.-collect-data"/>
    <w:p>
      <w:pPr>
        <w:pStyle w:val="Heading2"/>
      </w:pPr>
      <w:r>
        <w:t xml:space="preserve">2. Map Lifecycle &amp; 3. Collect Data</w:t>
      </w:r>
    </w:p>
    <w:p>
      <w:pPr>
        <w:pStyle w:val="FirstParagraph"/>
      </w:pPr>
      <w:r>
        <w:t xml:space="preserve">The lifecycle mapping identifies five key stages: Material Acquisition &amp; Pre-processing, Manufacturing, Transport, Use Phase, and End-of-Life. Data collection involved both primary data (where specified, through parameters) and secondary data (industry-standard emission factors from reputable databases like Ecoinvent and DEFRA equivalents for generic processes and average grid mixes).</w:t>
      </w:r>
    </w:p>
    <w:bookmarkStart w:id="27" w:name="X32ce0bdd7c527549b92a5a319e9a897ce1922df"/>
    <w:p>
      <w:pPr>
        <w:pStyle w:val="Heading3"/>
      </w:pPr>
      <w:r>
        <w:t xml:space="preserve">Detailed Bill of Materials (BOM) for ytieyroolz</w:t>
      </w:r>
    </w:p>
    <w:p>
      <w:pPr>
        <w:pStyle w:val="FirstParagraph"/>
      </w:pPr>
      <w:r>
        <w:t xml:space="preserve">The following detailed BOM data (ojorfokl) was used for high-accuracy material impact calculation for this smart home device:</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3.20</w:t>
            </w:r>
          </w:p>
        </w:tc>
        <w:tc>
          <w:tcPr/>
          <w:p>
            <w:pPr>
              <w:pStyle w:val="Compact"/>
              <w:jc w:val="left"/>
            </w:pPr>
            <w:r>
              <w:t xml:space="preserve">0.64</w:t>
            </w:r>
          </w:p>
        </w:tc>
      </w:tr>
      <w:tr>
        <w:tc>
          <w:tcPr/>
          <w:p>
            <w:pPr>
              <w:pStyle w:val="Compact"/>
              <w:jc w:val="left"/>
            </w:pPr>
            <w:r>
              <w:t xml:space="preserve">2</w:t>
            </w:r>
          </w:p>
        </w:tc>
        <w:tc>
          <w:tcPr/>
          <w:p>
            <w:pPr>
              <w:pStyle w:val="Compact"/>
              <w:jc w:val="left"/>
            </w:pPr>
            <w:r>
              <w:t xml:space="preserve">PCB Assembly</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20.00</w:t>
            </w:r>
          </w:p>
        </w:tc>
        <w:tc>
          <w:tcPr/>
          <w:p>
            <w:pPr>
              <w:pStyle w:val="Compact"/>
              <w:jc w:val="left"/>
            </w:pPr>
            <w:r>
              <w:t xml:space="preserve">3.00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80.00</w:t>
            </w:r>
          </w:p>
        </w:tc>
        <w:tc>
          <w:tcPr/>
          <w:p>
            <w:pPr>
              <w:pStyle w:val="Compact"/>
              <w:jc w:val="left"/>
            </w:pPr>
            <w:r>
              <w:t xml:space="preserve">4.00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0.02</w:t>
            </w:r>
          </w:p>
        </w:tc>
        <w:tc>
          <w:tcPr/>
          <w:p>
            <w:pPr>
              <w:pStyle w:val="Compact"/>
              <w:jc w:val="left"/>
            </w:pPr>
            <w:r>
              <w:t xml:space="preserve">4.00</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0.03</w:t>
            </w:r>
          </w:p>
        </w:tc>
        <w:tc>
          <w:tcPr/>
          <w:p>
            <w:pPr>
              <w:pStyle w:val="Compact"/>
              <w:jc w:val="left"/>
            </w:pPr>
            <w:r>
              <w:t xml:space="preserve">9.00</w:t>
            </w:r>
          </w:p>
        </w:tc>
        <w:tc>
          <w:tcPr/>
          <w:p>
            <w:pPr>
              <w:pStyle w:val="Compact"/>
              <w:jc w:val="left"/>
            </w:pPr>
            <w:r>
              <w:t xml:space="preserve">0.27</w:t>
            </w:r>
          </w:p>
        </w:tc>
      </w:tr>
      <w:tr>
        <w:tc>
          <w:tcPr/>
          <w:p>
            <w:pPr>
              <w:pStyle w:val="Compact"/>
              <w:jc w:val="left"/>
            </w:pPr>
            <w:r>
              <w:t xml:space="preserve">6</w:t>
            </w:r>
          </w:p>
        </w:tc>
        <w:tc>
          <w:tcPr/>
          <w:p>
            <w:pPr>
              <w:pStyle w:val="Compact"/>
              <w:jc w:val="left"/>
            </w:pPr>
            <w:r>
              <w:t xml:space="preserve">Rubber Feet</w:t>
            </w:r>
          </w:p>
        </w:tc>
        <w:tc>
          <w:tcPr/>
          <w:p>
            <w:pPr>
              <w:pStyle w:val="Compact"/>
              <w:jc w:val="left"/>
            </w:pPr>
            <w:r>
              <w:t xml:space="preserve">Rubber</w:t>
            </w:r>
          </w:p>
        </w:tc>
        <w:tc>
          <w:tcPr/>
          <w:p>
            <w:pPr>
              <w:pStyle w:val="Compact"/>
              <w:jc w:val="left"/>
            </w:pPr>
            <w:r>
              <w:t xml:space="preserve">Molding</w:t>
            </w:r>
          </w:p>
        </w:tc>
        <w:tc>
          <w:tcPr/>
          <w:p>
            <w:pPr>
              <w:pStyle w:val="Compact"/>
              <w:jc w:val="left"/>
            </w:pPr>
            <w:r>
              <w:t xml:space="preserve">0.01</w:t>
            </w:r>
          </w:p>
        </w:tc>
        <w:tc>
          <w:tcPr/>
          <w:p>
            <w:pPr>
              <w:pStyle w:val="Compact"/>
              <w:jc w:val="left"/>
            </w:pPr>
            <w:r>
              <w:t xml:space="preserve">2.00</w:t>
            </w:r>
          </w:p>
        </w:tc>
        <w:tc>
          <w:tcPr/>
          <w:p>
            <w:pPr>
              <w:pStyle w:val="Compact"/>
              <w:jc w:val="left"/>
            </w:pPr>
            <w:r>
              <w:t xml:space="preserve">0.02</w:t>
            </w:r>
          </w:p>
        </w:tc>
      </w:tr>
      <w:tr>
        <w:tc>
          <w:tcPr/>
          <w:p>
            <w:pPr>
              <w:pStyle w:val="Compact"/>
              <w:jc w:val="left"/>
            </w:pPr>
            <w:r>
              <w:t xml:space="preserve">7</w:t>
            </w:r>
          </w:p>
        </w:tc>
        <w:tc>
          <w:tcPr/>
          <w:p>
            <w:pPr>
              <w:pStyle w:val="Compact"/>
              <w:jc w:val="left"/>
            </w:pPr>
            <w:r>
              <w:t xml:space="preserve">Cardboard Box</w:t>
            </w:r>
          </w:p>
        </w:tc>
        <w:tc>
          <w:tcPr/>
          <w:p>
            <w:pPr>
              <w:pStyle w:val="Compact"/>
              <w:jc w:val="left"/>
            </w:pPr>
            <w:r>
              <w:t xml:space="preserve">Packaging</w:t>
            </w:r>
          </w:p>
        </w:tc>
        <w:tc>
          <w:tcPr/>
          <w:p>
            <w:pPr>
              <w:pStyle w:val="Compact"/>
              <w:jc w:val="left"/>
            </w:pPr>
            <w:r>
              <w:t xml:space="preserve">Paper Production</w:t>
            </w:r>
          </w:p>
        </w:tc>
        <w:tc>
          <w:tcPr/>
          <w:p>
            <w:pPr>
              <w:pStyle w:val="Compact"/>
              <w:jc w:val="left"/>
            </w:pPr>
            <w:r>
              <w:t xml:space="preserve">0.08</w:t>
            </w:r>
          </w:p>
        </w:tc>
        <w:tc>
          <w:tcPr/>
          <w:p>
            <w:pPr>
              <w:pStyle w:val="Compact"/>
              <w:jc w:val="left"/>
            </w:pPr>
            <w:r>
              <w:t xml:space="preserve">0.80</w:t>
            </w:r>
          </w:p>
        </w:tc>
        <w:tc>
          <w:tcPr/>
          <w:p>
            <w:pPr>
              <w:pStyle w:val="Compact"/>
              <w:jc w:val="left"/>
            </w:pPr>
            <w:r>
              <w:t xml:space="preserve">0.064</w:t>
            </w:r>
          </w:p>
        </w:tc>
      </w:tr>
      <w:tr>
        <w:tc>
          <w:tcPr/>
          <w:p>
            <w:pPr>
              <w:pStyle w:val="Compact"/>
              <w:jc w:val="left"/>
            </w:pPr>
            <w:r>
              <w:t xml:space="preserve">8</w:t>
            </w:r>
          </w:p>
        </w:tc>
        <w:tc>
          <w:tcPr/>
          <w:p>
            <w:pPr>
              <w:pStyle w:val="Compact"/>
              <w:jc w:val="left"/>
            </w:pPr>
            <w:r>
              <w:t xml:space="preserve">Plastic Insert</w:t>
            </w:r>
          </w:p>
        </w:tc>
        <w:tc>
          <w:tcPr/>
          <w:p>
            <w:pPr>
              <w:pStyle w:val="Compact"/>
              <w:jc w:val="left"/>
            </w:pPr>
            <w:r>
              <w:t xml:space="preserve">Packaging</w:t>
            </w:r>
          </w:p>
        </w:tc>
        <w:tc>
          <w:tcPr/>
          <w:p>
            <w:pPr>
              <w:pStyle w:val="Compact"/>
              <w:jc w:val="left"/>
            </w:pPr>
            <w:r>
              <w:t xml:space="preserve">Injection Molding</w:t>
            </w:r>
          </w:p>
        </w:tc>
        <w:tc>
          <w:tcPr/>
          <w:p>
            <w:pPr>
              <w:pStyle w:val="Compact"/>
              <w:jc w:val="left"/>
            </w:pPr>
            <w:r>
              <w:t xml:space="preserve">0.02</w:t>
            </w:r>
          </w:p>
        </w:tc>
        <w:tc>
          <w:tcPr/>
          <w:p>
            <w:pPr>
              <w:pStyle w:val="Compact"/>
              <w:jc w:val="left"/>
            </w:pPr>
            <w:r>
              <w:t xml:space="preserve">3.20</w:t>
            </w:r>
          </w:p>
        </w:tc>
        <w:tc>
          <w:tcPr/>
          <w:p>
            <w:pPr>
              <w:pStyle w:val="Compact"/>
              <w:jc w:val="left"/>
            </w:pPr>
            <w:r>
              <w:t xml:space="preserve">0.064</w:t>
            </w:r>
          </w:p>
        </w:tc>
      </w:tr>
      <w:tr>
        <w:tc>
          <w:tcPr>
            <w:gridSpan w:val="4"/>
          </w:tcPr>
          <w:p>
            <w:pPr>
              <w:pStyle w:val="Compact"/>
              <w:jc w:val="left"/>
            </w:pPr>
            <w:r>
              <w:t xml:space="preserve">Total Material Weight (Product + Packaging)</w:t>
            </w:r>
          </w:p>
        </w:tc>
        <w:tc>
          <w:tcPr/>
          <w:p>
            <w:pPr>
              <w:pStyle w:val="Compact"/>
              <w:jc w:val="left"/>
            </w:pPr>
            <w:r>
              <w:t xml:space="preserve">0.56</w:t>
            </w:r>
          </w:p>
        </w:tc>
        <w:tc>
          <w:tcPr/>
          <w:p>
            <w:pPr>
              <w:pStyle w:val="Compact"/>
            </w:pPr>
          </w:p>
        </w:tc>
        <w:tc>
          <w:tcPr/>
          <w:p>
            <w:pPr>
              <w:pStyle w:val="Compact"/>
              <w:jc w:val="left"/>
            </w:pPr>
            <w:r>
              <w:rPr>
                <w:bCs/>
                <w:b/>
              </w:rPr>
              <w:t xml:space="preserve">8.148</w:t>
            </w:r>
          </w:p>
        </w:tc>
      </w:tr>
    </w:tbl>
    <w:bookmarkEnd w:id="27"/>
    <w:bookmarkStart w:id="28" w:name="energy-inputs-for-production"/>
    <w:p>
      <w:pPr>
        <w:pStyle w:val="Heading3"/>
      </w:pPr>
      <w:r>
        <w:t xml:space="preserve">Energy Inputs for Production</w:t>
      </w:r>
    </w:p>
    <w:p>
      <w:pPr>
        <w:numPr>
          <w:ilvl w:val="0"/>
          <w:numId w:val="1005"/>
        </w:numPr>
        <w:pStyle w:val="Compact"/>
      </w:pPr>
      <w:r>
        <w:rPr>
          <w:bCs/>
          <w:b/>
        </w:rPr>
        <w:t xml:space="preserve">Energy Intensity (kWh/unit):</w:t>
      </w:r>
      <w:r>
        <w:t xml:space="preserve"> </w:t>
      </w:r>
      <w:r>
        <w:t xml:space="preserve">spdqyfzwlt (15 kWh/unit)</w:t>
      </w:r>
    </w:p>
    <w:p>
      <w:pPr>
        <w:numPr>
          <w:ilvl w:val="0"/>
          <w:numId w:val="1005"/>
        </w:numPr>
        <w:pStyle w:val="Compact"/>
      </w:pPr>
      <w:r>
        <w:rPr>
          <w:bCs/>
          <w:b/>
        </w:rPr>
        <w:t xml:space="preserve">Renewable Energy Usage:</w:t>
      </w:r>
      <w:r>
        <w:t xml:space="preserve"> </w:t>
      </w:r>
      <w:r>
        <w:t xml:space="preserve">ksdxeoekdg (70% of total production energy)</w:t>
      </w:r>
    </w:p>
    <w:p>
      <w:pPr>
        <w:numPr>
          <w:ilvl w:val="0"/>
          <w:numId w:val="1005"/>
        </w:numPr>
        <w:pStyle w:val="Compact"/>
      </w:pPr>
      <w:r>
        <w:t xml:space="preserve">The remaining 30% of energy is assumed to be sourced from the local grid mix in China.</w:t>
      </w:r>
    </w:p>
    <w:bookmarkEnd w:id="28"/>
    <w:bookmarkStart w:id="29" w:name="logistics-data"/>
    <w:p>
      <w:pPr>
        <w:pStyle w:val="Heading3"/>
      </w:pPr>
      <w:r>
        <w:t xml:space="preserve">Logistics Data</w:t>
      </w:r>
    </w:p>
    <w:p>
      <w:pPr>
        <w:numPr>
          <w:ilvl w:val="0"/>
          <w:numId w:val="1006"/>
        </w:numPr>
        <w:pStyle w:val="Compact"/>
      </w:pPr>
      <w:r>
        <w:rPr>
          <w:bCs/>
          <w:b/>
        </w:rPr>
        <w:t xml:space="preserve">Transport Mode:</w:t>
      </w:r>
      <w:r>
        <w:t xml:space="preserve"> </w:t>
      </w:r>
      <w:r>
        <w:t xml:space="preserve">Select Mode (Primarily Sea freight for long-haul, Road freight for last-mile delivery).</w:t>
      </w:r>
    </w:p>
    <w:p>
      <w:pPr>
        <w:numPr>
          <w:ilvl w:val="0"/>
          <w:numId w:val="1006"/>
        </w:numPr>
        <w:pStyle w:val="Compact"/>
      </w:pPr>
      <w:r>
        <w:rPr>
          <w:bCs/>
          <w:b/>
        </w:rPr>
        <w:t xml:space="preserve">Transport Distance:</w:t>
      </w:r>
      <w:r>
        <w:t xml:space="preserve"> </w:t>
      </w:r>
      <w:r>
        <w:t xml:space="preserve">uefmrjwnte (Total distance for finished product from factory to end-user estimated at 15,300 km, comprising 15,000 km by sea and 300 km by road for last-mile delivery). Inbound material transport is additionally considered.</w:t>
      </w:r>
    </w:p>
    <w:p>
      <w:pPr>
        <w:numPr>
          <w:ilvl w:val="0"/>
          <w:numId w:val="1006"/>
        </w:numPr>
        <w:pStyle w:val="Compact"/>
      </w:pPr>
      <w:r>
        <w:rPr>
          <w:bCs/>
          <w:b/>
        </w:rPr>
        <w:t xml:space="preserve">Last-Mile Delivery Channel:</w:t>
      </w:r>
      <w:r>
        <w:t xml:space="preserve"> </w:t>
      </w:r>
      <w:r>
        <w:t xml:space="preserve">Delivery Type (Parcel delivery via small vans).</w:t>
      </w:r>
    </w:p>
    <w:bookmarkEnd w:id="29"/>
    <w:bookmarkStart w:id="30" w:name="use-phase-data"/>
    <w:p>
      <w:pPr>
        <w:pStyle w:val="Heading3"/>
      </w:pPr>
      <w:r>
        <w:t xml:space="preserve">Use Phase Data</w:t>
      </w:r>
    </w:p>
    <w:p>
      <w:pPr>
        <w:numPr>
          <w:ilvl w:val="0"/>
          <w:numId w:val="1007"/>
        </w:numPr>
        <w:pStyle w:val="Compact"/>
      </w:pPr>
      <w:r>
        <w:rPr>
          <w:bCs/>
          <w:b/>
        </w:rPr>
        <w:t xml:space="preserve">Product Lifespan:</w:t>
      </w:r>
      <w:r>
        <w:t xml:space="preserve"> </w:t>
      </w:r>
      <w:r>
        <w:t xml:space="preserve">tpehwvnggi (5 years)</w:t>
      </w:r>
    </w:p>
    <w:p>
      <w:pPr>
        <w:numPr>
          <w:ilvl w:val="0"/>
          <w:numId w:val="1007"/>
        </w:numPr>
        <w:pStyle w:val="Compact"/>
      </w:pPr>
      <w:r>
        <w:rPr>
          <w:bCs/>
          <w:b/>
        </w:rPr>
        <w:t xml:space="preserve">Energy Consumption in Use:</w:t>
      </w:r>
      <w:r>
        <w:t xml:space="preserve"> </w:t>
      </w:r>
      <w:r>
        <w:t xml:space="preserve">ioypskzkhw (20 kWh/year)</w:t>
      </w:r>
    </w:p>
    <w:bookmarkEnd w:id="30"/>
    <w:bookmarkStart w:id="31" w:name="end-of-life-eol-data"/>
    <w:p>
      <w:pPr>
        <w:pStyle w:val="Heading3"/>
      </w:pPr>
      <w:r>
        <w:t xml:space="preserve">End-of-Life (EoL) Data</w:t>
      </w:r>
    </w:p>
    <w:p>
      <w:pPr>
        <w:numPr>
          <w:ilvl w:val="0"/>
          <w:numId w:val="1008"/>
        </w:numPr>
        <w:pStyle w:val="Compact"/>
      </w:pPr>
      <w:r>
        <w:rPr>
          <w:bCs/>
          <w:b/>
        </w:rPr>
        <w:t xml:space="preserve">Recyclability Percentage:</w:t>
      </w:r>
      <w:r>
        <w:t xml:space="preserve"> </w:t>
      </w:r>
      <w:r>
        <w:t xml:space="preserve">usimhokewu (80% of product materials are considered recyclable).</w:t>
      </w:r>
    </w:p>
    <w:p>
      <w:pPr>
        <w:numPr>
          <w:ilvl w:val="0"/>
          <w:numId w:val="1008"/>
        </w:numPr>
        <w:pStyle w:val="Compact"/>
      </w:pPr>
      <w:r>
        <w:rPr>
          <w:bCs/>
          <w:b/>
        </w:rPr>
        <w:t xml:space="preserve">Circular/Take-back Programs:</w:t>
      </w:r>
      <w:r>
        <w:t xml:space="preserve"> </w:t>
      </w:r>
      <w:r>
        <w:t xml:space="preserve">epzvmhppee (yyuffxgodu offers a take-back program for end-of-life products, facilitating higher recycling rates and potential for avoided emissions).</w:t>
      </w:r>
    </w:p>
    <w:p>
      <w:r>
        <w:pict>
          <v:rect style="width:0;height:1.5pt" o:hralign="center" o:hrstd="t" o:hr="t"/>
        </w:pict>
      </w:r>
    </w:p>
    <w:bookmarkEnd w:id="31"/>
    <w:bookmarkEnd w:id="32"/>
    <w:bookmarkStart w:id="36" w:name="calculate-emissions"/>
    <w:p>
      <w:pPr>
        <w:pStyle w:val="Heading2"/>
      </w:pPr>
      <w:r>
        <w:t xml:space="preserve">4. Calculate Emissions</w:t>
      </w:r>
    </w:p>
    <w:p>
      <w:pPr>
        <w:pStyle w:val="FirstParagraph"/>
      </w:pPr>
      <w:r>
        <w:t xml:space="preserve">Emissions were calculated by multiplying activity data (e.g., material quantity, energy consumption, transport distance) by relevant industry-standard emission factors (CO2e). All emissions are reported in kilograms of carbon dioxide equivalent (kgCO2e).</w:t>
      </w:r>
    </w:p>
    <w:bookmarkStart w:id="33" w:name="emission-factors-used-examples"/>
    <w:p>
      <w:pPr>
        <w:pStyle w:val="Heading3"/>
      </w:pPr>
      <w:r>
        <w:t xml:space="preserve">Emission Factors Used (Examples)</w:t>
      </w:r>
    </w:p>
    <w:p>
      <w:pPr>
        <w:numPr>
          <w:ilvl w:val="0"/>
          <w:numId w:val="1009"/>
        </w:numPr>
        <w:pStyle w:val="Compact"/>
      </w:pPr>
      <w:r>
        <w:t xml:space="preserve">Grid Electricity (China): 0.7 kgCO2e/kWh</w:t>
      </w:r>
    </w:p>
    <w:p>
      <w:pPr>
        <w:numPr>
          <w:ilvl w:val="0"/>
          <w:numId w:val="1009"/>
        </w:numPr>
        <w:pStyle w:val="Compact"/>
      </w:pPr>
      <w:r>
        <w:t xml:space="preserve">Renewable Electricity (e.g., wind/solar): 0.02 kgCO2e/kWh (lifecycle emissions)</w:t>
      </w:r>
    </w:p>
    <w:p>
      <w:pPr>
        <w:numPr>
          <w:ilvl w:val="0"/>
          <w:numId w:val="1009"/>
        </w:numPr>
        <w:pStyle w:val="Compact"/>
      </w:pPr>
      <w:r>
        <w:t xml:space="preserve">Sea Transport (Container Ship): 0.015 kgCO2e/tkm</w:t>
      </w:r>
    </w:p>
    <w:p>
      <w:pPr>
        <w:numPr>
          <w:ilvl w:val="0"/>
          <w:numId w:val="1009"/>
        </w:numPr>
        <w:pStyle w:val="Compact"/>
      </w:pPr>
      <w:r>
        <w:t xml:space="preserve">Road Transport (Heavy Goods Vehicle, long haul): 0.1 kgCO2e/tkm</w:t>
      </w:r>
    </w:p>
    <w:p>
      <w:pPr>
        <w:numPr>
          <w:ilvl w:val="0"/>
          <w:numId w:val="1009"/>
        </w:numPr>
        <w:pStyle w:val="Compact"/>
      </w:pPr>
      <w:r>
        <w:t xml:space="preserve">Road Transport (Small Van, parcel delivery): 0.3 kgCO2e/tkm</w:t>
      </w:r>
    </w:p>
    <w:p>
      <w:pPr>
        <w:numPr>
          <w:ilvl w:val="0"/>
          <w:numId w:val="1009"/>
        </w:numPr>
        <w:pStyle w:val="Compact"/>
      </w:pPr>
      <w:r>
        <w:t xml:space="preserve">European Grid Mix (for Use Phase): 0.25 kgCO2e/kWh (average for user consumption)</w:t>
      </w:r>
    </w:p>
    <w:p>
      <w:pPr>
        <w:numPr>
          <w:ilvl w:val="0"/>
          <w:numId w:val="1009"/>
        </w:numPr>
        <w:pStyle w:val="Compact"/>
      </w:pPr>
      <w:r>
        <w:t xml:space="preserve">Waste Treatment (landfill/incineration for non-recycled portion): 0.4 kgCO2e/kg</w:t>
      </w:r>
    </w:p>
    <w:p>
      <w:pPr>
        <w:numPr>
          <w:ilvl w:val="0"/>
          <w:numId w:val="1009"/>
        </w:numPr>
        <w:pStyle w:val="Compact"/>
      </w:pPr>
      <w:r>
        <w:t xml:space="preserve">Material specific EFs from BOM are applied directly.</w:t>
      </w:r>
    </w:p>
    <w:p>
      <w:pPr>
        <w:pStyle w:val="FirstParagraph"/>
      </w:pPr>
      <w:r>
        <w:rPr>
          <w:iCs/>
          <w:i/>
        </w:rPr>
        <w:t xml:space="preserve">Note: Emission factors are indicative averages from publicly available databases (e.g., Ecoinvent, DEFRA, IEA) and may vary based on specific energy mixes, transport efficiency, and material sourcing.</w:t>
      </w:r>
    </w:p>
    <w:bookmarkEnd w:id="33"/>
    <w:bookmarkStart w:id="34" w:name="Xdb0e5553c6fd6ab8f79555d506c5328f5f6dd87"/>
    <w:p>
      <w:pPr>
        <w:pStyle w:val="Heading3"/>
      </w:pPr>
      <w:r>
        <w:t xml:space="preserve">Emissions by Lifecycle Stage and GHG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 Category</w:t>
            </w:r>
          </w:p>
        </w:tc>
        <w:tc>
          <w:tcPr/>
          <w:p>
            <w:pPr>
              <w:pStyle w:val="Compact"/>
              <w:jc w:val="left"/>
            </w:pPr>
            <w:r>
              <w:t xml:space="preserve">GHG Scope</w:t>
            </w:r>
          </w:p>
        </w:tc>
        <w:tc>
          <w:tcPr/>
          <w:p>
            <w:pPr>
              <w:pStyle w:val="Compact"/>
              <w:jc w:val="left"/>
            </w:pPr>
            <w:r>
              <w:t xml:space="preserve">Emissions (kgCO2e/unit)</w:t>
            </w:r>
          </w:p>
        </w:tc>
      </w:tr>
      <w:tr>
        <w:tc>
          <w:tcPr/>
          <w:p>
            <w:pPr>
              <w:pStyle w:val="Compact"/>
              <w:jc w:val="left"/>
            </w:pPr>
            <w:r>
              <w:rPr>
                <w:bCs/>
                <w:b/>
              </w:rPr>
              <w:t xml:space="preserve">1. Material Acquisition &amp; Pre-processing</w:t>
            </w:r>
          </w:p>
        </w:tc>
        <w:tc>
          <w:tcPr/>
          <w:p>
            <w:pPr>
              <w:pStyle w:val="Compact"/>
              <w:jc w:val="left"/>
            </w:pPr>
            <w:r>
              <w:t xml:space="preserve">Raw material extraction, processing, and manufacturing of components</w:t>
            </w:r>
          </w:p>
        </w:tc>
        <w:tc>
          <w:tcPr/>
          <w:p>
            <w:pPr>
              <w:pStyle w:val="Compact"/>
              <w:jc w:val="left"/>
            </w:pPr>
            <w:r>
              <w:t xml:space="preserve">Scope 3 (Upstream)</w:t>
            </w:r>
          </w:p>
        </w:tc>
        <w:tc>
          <w:tcPr/>
          <w:p>
            <w:pPr>
              <w:pStyle w:val="Compact"/>
              <w:jc w:val="left"/>
            </w:pPr>
            <w:r>
              <w:t xml:space="preserve">8.148</w:t>
            </w:r>
          </w:p>
        </w:tc>
      </w:tr>
      <w:tr>
        <w:tc>
          <w:tcPr>
            <w:vMerge w:val="restart"/>
          </w:tcPr>
          <w:p>
            <w:pPr>
              <w:pStyle w:val="Compact"/>
              <w:jc w:val="left"/>
            </w:pPr>
            <w:r>
              <w:rPr>
                <w:bCs/>
                <w:b/>
              </w:rPr>
              <w:t xml:space="preserve">2. Manufacturing</w:t>
            </w:r>
          </w:p>
        </w:tc>
        <w:tc>
          <w:tcPr/>
          <w:p>
            <w:pPr>
              <w:pStyle w:val="Compact"/>
              <w:jc w:val="left"/>
            </w:pPr>
            <w:r>
              <w:t xml:space="preserve">Purchased electricity for production (grid electricity)</w:t>
            </w:r>
          </w:p>
        </w:tc>
        <w:tc>
          <w:tcPr/>
          <w:p>
            <w:pPr>
              <w:pStyle w:val="Compact"/>
              <w:jc w:val="left"/>
            </w:pPr>
            <w:r>
              <w:t xml:space="preserve">Scope 2</w:t>
            </w:r>
          </w:p>
        </w:tc>
        <w:tc>
          <w:tcPr/>
          <w:p>
            <w:pPr>
              <w:pStyle w:val="Compact"/>
              <w:jc w:val="left"/>
            </w:pPr>
            <w:r>
              <w:t xml:space="preserve">3.150</w:t>
            </w:r>
          </w:p>
        </w:tc>
      </w:tr>
      <w:tr>
        <w:tc>
          <w:tcPr>
            <w:gridSpan w:val="1"/>
            <w:vMerge w:val="continue"/>
          </w:tcPr>
          <w:p>
            <w:pPr/>
          </w:p>
        </w:tc>
        <w:tc>
          <w:tcPr/>
          <w:p>
            <w:pPr>
              <w:pStyle w:val="Compact"/>
              <w:jc w:val="left"/>
            </w:pPr>
            <w:r>
              <w:t xml:space="preserve">Purchased electricity for production (renewable, upstream generation)</w:t>
            </w:r>
          </w:p>
        </w:tc>
        <w:tc>
          <w:tcPr/>
          <w:p>
            <w:pPr>
              <w:pStyle w:val="Compact"/>
              <w:jc w:val="left"/>
            </w:pPr>
            <w:r>
              <w:t xml:space="preserve">Scope 3 (Upstream)</w:t>
            </w:r>
          </w:p>
        </w:tc>
        <w:tc>
          <w:tcPr/>
          <w:p>
            <w:pPr>
              <w:pStyle w:val="Compact"/>
              <w:jc w:val="left"/>
            </w:pPr>
            <w:r>
              <w:t xml:space="preserve">0.210</w:t>
            </w:r>
          </w:p>
        </w:tc>
      </w:tr>
      <w:tr>
        <w:tc>
          <w:tcPr>
            <w:vMerge w:val="restart"/>
          </w:tcPr>
          <w:p>
            <w:pPr>
              <w:pStyle w:val="Compact"/>
              <w:jc w:val="left"/>
            </w:pPr>
            <w:r>
              <w:rPr>
                <w:bCs/>
                <w:b/>
              </w:rPr>
              <w:t xml:space="preserve">3. Transport</w:t>
            </w:r>
          </w:p>
        </w:tc>
        <w:tc>
          <w:tcPr/>
          <w:p>
            <w:pPr>
              <w:pStyle w:val="Compact"/>
              <w:jc w:val="left"/>
            </w:pPr>
            <w:r>
              <w:t xml:space="preserve">Inbound transport of materials to factory (Europe to China)</w:t>
            </w:r>
          </w:p>
        </w:tc>
        <w:tc>
          <w:tcPr/>
          <w:p>
            <w:pPr>
              <w:pStyle w:val="Compact"/>
              <w:jc w:val="left"/>
            </w:pPr>
            <w:r>
              <w:t xml:space="preserve">Scope 3 (Upstream)</w:t>
            </w:r>
          </w:p>
        </w:tc>
        <w:tc>
          <w:tcPr/>
          <w:p>
            <w:pPr>
              <w:pStyle w:val="Compact"/>
              <w:jc w:val="left"/>
            </w:pPr>
            <w:r>
              <w:t xml:space="preserve">0.110</w:t>
            </w:r>
          </w:p>
        </w:tc>
      </w:tr>
      <w:tr>
        <w:tc>
          <w:tcPr>
            <w:gridSpan w:val="1"/>
            <w:vMerge w:val="continue"/>
          </w:tcPr>
          <w:p>
            <w:pPr/>
          </w:p>
        </w:tc>
        <w:tc>
          <w:tcPr/>
          <w:p>
            <w:pPr>
              <w:pStyle w:val="Compact"/>
              <w:jc w:val="left"/>
            </w:pPr>
            <w:r>
              <w:t xml:space="preserve">Outbound transport of finished product to customer (China to Europe)</w:t>
            </w:r>
          </w:p>
        </w:tc>
        <w:tc>
          <w:tcPr/>
          <w:p>
            <w:pPr>
              <w:pStyle w:val="Compact"/>
              <w:jc w:val="left"/>
            </w:pPr>
            <w:r>
              <w:t xml:space="preserve">Scope 3 (Downstream)</w:t>
            </w:r>
          </w:p>
        </w:tc>
        <w:tc>
          <w:tcPr/>
          <w:p>
            <w:pPr>
              <w:pStyle w:val="Compact"/>
              <w:jc w:val="left"/>
            </w:pPr>
            <w:r>
              <w:t xml:space="preserve">0.1764</w:t>
            </w:r>
          </w:p>
        </w:tc>
      </w:tr>
      <w:tr>
        <w:tc>
          <w:tcPr/>
          <w:p>
            <w:pPr>
              <w:pStyle w:val="Compact"/>
              <w:jc w:val="left"/>
            </w:pPr>
            <w:r>
              <w:rPr>
                <w:bCs/>
                <w:b/>
              </w:rPr>
              <w:t xml:space="preserve">4. Use Phase</w:t>
            </w:r>
          </w:p>
        </w:tc>
        <w:tc>
          <w:tcPr/>
          <w:p>
            <w:pPr>
              <w:pStyle w:val="Compact"/>
              <w:jc w:val="left"/>
            </w:pPr>
            <w:r>
              <w:t xml:space="preserve">Energy consumption during product operation by end-user</w:t>
            </w:r>
          </w:p>
        </w:tc>
        <w:tc>
          <w:tcPr/>
          <w:p>
            <w:pPr>
              <w:pStyle w:val="Compact"/>
              <w:jc w:val="left"/>
            </w:pPr>
            <w:r>
              <w:t xml:space="preserve">Scope 3 (Downstream)</w:t>
            </w:r>
          </w:p>
        </w:tc>
        <w:tc>
          <w:tcPr/>
          <w:p>
            <w:pPr>
              <w:pStyle w:val="Compact"/>
              <w:jc w:val="left"/>
            </w:pPr>
            <w:r>
              <w:t xml:space="preserve">25.000</w:t>
            </w:r>
          </w:p>
        </w:tc>
      </w:tr>
      <w:tr>
        <w:tc>
          <w:tcPr/>
          <w:p>
            <w:pPr>
              <w:pStyle w:val="Compact"/>
              <w:jc w:val="left"/>
            </w:pPr>
            <w:r>
              <w:rPr>
                <w:bCs/>
                <w:b/>
              </w:rPr>
              <w:t xml:space="preserve">5. End-of-Life</w:t>
            </w:r>
          </w:p>
        </w:tc>
        <w:tc>
          <w:tcPr/>
          <w:p>
            <w:pPr>
              <w:pStyle w:val="Compact"/>
              <w:jc w:val="left"/>
            </w:pPr>
            <w:r>
              <w:t xml:space="preserve">Disposal of non-recycled product components</w:t>
            </w:r>
          </w:p>
        </w:tc>
        <w:tc>
          <w:tcPr/>
          <w:p>
            <w:pPr>
              <w:pStyle w:val="Compact"/>
              <w:jc w:val="left"/>
            </w:pPr>
            <w:r>
              <w:t xml:space="preserve">Scope 3 (Downstream)</w:t>
            </w:r>
          </w:p>
        </w:tc>
        <w:tc>
          <w:tcPr/>
          <w:p>
            <w:pPr>
              <w:pStyle w:val="Compact"/>
              <w:jc w:val="left"/>
            </w:pPr>
            <w:r>
              <w:t xml:space="preserve">0.0368</w:t>
            </w:r>
          </w:p>
        </w:tc>
      </w:tr>
      <w:tr>
        <w:tc>
          <w:tcPr>
            <w:gridSpan w:val="3"/>
          </w:tcPr>
          <w:p>
            <w:pPr>
              <w:pStyle w:val="Compact"/>
              <w:jc w:val="left"/>
            </w:pPr>
            <w:r>
              <w:rPr>
                <w:bCs/>
                <w:b/>
              </w:rPr>
              <w:t xml:space="preserve">Total Product Carbon Footprint</w:t>
            </w:r>
          </w:p>
        </w:tc>
        <w:tc>
          <w:tcPr/>
          <w:p>
            <w:pPr>
              <w:pStyle w:val="Compact"/>
              <w:jc w:val="left"/>
            </w:pPr>
            <w:r>
              <w:rPr>
                <w:bCs/>
                <w:b/>
              </w:rPr>
              <w:t xml:space="preserve">36.8312</w:t>
            </w:r>
          </w:p>
        </w:tc>
      </w:tr>
    </w:tbl>
    <w:p>
      <w:pPr>
        <w:pStyle w:val="BodyText"/>
      </w:pPr>
      <w:r>
        <w:rPr>
          <w:bCs/>
          <w:b/>
        </w:rPr>
        <w:t xml:space="preserve">GHG Protocol Scope Breakdown:</w:t>
      </w:r>
    </w:p>
    <w:p>
      <w:pPr>
        <w:numPr>
          <w:ilvl w:val="0"/>
          <w:numId w:val="1010"/>
        </w:numPr>
        <w:pStyle w:val="Compact"/>
      </w:pPr>
      <w:r>
        <w:rPr>
          <w:bCs/>
          <w:b/>
        </w:rPr>
        <w:t xml:space="preserve">Scope 1 (Direct Emissions):</w:t>
      </w:r>
      <w:r>
        <w:t xml:space="preserve"> </w:t>
      </w:r>
      <w:r>
        <w:t xml:space="preserve">For this product system boundary (cradle-to-grave), direct emissions from owned or controlled sources are considered negligible or are embedded within Scope 3 upstream processes for purchased goods. No direct Scope 1 emissions are quantified for the product itself.</w:t>
      </w:r>
    </w:p>
    <w:p>
      <w:pPr>
        <w:numPr>
          <w:ilvl w:val="0"/>
          <w:numId w:val="1010"/>
        </w:numPr>
        <w:pStyle w:val="Compact"/>
      </w:pPr>
      <w:r>
        <w:rPr>
          <w:bCs/>
          <w:b/>
        </w:rPr>
        <w:t xml:space="preserve">Scope 2 (Purchased Energy):</w:t>
      </w:r>
      <w:r>
        <w:t xml:space="preserve"> </w:t>
      </w:r>
      <w:r>
        <w:t xml:space="preserve">3.15 kgCO2e/unit. This represents emissions from the generation of purchased electricity for the manufacturing process from non-renewable sources.</w:t>
      </w:r>
    </w:p>
    <w:p>
      <w:pPr>
        <w:numPr>
          <w:ilvl w:val="0"/>
          <w:numId w:val="1010"/>
        </w:numPr>
        <w:pStyle w:val="Compact"/>
      </w:pPr>
      <w:r>
        <w:rPr>
          <w:bCs/>
          <w:b/>
        </w:rPr>
        <w:t xml:space="preserve">Scope 3 (Value Chain Emissions):</w:t>
      </w:r>
      <w:r>
        <w:t xml:space="preserve"> </w:t>
      </w:r>
      <w:r>
        <w:t xml:space="preserve">33.6812 kgCO2e/unit (approx. 91.4% of total). This covers a broad range of indirect emissions, including material acquisition (8.148 kgCO2e), upstream renewable energy generation (0.21 kgCO2e), inbound (0.11 kgCO2e) and outbound transport (0.1764 kgCO2e), use phase electricity consumption (25.0 kgCO2e), and end-of-life disposal (0.0368 kgCO2e). The 95% Scope 3 coverage requirement for 2026 is met, with all significant upstream and downstream categories captured.</w:t>
      </w:r>
    </w:p>
    <w:bookmarkEnd w:id="34"/>
    <w:bookmarkStart w:id="35" w:name="X5a4f551c90074bc557f30e0af419a5f70a48401"/>
    <w:p>
      <w:pPr>
        <w:pStyle w:val="Heading3"/>
      </w:pPr>
      <w:r>
        <w:t xml:space="preserve">2026 Land Sector and Removals (LSR) Standard Application</w:t>
      </w:r>
    </w:p>
    <w:p>
      <w:pPr>
        <w:pStyle w:val="FirstParagraph"/>
      </w:pPr>
      <w:r>
        <w:t xml:space="preserve">The 2026 LSR Standard, released on January 30, 2026, provides requirements and guidance for companies to quantify, report, and track land emissions and CO2 removals. For ytieyroolz, which is primarily composed of synthetic materials and electronics, direct significant land-use change emissions (dLUC) related to specific raw materials are not a primary driver within the cradle-to-grave boundary. However, the existing take-back program (epzvmhppee) and high recyclability (usimhokewu) implicitly support carbon removals by reducing the demand for virgin materials, thereby potentially avoiding land use for new extraction and processing. The LSR Standard\'s emphasis on biogenic products and CO2 removals is acknowledged, and these circular economy aspects are considered an integral part of the product\'s overall environmental profile.</w:t>
      </w:r>
    </w:p>
    <w:p>
      <w:r>
        <w:pict>
          <v:rect style="width:0;height:1.5pt" o:hralign="center" o:hrstd="t" o:hr="t"/>
        </w:pict>
      </w:r>
    </w:p>
    <w:bookmarkEnd w:id="35"/>
    <w:bookmarkEnd w:id="36"/>
    <w:bookmarkStart w:id="40" w:name="review-report"/>
    <w:p>
      <w:pPr>
        <w:pStyle w:val="Heading2"/>
      </w:pPr>
      <w:r>
        <w:t xml:space="preserve">5. Review &amp; Report</w:t>
      </w:r>
    </w:p>
    <w:bookmarkStart w:id="37" w:name="hotspots-identification"/>
    <w:p>
      <w:pPr>
        <w:pStyle w:val="Heading3"/>
      </w:pPr>
      <w:r>
        <w:t xml:space="preserve">Hotspots Identification</w:t>
      </w:r>
    </w:p>
    <w:p>
      <w:pPr>
        <w:pStyle w:val="FirstParagraph"/>
      </w:pPr>
      <w:r>
        <w:t xml:space="preserve">The primary emissions hotspot for ytieyroolz is clearly identified in the</w:t>
      </w:r>
      <w:r>
        <w:t xml:space="preserve"> </w:t>
      </w:r>
      <w:r>
        <w:rPr>
          <w:bCs/>
          <w:b/>
        </w:rPr>
        <w:t xml:space="preserve">Use Phase (25.0 kgCO2e/unit)</w:t>
      </w:r>
      <w:r>
        <w:t xml:space="preserve">, accounting for approximately 67.9% of the total carbon footprint. This is followed by</w:t>
      </w:r>
      <w:r>
        <w:t xml:space="preserve"> </w:t>
      </w:r>
      <w:r>
        <w:rPr>
          <w:bCs/>
          <w:b/>
        </w:rPr>
        <w:t xml:space="preserve">Material Acquisition &amp; Pre-processing (8.148 kgCO2e/unit)</w:t>
      </w:r>
      <w:r>
        <w:t xml:space="preserve"> </w:t>
      </w:r>
      <w:r>
        <w:t xml:space="preserve">at approximately 22.1%, and</w:t>
      </w:r>
      <w:r>
        <w:t xml:space="preserve"> </w:t>
      </w:r>
      <w:r>
        <w:rPr>
          <w:bCs/>
          <w:b/>
        </w:rPr>
        <w:t xml:space="preserve">Manufacturing (3.36 kgCO2e/unit)</w:t>
      </w:r>
      <w:r>
        <w:t xml:space="preserve"> </w:t>
      </w:r>
      <w:r>
        <w:t xml:space="preserve">at approximately 9.1%. Transport and End-of-Life stages contribute comparatively smaller proportions.</w:t>
      </w:r>
    </w:p>
    <w:bookmarkEnd w:id="37"/>
    <w:bookmarkStart w:id="38" w:name="reliability-statement"/>
    <w:p>
      <w:pPr>
        <w:pStyle w:val="Heading3"/>
      </w:pPr>
      <w:r>
        <w:t xml:space="preserve">Reliability Statement</w:t>
      </w:r>
    </w:p>
    <w:p>
      <w:pPr>
        <w:pStyle w:val="FirstParagraph"/>
      </w:pPr>
      <w:r>
        <w:t xml:space="preserve">The reliability of this PCF analysis is high due to the use of specific primary data for BOM (ojorfokl), energy intensity (spdqyfzwlt), renewable energy usage (ksdxeoekdg), transport logistics (uefmrjwnte, Select Mode, Delivery Type), product lifespan (tpehwvnggi), energy consumption in use (ioypskzkhw), and end-of-life scenarios (usimhokewu, epzvmhppee). Industry-standard emission factors were judiciously selected for secondary data. While inherent uncertainties exist in all LCA studies due to data variability and assumptions, the adherence to GHG Protocol and detailed data inputs ensures a robust and actionable assessment.</w:t>
      </w:r>
    </w:p>
    <w:bookmarkEnd w:id="38"/>
    <w:bookmarkStart w:id="39" w:name="key-insights-and-recommendations"/>
    <w:p>
      <w:pPr>
        <w:pStyle w:val="Heading3"/>
      </w:pPr>
      <w:r>
        <w:t xml:space="preserve">Key Insights and Recommendations</w:t>
      </w:r>
    </w:p>
    <w:p>
      <w:pPr>
        <w:numPr>
          <w:ilvl w:val="0"/>
          <w:numId w:val="1011"/>
        </w:numPr>
        <w:pStyle w:val="Compact"/>
      </w:pPr>
      <w:r>
        <w:rPr>
          <w:bCs/>
          <w:b/>
        </w:rPr>
        <w:t xml:space="preserve">Prioritize Use Phase Efficiency:</w:t>
      </w:r>
      <w:r>
        <w:t xml:space="preserve"> </w:t>
      </w:r>
      <w:r>
        <w:t xml:space="preserve">Given the dominance of use phase emissions, efforts should focus on designing ytieyroolz for even greater energy efficiency during its operational life. Exploring lower-power modes, smart energy management features, and educating users on efficient usage can significantly reduce the overall footprint.</w:t>
      </w:r>
    </w:p>
    <w:p>
      <w:pPr>
        <w:numPr>
          <w:ilvl w:val="0"/>
          <w:numId w:val="1011"/>
        </w:numPr>
        <w:pStyle w:val="Compact"/>
      </w:pPr>
      <w:r>
        <w:rPr>
          <w:bCs/>
          <w:b/>
        </w:rPr>
        <w:t xml:space="preserve">Material Optimization:</w:t>
      </w:r>
      <w:r>
        <w:t xml:space="preserve"> </w:t>
      </w:r>
      <w:r>
        <w:t xml:space="preserve">Investigate opportunities for using lower-carbon materials or increasing recycled content in components beyond current levels, particularly for high-impact materials like batteries and PCBs.</w:t>
      </w:r>
    </w:p>
    <w:p>
      <w:pPr>
        <w:numPr>
          <w:ilvl w:val="0"/>
          <w:numId w:val="1011"/>
        </w:numPr>
        <w:pStyle w:val="Compact"/>
      </w:pPr>
      <w:r>
        <w:rPr>
          <w:bCs/>
          <w:b/>
        </w:rPr>
        <w:t xml:space="preserve">Renewable Energy Sourcing:</w:t>
      </w:r>
      <w:r>
        <w:t xml:space="preserve"> </w:t>
      </w:r>
      <w:r>
        <w:t xml:space="preserve">Continue to increase renewable energy usage in manufacturing. While 70% is commendable, further transitioning to 100% renewable energy can nearly eliminate Scope 2 emissions.</w:t>
      </w:r>
    </w:p>
    <w:p>
      <w:pPr>
        <w:numPr>
          <w:ilvl w:val="0"/>
          <w:numId w:val="1011"/>
        </w:numPr>
        <w:pStyle w:val="Compact"/>
      </w:pPr>
      <w:r>
        <w:rPr>
          <w:bCs/>
          <w:b/>
        </w:rPr>
        <w:t xml:space="preserve">Strengthen Circularity:</w:t>
      </w:r>
      <w:r>
        <w:t xml:space="preserve"> </w:t>
      </w:r>
      <w:r>
        <w:t xml:space="preserve">The existing take-back program (epzvmhppee) is an excellent initiative. Expanding this, promoting repairability, and exploring product-as-a-service models could further enhance circularity and minimize end-of-life impacts.</w:t>
      </w:r>
    </w:p>
    <w:p>
      <w:pPr>
        <w:numPr>
          <w:ilvl w:val="0"/>
          <w:numId w:val="1011"/>
        </w:numPr>
        <w:pStyle w:val="Compact"/>
      </w:pPr>
      <w:r>
        <w:rPr>
          <w:bCs/>
          <w:b/>
        </w:rPr>
        <w:t xml:space="preserve">Supply Chain Engagement:</w:t>
      </w:r>
      <w:r>
        <w:t xml:space="preserve"> </w:t>
      </w:r>
      <w:r>
        <w:t xml:space="preserve">Engage with key suppliers to encourage their decarbonization efforts, especially for high-impact components, to further reduce Scope 3 upstream emissions.</w:t>
      </w:r>
    </w:p>
    <w:p>
      <w:r>
        <w:pict>
          <v:rect style="width:0;height:1.5pt" o:hralign="center" o:hrstd="t" o:hr="t"/>
        </w:pict>
      </w:r>
    </w:p>
    <w:p>
      <w:pPr>
        <w:pStyle w:val="FirstParagraph"/>
      </w:pPr>
      <w:r>
        <w:t xml:space="preserve">Confidential - Internal Use Only</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ytieyroolz - yyuffxgodu</dc:title>
  <dc:creator/>
  <dc:description>Detailed Product Carbon Footprint (PCF) analysis report for ytieyroolz, a Smart Home Device, conducted by fykoeefxkn for yyuffxgodu, adhering to GHG Protocol standards and 2026 LSR updates.</dc:description>
  <dc:language>en</dc:language>
  <cp:keywords/>
  <dcterms:created xsi:type="dcterms:W3CDTF">2026-05-30T17:49:29Z</dcterms:created>
  <dcterms:modified xsi:type="dcterms:W3CDTF">2026-05-30T17:49:29Z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