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yszwgyqmod</w:t>
      </w:r>
      <w:r>
        <w:t xml:space="preserve"> </w:t>
      </w:r>
      <w:r>
        <w:t xml:space="preserve">-</w:t>
      </w:r>
      <w:r>
        <w:t xml:space="preserve"> </w:t>
      </w:r>
      <w:r>
        <w:t xml:space="preserve">kvghzuhtse</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rPr>
          <w:bCs/>
          <w:b/>
        </w:rPr>
        <w:t xml:space="preserve">Product:</w:t>
      </w:r>
      <w:r>
        <w:t xml:space="preserve"> </w:t>
      </w:r>
      <w:r>
        <w:t xml:space="preserve">yszwgyqmod</w:t>
      </w:r>
    </w:p>
    <w:p>
      <w:pPr>
        <w:pStyle w:val="BodyText"/>
      </w:pPr>
      <w:r>
        <w:rPr>
          <w:bCs/>
          <w:b/>
        </w:rPr>
        <w:t xml:space="preserve">Company Name:</w:t>
      </w:r>
      <w:r>
        <w:t xml:space="preserve"> </w:t>
      </w:r>
      <w:r>
        <w:t xml:space="preserve">kvghzuhtse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uniqwyshvf</w:t>
      </w:r>
    </w:p>
    <w:p>
      <w:pPr>
        <w:pStyle w:val="BodyText"/>
      </w:pPr>
      <w:r>
        <w:t xml:space="preserve">Disclaimer: This report is generated based on available data, industry standards, and the parameters provided. Specific emission factors and granular data may vary and require further detailed investigation for utmost precision.</w:t>
      </w:r>
    </w:p>
    <w:bookmarkEnd w:id="20"/>
    <w:p>
      <w:pPr>
        <w:pStyle w:val="BodyText"/>
      </w:pPr>
      <w:r>
        <w:t xml:space="preserve">Carbon Footprint Report for yszwgyqmod | Generated Date: May 27, 2026</w:t>
      </w:r>
    </w:p>
    <w:bookmarkStart w:id="43" w:name="Xbfb33d52987939b50cc2130676a5732c9ddc1ec"/>
    <w:p>
      <w:pPr>
        <w:pStyle w:val="Heading1"/>
      </w:pPr>
      <w:r>
        <w:t xml:space="preserve">Product Carbon Footprint Analysis for yszwgyqmod</w:t>
      </w:r>
    </w:p>
    <w:p>
      <w:pPr>
        <w:pStyle w:val="FirstParagraph"/>
      </w:pPr>
      <w:r>
        <w:t xml:space="preserve">This report presents a high-detail Product Carbon Footprint (PCF) analysis for \'yszwgyqmod\', an electronic device manufactured by \'kvghzuhtse\'. The analysis is performed by \'uniqwyshvf\', a Senior Sustainability Consultant, adhering to the Greenhouse Gas (GHG) Protocol standards, including the principles of the 2026 Land Sector and Removals (LSR) Standard. The aim is to quantify the greenhouse gas emissions associated with the product\'s lifecycle, identify hotspots, and provide a foundation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for \'yszwgyqmod\' by \'kvghzuhtse\' identifies the total lifecycle greenhouse gas emissions. The analysis, conducted according to the GHG Protocol, covers emissions from raw material extraction, manufacturing, transportation, product use, and end-of-life. Key findings indicate that materials and the use phase are significant contributors, with the manufacturing energy mix in China and European transportation playing crucial roles. The report highlights areas for targeted emission reduction strategies, emphasizing the importance of sustainable material sourcing, energy efficiency, and circular economy initiatives.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PCF analysis follows the five-step methodology recommended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Identify all relevant lifecycle stages and associated inputs/outputs.</w:t>
      </w:r>
    </w:p>
    <w:p>
      <w:pPr>
        <w:numPr>
          <w:ilvl w:val="0"/>
          <w:numId w:val="1001"/>
        </w:numPr>
        <w:pStyle w:val="Compact"/>
      </w:pPr>
      <w:r>
        <w:rPr>
          <w:bCs/>
          <w:b/>
        </w:rPr>
        <w:t xml:space="preserve">Collect Data:</w:t>
      </w:r>
      <w:r>
        <w:t xml:space="preserve"> </w:t>
      </w:r>
      <w:r>
        <w:t xml:space="preserve">Gather primary and secondary data points for all activities and inputs.</w:t>
      </w:r>
    </w:p>
    <w:p>
      <w:pPr>
        <w:numPr>
          <w:ilvl w:val="0"/>
          <w:numId w:val="1001"/>
        </w:numPr>
        <w:pStyle w:val="Compact"/>
      </w:pPr>
      <w:r>
        <w:rPr>
          <w:bCs/>
          <w:b/>
        </w:rPr>
        <w:t xml:space="preserve">Calculate Emissions:</w:t>
      </w:r>
      <w:r>
        <w:t xml:space="preserve"> </w:t>
      </w:r>
      <w:r>
        <w:t xml:space="preserve">Quantify emissions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p>
      <w:pPr>
        <w:pStyle w:val="FirstParagraph"/>
      </w:pPr>
      <w:r>
        <w:t xml:space="preserve">This report categorizes emissions into Scope 1 (direct), Scope 2 (purchased energy), and Scope 3 (value chain), in strict adherence to the GHG Protocol. Furthermore, the analysis conceptually applies the principles of the 2026 Land Sector and Removals (LSR) Standard, noting its effective date of January 1, 2027, and emphasizing traceability for land-based impacts. The goal for Scope 3 reporting is to achieve at least 95% coverage, aligning with 2026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2"/>
        </w:numPr>
        <w:pStyle w:val="Compact"/>
      </w:pPr>
      <w:r>
        <w:rPr>
          <w:bCs/>
          <w:b/>
        </w:rPr>
        <w:t xml:space="preserve">Functional Unit:</w:t>
      </w:r>
      <w:r>
        <w:t xml:space="preserve"> </w:t>
      </w:r>
      <w:r>
        <w:t xml:space="preserve">1.0 unit of yszwgyqmod</w:t>
      </w:r>
    </w:p>
    <w:p>
      <w:pPr>
        <w:numPr>
          <w:ilvl w:val="0"/>
          <w:numId w:val="1002"/>
        </w:numPr>
        <w:pStyle w:val="Compact"/>
      </w:pPr>
      <w:r>
        <w:rPr>
          <w:bCs/>
          <w:b/>
        </w:rPr>
        <w:t xml:space="preserve">System Boundary:</w:t>
      </w:r>
      <w:r>
        <w:t xml:space="preserve"> </w:t>
      </w:r>
      <w:r>
        <w:t xml:space="preserve">Cradle-to-gate, with extended coverage for the use phase and end-of-life treatment, effectively a "Cradle-to-grave" analysis for the product, focusing on factory_gate for the primary production boundary.</w:t>
      </w:r>
    </w:p>
    <w:p>
      <w:pPr>
        <w:numPr>
          <w:ilvl w:val="0"/>
          <w:numId w:val="1002"/>
        </w:numPr>
        <w:pStyle w:val="Compact"/>
      </w:pPr>
      <w:r>
        <w:rPr>
          <w:bCs/>
          <w:b/>
        </w:rPr>
        <w:t xml:space="preserve">Geographic Scope:</w:t>
      </w:r>
      <w:r>
        <w:t xml:space="preserve"> </w:t>
      </w:r>
      <w:r>
        <w:t xml:space="preserve">Final Production Country: China, Supply Chain Focus: Europe Focused. The use phase is assumed to primarily occur in Europe.</w:t>
      </w:r>
    </w:p>
    <w:p>
      <w:pPr>
        <w:numPr>
          <w:ilvl w:val="0"/>
          <w:numId w:val="1002"/>
        </w:numPr>
        <w:pStyle w:val="Compact"/>
      </w:pPr>
      <w:r>
        <w:rPr>
          <w:bCs/>
          <w:b/>
        </w:rPr>
        <w:t xml:space="preserve">Accounting Standard:</w:t>
      </w:r>
      <w:r>
        <w:t xml:space="preserve"> </w:t>
      </w:r>
      <w:r>
        <w:t xml:space="preserve">GHG Protocol (Corporate Standard and Scope 3 Standard)</w:t>
      </w:r>
    </w:p>
    <w:p>
      <w:pPr>
        <w:numPr>
          <w:ilvl w:val="0"/>
          <w:numId w:val="1002"/>
        </w:numPr>
        <w:pStyle w:val="Compact"/>
      </w:pPr>
      <w:r>
        <w:rPr>
          <w:bCs/>
          <w:b/>
        </w:rPr>
        <w:t xml:space="preserve">Allocation:</w:t>
      </w:r>
      <w:r>
        <w:t xml:space="preserve"> </w:t>
      </w:r>
      <w:r>
        <w:t xml:space="preserve">Emissions are allocated directly to the functional unit based on mass and energy consumption. For multi-product processes, economic allocation or physical allocation (e.g., by mass) is applied where appropriate, though direct attribution is prioritized given the product-specific nature.</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\'yszwgyqmod\' encompasses material acquisition, manufacturing, transportation to market, product use by the consumer, and its end-of-life treatment.</w:t>
      </w:r>
    </w:p>
    <w:bookmarkStart w:id="24" w:name="X5c637fc9e9a74f6840dfe06419cdae6e6cf32e6"/>
    <w:p>
      <w:pPr>
        <w:pStyle w:val="Heading3"/>
      </w:pPr>
      <w:r>
        <w:t xml:space="preserve">Detailed Bill of Materials (BOM) for yszwgyqmod</w:t>
      </w:r>
    </w:p>
    <w:p>
      <w:pPr>
        <w:pStyle w:val="FirstParagraph"/>
      </w:pPr>
      <w:r>
        <w:t xml:space="preserve">The following Bill of Materials (BOM) provides a detailed breakdown of components and their associated carbon impact. Note that specific emission factors and total carbon values provided in the prompt\'s `hqzlxnhp` placeholder are used directly for material impact calculation.</w:t>
      </w:r>
      <w:r>
        <w:t xml:space="preserve"> </w:t>
      </w:r>
      <w:r>
        <w:t xml:space="preserve">For calculation purposes, generic emission factors have been assumed for common materials, as the provided BOM (`hqzlxnhp`) was a placeholder string. These are representative values.</w:t>
      </w:r>
      <w:r>
        <w:t xml:space="preserve"> </w:t>
      </w:r>
      <w:r>
        <w:t xml:space="preserve">Product Average Weight for transport calculations: 2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3.00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9.00</w:t>
            </w:r>
          </w:p>
        </w:tc>
        <w:tc>
          <w:tcPr/>
          <w:p>
            <w:pPr>
              <w:pStyle w:val="Compact"/>
              <w:jc w:val="left"/>
            </w:pPr>
            <w:r>
              <w:t xml:space="preserve">4.50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0.60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0.30</w:t>
            </w:r>
          </w:p>
        </w:tc>
        <w:tc>
          <w:tcPr/>
          <w:p>
            <w:pPr>
              <w:pStyle w:val="Compact"/>
              <w:jc w:val="left"/>
            </w:pPr>
            <w:r>
              <w:t xml:space="preserve">kg</w:t>
            </w:r>
          </w:p>
        </w:tc>
        <w:tc>
          <w:tcPr/>
          <w:p>
            <w:pPr>
              <w:pStyle w:val="Compact"/>
              <w:jc w:val="left"/>
            </w:pPr>
            <w:r>
              <w:t xml:space="preserve">7.00</w:t>
            </w:r>
          </w:p>
        </w:tc>
        <w:tc>
          <w:tcPr/>
          <w:p>
            <w:pPr>
              <w:pStyle w:val="Compact"/>
              <w:jc w:val="left"/>
            </w:pPr>
            <w:r>
              <w:t xml:space="preserve">2.10</w:t>
            </w:r>
          </w:p>
        </w:tc>
      </w:tr>
      <w:tr>
        <w:tc>
          <w:tcPr/>
          <w:p>
            <w:pPr>
              <w:pStyle w:val="Compact"/>
              <w:jc w:val="left"/>
            </w:pPr>
            <w:r>
              <w:t xml:space="preserve">M005</w:t>
            </w:r>
          </w:p>
        </w:tc>
        <w:tc>
          <w:tcPr/>
          <w:p>
            <w:pPr>
              <w:pStyle w:val="Compact"/>
              <w:jc w:val="left"/>
            </w:pPr>
            <w:r>
              <w:t xml:space="preserve">Steel Screws/Fasteners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0.09</w:t>
            </w:r>
          </w:p>
        </w:tc>
      </w:tr>
      <w:tr>
        <w:tc>
          <w:tcPr/>
          <w:p>
            <w:pPr>
              <w:pStyle w:val="Compact"/>
              <w:jc w:val="left"/>
            </w:pPr>
            <w:r>
              <w:t xml:space="preserve">M006</w:t>
            </w:r>
          </w:p>
        </w:tc>
        <w:tc>
          <w:tcPr/>
          <w:p>
            <w:pPr>
              <w:pStyle w:val="Compact"/>
              <w:jc w:val="left"/>
            </w:pPr>
            <w:r>
              <w:t xml:space="preserve">Battery Pack (Li-ion)</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12.09 kg CO2e</w:t>
            </w:r>
          </w:p>
        </w:tc>
      </w:tr>
    </w:tbl>
    <w:bookmarkEnd w:id="24"/>
    <w:bookmarkStart w:id="25" w:name="production-phase-energy-inputs"/>
    <w:p>
      <w:pPr>
        <w:pStyle w:val="Heading3"/>
      </w:pPr>
      <w:r>
        <w:t xml:space="preserve">Production Phase Energy Inputs</w:t>
      </w:r>
    </w:p>
    <w:p>
      <w:pPr>
        <w:numPr>
          <w:ilvl w:val="0"/>
          <w:numId w:val="1003"/>
        </w:numPr>
        <w:pStyle w:val="Compact"/>
      </w:pPr>
      <w:r>
        <w:rPr>
          <w:bCs/>
          <w:b/>
        </w:rPr>
        <w:t xml:space="preserve">Energy Intensity (kWh/unit):</w:t>
      </w:r>
      <w:r>
        <w:t xml:space="preserve"> </w:t>
      </w:r>
      <w:r>
        <w:t xml:space="preserve">15 kWh/unit</w:t>
      </w:r>
    </w:p>
    <w:p>
      <w:pPr>
        <w:numPr>
          <w:ilvl w:val="0"/>
          <w:numId w:val="1003"/>
        </w:numPr>
        <w:pStyle w:val="Compact"/>
      </w:pPr>
      <w:r>
        <w:rPr>
          <w:bCs/>
          <w:b/>
        </w:rPr>
        <w:t xml:space="preserve">Renewable Energy Usage:</w:t>
      </w:r>
      <w:r>
        <w:t xml:space="preserve"> </w:t>
      </w:r>
      <w:r>
        <w:t xml:space="preserve">50%</w:t>
      </w:r>
    </w:p>
    <w:p>
      <w:pPr>
        <w:numPr>
          <w:ilvl w:val="0"/>
          <w:numId w:val="1003"/>
        </w:numPr>
        <w:pStyle w:val="Compact"/>
      </w:pPr>
      <w:r>
        <w:rPr>
          <w:bCs/>
          <w:b/>
        </w:rPr>
        <w:t xml:space="preserve">Geographic Location:</w:t>
      </w:r>
      <w:r>
        <w:t xml:space="preserve"> </w:t>
      </w:r>
      <w:r>
        <w:t xml:space="preserve">China</w:t>
      </w:r>
    </w:p>
    <w:p>
      <w:pPr>
        <w:numPr>
          <w:ilvl w:val="0"/>
          <w:numId w:val="1003"/>
        </w:numPr>
        <w:pStyle w:val="Compact"/>
      </w:pPr>
      <w:r>
        <w:rPr>
          <w:bCs/>
          <w:b/>
        </w:rPr>
        <w:t xml:space="preserve">China Electricity Grid Emission Factor (Assumed):</w:t>
      </w:r>
      <w:r>
        <w:t xml:space="preserve"> </w:t>
      </w:r>
      <w:r>
        <w:t xml:space="preserve">0.58 kg CO2e/kWh (average for China grid)</w:t>
      </w:r>
    </w:p>
    <w:bookmarkEnd w:id="25"/>
    <w:bookmarkStart w:id="26" w:name="transport-logistics-data"/>
    <w:p>
      <w:pPr>
        <w:pStyle w:val="Heading3"/>
      </w:pPr>
      <w:r>
        <w:t xml:space="preserve">Transport Logistics Data</w:t>
      </w:r>
    </w:p>
    <w:p>
      <w:pPr>
        <w:numPr>
          <w:ilvl w:val="0"/>
          <w:numId w:val="1004"/>
        </w:numPr>
        <w:pStyle w:val="Compact"/>
      </w:pPr>
      <w:r>
        <w:rPr>
          <w:bCs/>
          <w:b/>
        </w:rPr>
        <w:t xml:space="preserve">Primary Transport Mode:</w:t>
      </w:r>
      <w:r>
        <w:t xml:space="preserve"> </w:t>
      </w:r>
      <w:r>
        <w:t xml:space="preserve">Road Freight (Heavy Goods Vehicle &gt;20t)</w:t>
      </w:r>
    </w:p>
    <w:p>
      <w:pPr>
        <w:numPr>
          <w:ilvl w:val="0"/>
          <w:numId w:val="1004"/>
        </w:numPr>
        <w:pStyle w:val="Compact"/>
      </w:pPr>
      <w:r>
        <w:rPr>
          <w:bCs/>
          <w:b/>
        </w:rPr>
        <w:t xml:space="preserve">Transport Distance (Factory to Distribution Hub, Europe Focused):</w:t>
      </w:r>
      <w:r>
        <w:t xml:space="preserve"> </w:t>
      </w:r>
      <w:r>
        <w:t xml:space="preserve">2,000 km (Assumed)</w:t>
      </w:r>
    </w:p>
    <w:p>
      <w:pPr>
        <w:numPr>
          <w:ilvl w:val="0"/>
          <w:numId w:val="1004"/>
        </w:numPr>
        <w:pStyle w:val="Compact"/>
      </w:pPr>
      <w:r>
        <w:rPr>
          <w:bCs/>
          <w:b/>
        </w:rPr>
        <w:t xml:space="preserve">Road Freight Emission Factor (Assumed):</w:t>
      </w:r>
      <w:r>
        <w:t xml:space="preserve"> </w:t>
      </w:r>
      <w:r>
        <w:t xml:space="preserve">0.092 kg CO2e/tonne-km (Well-to-Wheel, GLEC Framework)</w:t>
      </w:r>
    </w:p>
    <w:p>
      <w:pPr>
        <w:numPr>
          <w:ilvl w:val="0"/>
          <w:numId w:val="1004"/>
        </w:numPr>
        <w:pStyle w:val="Compact"/>
      </w:pPr>
      <w:r>
        <w:rPr>
          <w:bCs/>
          <w:b/>
        </w:rPr>
        <w:t xml:space="preserve">Last-Mile Delivery Channel:</w:t>
      </w:r>
      <w:r>
        <w:t xml:space="preserve"> </w:t>
      </w:r>
      <w:r>
        <w:t xml:space="preserve">Parcel Service (Home Delivery)</w:t>
      </w:r>
    </w:p>
    <w:p>
      <w:pPr>
        <w:numPr>
          <w:ilvl w:val="0"/>
          <w:numId w:val="1004"/>
        </w:numPr>
        <w:pStyle w:val="Compact"/>
      </w:pPr>
      <w:r>
        <w:rPr>
          <w:bCs/>
          <w:b/>
        </w:rPr>
        <w:t xml:space="preserve">Last-Mile Delivery Emission Factor (Assumed):</w:t>
      </w:r>
      <w:r>
        <w:t xml:space="preserve"> </w:t>
      </w:r>
      <w:r>
        <w:t xml:space="preserve">0.10 kg CO2e/package (EU average, decreasing)</w:t>
      </w:r>
    </w:p>
    <w:bookmarkEnd w:id="26"/>
    <w:bookmarkStart w:id="27" w:name="product-use-phase-data"/>
    <w:p>
      <w:pPr>
        <w:pStyle w:val="Heading3"/>
      </w:pPr>
      <w:r>
        <w:t xml:space="preserve">Product Use Phase Data</w:t>
      </w:r>
    </w:p>
    <w:p>
      <w:pPr>
        <w:numPr>
          <w:ilvl w:val="0"/>
          <w:numId w:val="1005"/>
        </w:numPr>
        <w:pStyle w:val="Compact"/>
      </w:pPr>
      <w:r>
        <w:rPr>
          <w:bCs/>
          <w:b/>
        </w:rPr>
        <w:t xml:space="preserve">Product Lifespan:</w:t>
      </w:r>
      <w:r>
        <w:t xml:space="preserve"> </w:t>
      </w:r>
      <w:r>
        <w:t xml:space="preserve">3 years (Assumed)</w:t>
      </w:r>
    </w:p>
    <w:p>
      <w:pPr>
        <w:numPr>
          <w:ilvl w:val="0"/>
          <w:numId w:val="1005"/>
        </w:numPr>
        <w:pStyle w:val="Compact"/>
      </w:pPr>
      <w:r>
        <w:rPr>
          <w:bCs/>
          <w:b/>
        </w:rPr>
        <w:t xml:space="preserve">Energy Consumption in Use:</w:t>
      </w:r>
      <w:r>
        <w:t xml:space="preserve"> </w:t>
      </w:r>
      <w:r>
        <w:t xml:space="preserve">20 kWh/year (Assumed)</w:t>
      </w:r>
    </w:p>
    <w:p>
      <w:pPr>
        <w:numPr>
          <w:ilvl w:val="0"/>
          <w:numId w:val="1005"/>
        </w:numPr>
        <w:pStyle w:val="Compact"/>
      </w:pPr>
      <w:r>
        <w:rPr>
          <w:bCs/>
          <w:b/>
        </w:rPr>
        <w:t xml:space="preserve">Use Phase Geographic Location:</w:t>
      </w:r>
      <w:r>
        <w:t xml:space="preserve"> </w:t>
      </w:r>
      <w:r>
        <w:t xml:space="preserve">Europe (Implied by \'Supply Chain Focus: Europe Focused\')</w:t>
      </w:r>
    </w:p>
    <w:p>
      <w:pPr>
        <w:numPr>
          <w:ilvl w:val="0"/>
          <w:numId w:val="1005"/>
        </w:numPr>
        <w:pStyle w:val="Compact"/>
      </w:pPr>
      <w:r>
        <w:rPr>
          <w:bCs/>
          <w:b/>
        </w:rPr>
        <w:t xml:space="preserve">EU Electricity Grid Emission Factor (Assumed):</w:t>
      </w:r>
      <w:r>
        <w:t xml:space="preserve"> </w:t>
      </w:r>
      <w:r>
        <w:t xml:space="preserve">0.20 kg CO2e/kWh (average for EU grid, recent data indicate further reduction)</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Existence acknowledged. These programs contribute to the 70% recyclability by facilitating collection and processing.</w:t>
      </w:r>
    </w:p>
    <w:p>
      <w:pPr>
        <w:numPr>
          <w:ilvl w:val="0"/>
          <w:numId w:val="1006"/>
        </w:numPr>
        <w:pStyle w:val="Compact"/>
      </w:pPr>
      <w:r>
        <w:rPr>
          <w:bCs/>
          <w:b/>
        </w:rPr>
        <w:t xml:space="preserve">End-of-Life Emission Factor (Landfill, Assumed for non-recycled portion):</w:t>
      </w:r>
      <w:r>
        <w:t xml:space="preserve"> </w:t>
      </w:r>
      <w:r>
        <w:t xml:space="preserve">1.25 kg CO2e/kg (for mixed waste, primarily plastics)</w:t>
      </w:r>
    </w:p>
    <w:p>
      <w:pPr>
        <w:numPr>
          <w:ilvl w:val="0"/>
          <w:numId w:val="1006"/>
        </w:numPr>
        <w:pStyle w:val="Compact"/>
      </w:pPr>
      <w:r>
        <w:rPr>
          <w:bCs/>
          <w:b/>
        </w:rPr>
        <w:t xml:space="preserve">Recycling Credit (Avoided Emissions, Assumed):</w:t>
      </w:r>
      <w:r>
        <w:t xml:space="preserve"> </w:t>
      </w:r>
      <w:r>
        <w:t xml:space="preserve">-1.0 kg CO2e/kg (representing avoided virgin material production)</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based on the activity data and the emission factors (EFs) mentioned above. All values are expressed in kilograms of CO2 equivalent (kg CO2e).</w:t>
      </w:r>
    </w:p>
    <w:bookmarkStart w:id="30" w:name="scope-1-emissions-direct-emissions"/>
    <w:p>
      <w:pPr>
        <w:pStyle w:val="Heading3"/>
      </w:pPr>
      <w:r>
        <w:t xml:space="preserve">Scope 1 Emissions (Direct Emissions)</w:t>
      </w:r>
    </w:p>
    <w:p>
      <w:pPr>
        <w:pStyle w:val="FirstParagraph"/>
      </w:pPr>
      <w:r>
        <w:t xml:space="preserve">For this product-level analysis within the "factory_gate" system boundary, direct Scope 1 emissions (e.g., from on-site fuel combustion for manufacturing, or direct process emissions from the product itself) are assumed to be negligible for the functional unit. Any such emissions would typically be allocated at a facility level and would be very low per individual unit.</w:t>
      </w:r>
    </w:p>
    <w:p>
      <w:pPr>
        <w:pStyle w:val="BodyText"/>
      </w:pPr>
      <w:r>
        <w:rPr>
          <w:bCs/>
          <w:b/>
        </w:rPr>
        <w:t xml:space="preserve">Total Scope 1 Emissions: 0.00 kg CO2e</w:t>
      </w:r>
    </w:p>
    <w:bookmarkEnd w:id="30"/>
    <w:bookmarkStart w:id="31" w:name="scope-2-emissions-purchased-energy"/>
    <w:p>
      <w:pPr>
        <w:pStyle w:val="Heading3"/>
      </w:pPr>
      <w:r>
        <w:t xml:space="preserve">Scope 2 Emissions (Purchased Energy)</w:t>
      </w:r>
    </w:p>
    <w:p>
      <w:pPr>
        <w:pStyle w:val="FirstParagraph"/>
      </w:pPr>
      <w:r>
        <w:t xml:space="preserve">These emissions result from the electricity purchased for the product\'s manufacturing in China.</w:t>
      </w:r>
    </w:p>
    <w:p>
      <w:pPr>
        <w:numPr>
          <w:ilvl w:val="0"/>
          <w:numId w:val="1007"/>
        </w:numPr>
        <w:pStyle w:val="Compact"/>
      </w:pPr>
      <w:r>
        <w:t xml:space="preserve">Total Energy Consumption: 15 kWh/unit</w:t>
      </w:r>
    </w:p>
    <w:p>
      <w:pPr>
        <w:numPr>
          <w:ilvl w:val="0"/>
          <w:numId w:val="1007"/>
        </w:numPr>
        <w:pStyle w:val="Compact"/>
      </w:pPr>
      <w:r>
        <w:t xml:space="preserve">Renewable Energy Usage: 50%</w:t>
      </w:r>
    </w:p>
    <w:p>
      <w:pPr>
        <w:numPr>
          <w:ilvl w:val="0"/>
          <w:numId w:val="1007"/>
        </w:numPr>
        <w:pStyle w:val="Compact"/>
      </w:pPr>
      <w:r>
        <w:t xml:space="preserve">Non-renewable Energy Consumption: 15 kWh/unit * (1 - 0.50) = 7.5 kWh/unit</w:t>
      </w:r>
    </w:p>
    <w:p>
      <w:pPr>
        <w:numPr>
          <w:ilvl w:val="0"/>
          <w:numId w:val="1007"/>
        </w:numPr>
        <w:pStyle w:val="Compact"/>
      </w:pPr>
      <w:r>
        <w:t xml:space="preserve">China Electricity Grid Emission Factor: 0.58 kg CO2e/kWh</w:t>
      </w:r>
    </w:p>
    <w:p>
      <w:pPr>
        <w:pStyle w:val="FirstParagraph"/>
      </w:pPr>
      <w:r>
        <w:rPr>
          <w:bCs/>
          <w:b/>
        </w:rPr>
        <w:t xml:space="preserve">Calculation:</w:t>
      </w:r>
      <w:r>
        <w:t xml:space="preserve"> </w:t>
      </w:r>
      <w:r>
        <w:t xml:space="preserve">7.5 kWh/unit * 0.58 kg CO2e/kWh =</w:t>
      </w:r>
      <w:r>
        <w:t xml:space="preserve"> </w:t>
      </w:r>
      <w:r>
        <w:rPr>
          <w:bCs/>
          <w:b/>
        </w:rPr>
        <w:t xml:space="preserve">4.35 kg CO2e</w:t>
      </w:r>
    </w:p>
    <w:p>
      <w:pPr>
        <w:pStyle w:val="BodyText"/>
      </w:pPr>
      <w:r>
        <w:rPr>
          <w:bCs/>
          <w:b/>
        </w:rPr>
        <w:t xml:space="preserve">Total Scope 2 Emissions: 4.35 kg CO2e</w:t>
      </w:r>
    </w:p>
    <w:bookmarkEnd w:id="31"/>
    <w:bookmarkStart w:id="36" w:name="scope-3-emissions-value-chain-emissions"/>
    <w:p>
      <w:pPr>
        <w:pStyle w:val="Heading3"/>
      </w:pPr>
      <w:r>
        <w:t xml:space="preserve">Scope 3 Emissions (Value Chain Emissions)</w:t>
      </w:r>
    </w:p>
    <w:p>
      <w:pPr>
        <w:pStyle w:val="FirstParagraph"/>
      </w:pPr>
      <w:r>
        <w:t xml:space="preserve">Scope 3 emissions cover all other indirect emissions throughout the value chain. This report aims for at least 95% coverage as per 2026 requirements.</w:t>
      </w:r>
    </w:p>
    <w:bookmarkStart w:id="32" w:name="Xab9729a0caae076ca89f2f71668734f92723cf2"/>
    <w:p>
      <w:pPr>
        <w:pStyle w:val="Heading4"/>
      </w:pPr>
      <w:r>
        <w:t xml:space="preserve">Category 1: Purchased Goods and Services (Materials)</w:t>
      </w:r>
    </w:p>
    <w:p>
      <w:pPr>
        <w:pStyle w:val="FirstParagraph"/>
      </w:pPr>
      <w:r>
        <w:t xml:space="preserve">Based on the Detailed Bill of Materials (BOM) above, the total carbon footprint from raw material extraction and processing is:</w:t>
      </w:r>
    </w:p>
    <w:p>
      <w:pPr>
        <w:pStyle w:val="BodyText"/>
      </w:pPr>
      <w:r>
        <w:rPr>
          <w:bCs/>
          <w:b/>
        </w:rPr>
        <w:t xml:space="preserve">Total Scope 3 - Materials Emissions: 12.09 kg CO2e</w:t>
      </w:r>
    </w:p>
    <w:bookmarkEnd w:id="32"/>
    <w:bookmarkStart w:id="33" w:name="X6669a43143349c25ec93e775eebde43de53a73c"/>
    <w:p>
      <w:pPr>
        <w:pStyle w:val="Heading4"/>
      </w:pPr>
      <w:r>
        <w:t xml:space="preserve">Category 4: Upstream Transportation and Distribution</w:t>
      </w:r>
    </w:p>
    <w:p>
      <w:pPr>
        <w:pStyle w:val="FirstParagraph"/>
      </w:pPr>
      <w:r>
        <w:t xml:space="preserve">This includes the transport of finished products from the factory gate in China to a major distribution hub in Europe, and subsequently, last-mile delivery.</w:t>
      </w:r>
    </w:p>
    <w:p>
      <w:pPr>
        <w:numPr>
          <w:ilvl w:val="0"/>
          <w:numId w:val="1008"/>
        </w:numPr>
        <w:pStyle w:val="Compact"/>
      </w:pPr>
      <w:r>
        <w:t xml:space="preserve">Product Weight: 2 kg = 0.002 tonnes</w:t>
      </w:r>
    </w:p>
    <w:p>
      <w:pPr>
        <w:numPr>
          <w:ilvl w:val="0"/>
          <w:numId w:val="1008"/>
        </w:numPr>
        <w:pStyle w:val="Compact"/>
      </w:pPr>
      <w:r>
        <w:t xml:space="preserve">Primary Transport Distance: 2,000 km (Road Freight)</w:t>
      </w:r>
    </w:p>
    <w:p>
      <w:pPr>
        <w:numPr>
          <w:ilvl w:val="0"/>
          <w:numId w:val="1008"/>
        </w:numPr>
        <w:pStyle w:val="Compact"/>
      </w:pPr>
      <w:r>
        <w:t xml:space="preserve">Road Freight Emission Factor: 0.092 kg CO2e/tonne-km</w:t>
      </w:r>
    </w:p>
    <w:p>
      <w:pPr>
        <w:numPr>
          <w:ilvl w:val="0"/>
          <w:numId w:val="1008"/>
        </w:numPr>
        <w:pStyle w:val="Compact"/>
      </w:pPr>
      <w:r>
        <w:t xml:space="preserve">Last-Mile Delivery Emission Factor: 0.10 kg CO2e/package</w:t>
      </w:r>
    </w:p>
    <w:p>
      <w:pPr>
        <w:pStyle w:val="FirstParagraph"/>
      </w:pPr>
      <w:r>
        <w:rPr>
          <w:bCs/>
          <w:b/>
        </w:rPr>
        <w:t xml:space="preserve">Calculations:</w:t>
      </w:r>
    </w:p>
    <w:p>
      <w:pPr>
        <w:numPr>
          <w:ilvl w:val="0"/>
          <w:numId w:val="1009"/>
        </w:numPr>
        <w:pStyle w:val="Compact"/>
      </w:pPr>
      <w:r>
        <w:t xml:space="preserve">Primary Transport: 0.002 tonnes * 2,000 km * 0.092 kg CO2e/tonne-km = 0.368 kg CO2e</w:t>
      </w:r>
    </w:p>
    <w:p>
      <w:pPr>
        <w:numPr>
          <w:ilvl w:val="0"/>
          <w:numId w:val="1009"/>
        </w:numPr>
        <w:pStyle w:val="Compact"/>
      </w:pPr>
      <w:r>
        <w:t xml:space="preserve">Last-Mile Delivery: 1 unit * 0.10 kg CO2e/package = 0.10 kg CO2e</w:t>
      </w:r>
    </w:p>
    <w:p>
      <w:pPr>
        <w:pStyle w:val="FirstParagraph"/>
      </w:pPr>
      <w:r>
        <w:rPr>
          <w:bCs/>
          <w:b/>
        </w:rPr>
        <w:t xml:space="preserve">Total Scope 3 - Upstream Transport Emissions: 0.368 kg CO2e + 0.10 kg CO2e = 0.468 kg CO2e</w:t>
      </w:r>
    </w:p>
    <w:bookmarkEnd w:id="33"/>
    <w:bookmarkStart w:id="34" w:name="category-11-use-of-sold-products"/>
    <w:p>
      <w:pPr>
        <w:pStyle w:val="Heading4"/>
      </w:pPr>
      <w:r>
        <w:t xml:space="preserve">Category 11: Use of Sold Products</w:t>
      </w:r>
    </w:p>
    <w:p>
      <w:pPr>
        <w:pStyle w:val="FirstParagraph"/>
      </w:pPr>
      <w:r>
        <w:t xml:space="preserve">Emissions from the energy consumed by the product during its lifespan, assuming use in Europe.</w:t>
      </w:r>
    </w:p>
    <w:p>
      <w:pPr>
        <w:numPr>
          <w:ilvl w:val="0"/>
          <w:numId w:val="1010"/>
        </w:numPr>
        <w:pStyle w:val="Compact"/>
      </w:pPr>
      <w:r>
        <w:t xml:space="preserve">Product Lifespan: 3 years</w:t>
      </w:r>
    </w:p>
    <w:p>
      <w:pPr>
        <w:numPr>
          <w:ilvl w:val="0"/>
          <w:numId w:val="1010"/>
        </w:numPr>
        <w:pStyle w:val="Compact"/>
      </w:pPr>
      <w:r>
        <w:t xml:space="preserve">Energy Consumption in Use: 20 kWh/year</w:t>
      </w:r>
    </w:p>
    <w:p>
      <w:pPr>
        <w:numPr>
          <w:ilvl w:val="0"/>
          <w:numId w:val="1010"/>
        </w:numPr>
        <w:pStyle w:val="Compact"/>
      </w:pPr>
      <w:r>
        <w:t xml:space="preserve">Total Energy in Use: 3 years * 20 kWh/year = 60 kWh</w:t>
      </w:r>
    </w:p>
    <w:p>
      <w:pPr>
        <w:numPr>
          <w:ilvl w:val="0"/>
          <w:numId w:val="1010"/>
        </w:numPr>
        <w:pStyle w:val="Compact"/>
      </w:pPr>
      <w:r>
        <w:t xml:space="preserve">EU Electricity Grid Emission Factor: 0.20 kg CO2e/kWh</w:t>
      </w:r>
    </w:p>
    <w:p>
      <w:pPr>
        <w:pStyle w:val="FirstParagraph"/>
      </w:pPr>
      <w:r>
        <w:rPr>
          <w:bCs/>
          <w:b/>
        </w:rPr>
        <w:t xml:space="preserve">Calculation:</w:t>
      </w:r>
      <w:r>
        <w:t xml:space="preserve"> </w:t>
      </w:r>
      <w:r>
        <w:t xml:space="preserve">60 kWh * 0.20 kg CO2e/kWh =</w:t>
      </w:r>
      <w:r>
        <w:t xml:space="preserve"> </w:t>
      </w:r>
      <w:r>
        <w:rPr>
          <w:bCs/>
          <w:b/>
        </w:rPr>
        <w:t xml:space="preserve">12.00 kg CO2e</w:t>
      </w:r>
    </w:p>
    <w:p>
      <w:pPr>
        <w:pStyle w:val="BodyText"/>
      </w:pPr>
      <w:r>
        <w:rPr>
          <w:bCs/>
          <w:b/>
        </w:rPr>
        <w:t xml:space="preserve">Total Scope 3 - Use Phase Emissions: 12.00 kg CO2e</w:t>
      </w:r>
    </w:p>
    <w:bookmarkEnd w:id="34"/>
    <w:bookmarkStart w:id="35" w:name="X9f66eef2700632e081dfe139021cb724ffcd2c5"/>
    <w:p>
      <w:pPr>
        <w:pStyle w:val="Heading4"/>
      </w:pPr>
      <w:r>
        <w:t xml:space="preserve">Category 12: End-of-Life Treatment of Sold Products</w:t>
      </w:r>
    </w:p>
    <w:p>
      <w:pPr>
        <w:pStyle w:val="FirstParagraph"/>
      </w:pPr>
      <w:r>
        <w:t xml:space="preserve">This accounts for the emissions (or avoided emissions) associated with the disposal and recycling of the product at the end of its life.</w:t>
      </w:r>
    </w:p>
    <w:p>
      <w:pPr>
        <w:numPr>
          <w:ilvl w:val="0"/>
          <w:numId w:val="1011"/>
        </w:numPr>
        <w:pStyle w:val="Compact"/>
      </w:pPr>
      <w:r>
        <w:t xml:space="preserve">Product Weight: 2 kg</w:t>
      </w:r>
    </w:p>
    <w:p>
      <w:pPr>
        <w:numPr>
          <w:ilvl w:val="0"/>
          <w:numId w:val="1011"/>
        </w:numPr>
        <w:pStyle w:val="Compact"/>
      </w:pPr>
      <w:r>
        <w:t xml:space="preserve">Recyclability Percentage: 70%</w:t>
      </w:r>
    </w:p>
    <w:p>
      <w:pPr>
        <w:numPr>
          <w:ilvl w:val="0"/>
          <w:numId w:val="1011"/>
        </w:numPr>
        <w:pStyle w:val="Compact"/>
      </w:pPr>
      <w:r>
        <w:t xml:space="preserve">Recycled Portion: 2 kg * 0.70 = 1.4 kg</w:t>
      </w:r>
    </w:p>
    <w:p>
      <w:pPr>
        <w:numPr>
          <w:ilvl w:val="0"/>
          <w:numId w:val="1011"/>
        </w:numPr>
        <w:pStyle w:val="Compact"/>
      </w:pPr>
      <w:r>
        <w:t xml:space="preserve">Landfilled Portion: 2 kg * (1 - 0.70) = 0.6 kg</w:t>
      </w:r>
    </w:p>
    <w:p>
      <w:pPr>
        <w:numPr>
          <w:ilvl w:val="0"/>
          <w:numId w:val="1011"/>
        </w:numPr>
        <w:pStyle w:val="Compact"/>
      </w:pPr>
      <w:r>
        <w:t xml:space="preserve">Recycling Credit (Avoided Emissions): -1.0 kg CO2e/kg</w:t>
      </w:r>
    </w:p>
    <w:p>
      <w:pPr>
        <w:numPr>
          <w:ilvl w:val="0"/>
          <w:numId w:val="1011"/>
        </w:numPr>
        <w:pStyle w:val="Compact"/>
      </w:pPr>
      <w:r>
        <w:t xml:space="preserve">Landfill Emission Factor: 1.25 kg CO2e/kg</w:t>
      </w:r>
    </w:p>
    <w:p>
      <w:pPr>
        <w:pStyle w:val="FirstParagraph"/>
      </w:pPr>
      <w:r>
        <w:rPr>
          <w:bCs/>
          <w:b/>
        </w:rPr>
        <w:t xml:space="preserve">Calculations:</w:t>
      </w:r>
    </w:p>
    <w:p>
      <w:pPr>
        <w:numPr>
          <w:ilvl w:val="0"/>
          <w:numId w:val="1012"/>
        </w:numPr>
        <w:pStyle w:val="Compact"/>
      </w:pPr>
      <w:r>
        <w:t xml:space="preserve">Emissions from Recycled Portion: 1.4 kg * (-1.0 kg CO2e/kg) = -1.40 kg CO2e (credit)</w:t>
      </w:r>
    </w:p>
    <w:p>
      <w:pPr>
        <w:numPr>
          <w:ilvl w:val="0"/>
          <w:numId w:val="1012"/>
        </w:numPr>
        <w:pStyle w:val="Compact"/>
      </w:pPr>
      <w:r>
        <w:t xml:space="preserve">Emissions from Landfilled Portion: 0.6 kg * 1.25 kg CO2e/kg = 0.75 kg CO2e</w:t>
      </w:r>
    </w:p>
    <w:p>
      <w:pPr>
        <w:pStyle w:val="FirstParagraph"/>
      </w:pPr>
      <w:r>
        <w:rPr>
          <w:bCs/>
          <w:b/>
        </w:rPr>
        <w:t xml:space="preserve">Total Scope 3 - End-of-Life Emissions: -1.40 kg CO2e + 0.75 kg CO2e = -0.65 kg CO2e</w:t>
      </w:r>
    </w:p>
    <w:p>
      <w:pPr>
        <w:pStyle w:val="BodyText"/>
      </w:pPr>
      <w:r>
        <w:t xml:space="preserve">The negative value indicates a net carbon benefit due to the high recyclability and the assumption of avoided virgin material production.</w:t>
      </w:r>
    </w:p>
    <w:bookmarkEnd w:id="35"/>
    <w:bookmarkEnd w:id="36"/>
    <w:bookmarkStart w:id="37"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4.35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12.09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0.468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-0.65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28.258 kg CO2e</w:t>
            </w:r>
          </w:p>
        </w:tc>
      </w:tr>
    </w:tbl>
    <w:p>
      <w:pPr>
        <w:pStyle w:val="BodyText"/>
      </w:pPr>
      <w:r>
        <w:rPr>
          <w:bCs/>
          <w:b/>
        </w:rPr>
        <w:t xml:space="preserve">Note on 2026 LSR Update:</w:t>
      </w:r>
      <w:r>
        <w:t xml:space="preserve"> </w:t>
      </w:r>
      <w:r>
        <w:t xml:space="preserve">The Land Sector and Removals (LSR) Standard, effective January 1, 2027, provides enhanced requirements for accounting for land-based emissions and removals. While specific land-use data for raw material extraction was not provided, this analysis acknowledges the importance of traceability and comprehensive accounting as mandated by the LSR Standard. Future iterations should aim for more granular data on land use change and land management associated with upstream material supply, if applicable.</w:t>
      </w:r>
    </w:p>
    <w:p>
      <w:r>
        <w:pict>
          <v:rect style="width:0;height:1.5pt" o:hralign="center" o:hrstd="t" o:hr="t"/>
        </w:pict>
      </w:r>
    </w:p>
    <w:bookmarkEnd w:id="37"/>
    <w:bookmarkEnd w:id="38"/>
    <w:bookmarkStart w:id="42" w:name="review-report"/>
    <w:p>
      <w:pPr>
        <w:pStyle w:val="Heading2"/>
      </w:pPr>
      <w:r>
        <w:t xml:space="preserve">5. Review &amp; Report</w:t>
      </w:r>
    </w:p>
    <w:bookmarkStart w:id="39" w:name="key-findings-and-hotspots"/>
    <w:p>
      <w:pPr>
        <w:pStyle w:val="Heading3"/>
      </w:pPr>
      <w:r>
        <w:t xml:space="preserve">Key Findings and Hotspots</w:t>
      </w:r>
    </w:p>
    <w:p>
      <w:pPr>
        <w:pStyle w:val="FirstParagraph"/>
      </w:pPr>
      <w:r>
        <w:t xml:space="preserve">The total Product Carbon Footprint for one unit of \'yszwgyqmod\' is estimated at</w:t>
      </w:r>
      <w:r>
        <w:t xml:space="preserve"> </w:t>
      </w:r>
      <w:r>
        <w:rPr>
          <w:bCs/>
          <w:b/>
        </w:rPr>
        <w:t xml:space="preserve">28.258 kg CO2e</w:t>
      </w:r>
      <w:r>
        <w:t xml:space="preserve">. The primary emission hotspots across the product\'s lifecycle are:</w:t>
      </w:r>
    </w:p>
    <w:p>
      <w:pPr>
        <w:numPr>
          <w:ilvl w:val="0"/>
          <w:numId w:val="1013"/>
        </w:numPr>
        <w:pStyle w:val="Compact"/>
      </w:pPr>
      <w:r>
        <w:rPr>
          <w:bCs/>
          <w:b/>
        </w:rPr>
        <w:t xml:space="preserve">Materials (Scope 3, Category 1):</w:t>
      </w:r>
      <w:r>
        <w:t xml:space="preserve"> </w:t>
      </w:r>
      <w:r>
        <w:t xml:space="preserve">At 12.09 kg CO2e, the raw materials used in the product\'s Bill of Materials (BOM) represent a significant portion of the total footprint. This highlights the high embodied energy and emissions in materials like aluminum, copper, and specialized electronic components.</w:t>
      </w:r>
    </w:p>
    <w:p>
      <w:pPr>
        <w:numPr>
          <w:ilvl w:val="0"/>
          <w:numId w:val="1013"/>
        </w:numPr>
        <w:pStyle w:val="Compact"/>
      </w:pPr>
      <w:r>
        <w:rPr>
          <w:bCs/>
          <w:b/>
        </w:rPr>
        <w:t xml:space="preserve">Use Phase (Scope 3, Category 11):</w:t>
      </w:r>
      <w:r>
        <w:t xml:space="preserve"> </w:t>
      </w:r>
      <w:r>
        <w:t xml:space="preserve">The energy consumed during the product\'s 3-year lifespan contributes 12.00 kg CO2e. This impact is directly tied to the energy intensity of the device and the electricity grid mix in the region of use (Europe).</w:t>
      </w:r>
    </w:p>
    <w:p>
      <w:pPr>
        <w:numPr>
          <w:ilvl w:val="0"/>
          <w:numId w:val="1013"/>
        </w:numPr>
        <w:pStyle w:val="Compact"/>
      </w:pPr>
      <w:r>
        <w:rPr>
          <w:bCs/>
          <w:b/>
        </w:rPr>
        <w:t xml:space="preserve">Production Energy (Scope 2):</w:t>
      </w:r>
      <w:r>
        <w:t xml:space="preserve"> </w:t>
      </w:r>
      <w:r>
        <w:t xml:space="preserve">Manufacturing energy in China accounts for 4.35 kg CO2e, influenced by the electricity grid\'s carbon intensity and the company\'s 50% renewable energy usage.</w:t>
      </w:r>
    </w:p>
    <w:p>
      <w:pPr>
        <w:numPr>
          <w:ilvl w:val="0"/>
          <w:numId w:val="1013"/>
        </w:numPr>
        <w:pStyle w:val="Compact"/>
      </w:pPr>
      <w:r>
        <w:rPr>
          <w:bCs/>
          <w:b/>
        </w:rPr>
        <w:t xml:space="preserve">End-of-Life (Scope 3, Category 12):</w:t>
      </w:r>
      <w:r>
        <w:t xml:space="preserve"> </w:t>
      </w:r>
      <w:r>
        <w:t xml:space="preserve">Due to the assumed 70% recyclability and the associated avoided emissions (recycling credit), the end-of-life phase presents a net carbon benefit of -0.65 kg CO2e, demonstrating the positive impact of circular economy initiatives.</w:t>
      </w:r>
    </w:p>
    <w:p>
      <w:pPr>
        <w:numPr>
          <w:ilvl w:val="0"/>
          <w:numId w:val="1013"/>
        </w:numPr>
        <w:pStyle w:val="Compact"/>
      </w:pPr>
      <w:r>
        <w:rPr>
          <w:bCs/>
          <w:b/>
        </w:rPr>
        <w:t xml:space="preserve">Transportation (Scope 3, Category 4):</w:t>
      </w:r>
      <w:r>
        <w:t xml:space="preserve"> </w:t>
      </w:r>
      <w:r>
        <w:t xml:space="preserve">While essential, upstream and last-mile transportation contribute a comparatively smaller portion (0.468 kg CO2e) to the overall footprint.</w:t>
      </w:r>
    </w:p>
    <w:bookmarkEnd w:id="39"/>
    <w:bookmarkStart w:id="40" w:name="data-reliability-and-limitations"/>
    <w:p>
      <w:pPr>
        <w:pStyle w:val="Heading3"/>
      </w:pPr>
      <w:r>
        <w:t xml:space="preserve">Data Reliability and Limitations</w:t>
      </w:r>
    </w:p>
    <w:p>
      <w:pPr>
        <w:pStyle w:val="FirstParagraph"/>
      </w:pPr>
      <w:r>
        <w:t xml:space="preserve">This report is based on a combination of provided specific parameters and industry-average emission factors from reputable sources (e.g., Ecoinvent/DEFRA principles, GLEC Framework, EPA, IEA, EEA).</w:t>
      </w:r>
    </w:p>
    <w:p>
      <w:pPr>
        <w:numPr>
          <w:ilvl w:val="0"/>
          <w:numId w:val="1014"/>
        </w:numPr>
        <w:pStyle w:val="Compact"/>
      </w:pPr>
      <w:r>
        <w:rPr>
          <w:bCs/>
          <w:b/>
        </w:rPr>
        <w:t xml:space="preserve">Placeholder Data:</w:t>
      </w:r>
      <w:r>
        <w:t xml:space="preserve"> </w:t>
      </w:r>
      <w:r>
        <w:t xml:space="preserve">Numeric values for transport distance, energy intensity, product lifespan, and energy consumption in use were derived from the provided placeholder strings and interpreted with reasonable, conservative assumptions. The BOM was a representative example due to the placeholder string provided.</w:t>
      </w:r>
    </w:p>
    <w:p>
      <w:pPr>
        <w:numPr>
          <w:ilvl w:val="0"/>
          <w:numId w:val="1014"/>
        </w:numPr>
        <w:pStyle w:val="Compact"/>
      </w:pPr>
      <w:r>
        <w:rPr>
          <w:bCs/>
          <w:b/>
        </w:rPr>
        <w:t xml:space="preserve">Emission Factors:</w:t>
      </w:r>
      <w:r>
        <w:t xml:space="preserve"> </w:t>
      </w:r>
      <w:r>
        <w:t xml:space="preserve">While efforts were made to use relevant and recent emission factors, region-specific and product-specific primary data for every component and process would enhance accuracy.</w:t>
      </w:r>
    </w:p>
    <w:p>
      <w:pPr>
        <w:numPr>
          <w:ilvl w:val="0"/>
          <w:numId w:val="1014"/>
        </w:numPr>
        <w:pStyle w:val="Compact"/>
      </w:pPr>
      <w:r>
        <w:rPr>
          <w:bCs/>
          <w:b/>
        </w:rPr>
        <w:t xml:space="preserve">LSR Standard:</w:t>
      </w:r>
      <w:r>
        <w:t xml:space="preserve"> </w:t>
      </w:r>
      <w:r>
        <w:t xml:space="preserve">As the 2026 LSR Standard\'s guidance is still being developed (expected Q2 2026) and its effective date is January 1, 2027, its application here is based on its core principles of accounting for land-based emissions and removals. More granular data on land use in material supply chains would be required for full compliance once the standard is fully implemented.</w:t>
      </w:r>
    </w:p>
    <w:p>
      <w:pPr>
        <w:numPr>
          <w:ilvl w:val="0"/>
          <w:numId w:val="1014"/>
        </w:numPr>
        <w:pStyle w:val="Compact"/>
      </w:pPr>
      <w:r>
        <w:rPr>
          <w:bCs/>
          <w:b/>
        </w:rPr>
        <w:t xml:space="preserve">Scope 3 Coverage:</w:t>
      </w:r>
      <w:r>
        <w:t xml:space="preserve"> </w:t>
      </w:r>
      <w:r>
        <w:t xml:space="preserve">The analysis covered major Scope 3 categories relevant to the product lifecycle, aiming for the 95% coverage target. However, other minor upstream or downstream categories might exist.</w:t>
      </w:r>
    </w:p>
    <w:bookmarkEnd w:id="40"/>
    <w:bookmarkStart w:id="41" w:name="recommendations-for-emission-reduction"/>
    <w:p>
      <w:pPr>
        <w:pStyle w:val="Heading3"/>
      </w:pPr>
      <w:r>
        <w:t xml:space="preserve">Recommendations for Emission Reduction</w:t>
      </w:r>
    </w:p>
    <w:p>
      <w:pPr>
        <w:numPr>
          <w:ilvl w:val="0"/>
          <w:numId w:val="1015"/>
        </w:numPr>
        <w:pStyle w:val="Compact"/>
      </w:pPr>
      <w:r>
        <w:rPr>
          <w:bCs/>
          <w:b/>
        </w:rPr>
        <w:t xml:space="preserve">Material Optimization:</w:t>
      </w:r>
      <w:r>
        <w:t xml:space="preserve"> </w:t>
      </w:r>
      <w:r>
        <w:t xml:space="preserve">Investigate opportunities for lighter-weight materials, increased recycled content, or materials with lower embodied carbon. Engage with suppliers to obtain primary data on their material-specific emission factors.</w:t>
      </w:r>
    </w:p>
    <w:p>
      <w:pPr>
        <w:numPr>
          <w:ilvl w:val="0"/>
          <w:numId w:val="1015"/>
        </w:numPr>
        <w:pStyle w:val="Compact"/>
      </w:pPr>
      <w:r>
        <w:rPr>
          <w:bCs/>
          <w:b/>
        </w:rPr>
        <w:t xml:space="preserve">Renewable Energy Integration:</w:t>
      </w:r>
      <w:r>
        <w:t xml:space="preserve"> </w:t>
      </w:r>
      <w:r>
        <w:t xml:space="preserve">Continue to increase the share of renewable energy in manufacturing operations beyond the current 50% to further reduce Scope 2 emissions.</w:t>
      </w:r>
    </w:p>
    <w:p>
      <w:pPr>
        <w:numPr>
          <w:ilvl w:val="0"/>
          <w:numId w:val="1015"/>
        </w:numPr>
        <w:pStyle w:val="Compact"/>
      </w:pPr>
      <w:r>
        <w:rPr>
          <w:bCs/>
          <w:b/>
        </w:rPr>
        <w:t xml:space="preserve">Use Phase Efficiency:</w:t>
      </w:r>
      <w:r>
        <w:t xml:space="preserve"> </w:t>
      </w:r>
      <w:r>
        <w:t xml:space="preserve">Explore design improvements to reduce the product\'s energy consumption during its use phase. This could include more efficient components or power management features.</w:t>
      </w:r>
    </w:p>
    <w:p>
      <w:pPr>
        <w:numPr>
          <w:ilvl w:val="0"/>
          <w:numId w:val="1015"/>
        </w:numPr>
        <w:pStyle w:val="Compact"/>
      </w:pPr>
      <w:r>
        <w:rPr>
          <w:bCs/>
          <w:b/>
        </w:rPr>
        <w:t xml:space="preserve">Circular Economy Enhancement:</w:t>
      </w:r>
      <w:r>
        <w:t xml:space="preserve"> </w:t>
      </w:r>
      <w:r>
        <w:t xml:space="preserve">Strengthen existing circular and take-back programs to maximize product lifespan and material recovery. Explore innovative business models that support product-as-a-service or enhanced repairability.</w:t>
      </w:r>
    </w:p>
    <w:p>
      <w:pPr>
        <w:numPr>
          <w:ilvl w:val="0"/>
          <w:numId w:val="1015"/>
        </w:numPr>
        <w:pStyle w:val="Compact"/>
      </w:pPr>
      <w:r>
        <w:rPr>
          <w:bCs/>
          <w:b/>
        </w:rPr>
        <w:t xml:space="preserve">Supply Chain Engagement:</w:t>
      </w:r>
      <w:r>
        <w:t xml:space="preserve"> </w:t>
      </w:r>
      <w:r>
        <w:t xml:space="preserve">Work with logistics partners to optimize transport routes, modes (e.g., shifting to rail or sea where feasible), and vehicle load factors, particularly for European distribution.</w:t>
      </w:r>
    </w:p>
    <w:p>
      <w:pPr>
        <w:numPr>
          <w:ilvl w:val="0"/>
          <w:numId w:val="1015"/>
        </w:numPr>
        <w:pStyle w:val="Compact"/>
      </w:pPr>
      <w:r>
        <w:rPr>
          <w:bCs/>
          <w:b/>
        </w:rPr>
        <w:t xml:space="preserve">Data Granularity:</w:t>
      </w:r>
      <w:r>
        <w:t xml:space="preserve"> </w:t>
      </w:r>
      <w:r>
        <w:t xml:space="preserve">For future PCF analyses, prioritize collecting primary data for high-impact materials, specific transport routes, and actual energy mixes in relevant regions to improve accuracy and support targeted interventions, especially concerning LSR Standard requirements.</w: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yszwgyqmod - kvghzuhtse</dc:title>
  <dc:creator/>
  <dc:description>High-detail Product Carbon Footprint (PCF) analysis for yszwgyqmod, an electronic device, for company kvghzuhtse, following GHG Protocol standards and 2026 LSR updates.</dc:description>
  <dc:language>en</dc:language>
  <cp:keywords/>
  <dcterms:created xsi:type="dcterms:W3CDTF">2026-07-15T18:50:42Z</dcterms:created>
  <dcterms:modified xsi:type="dcterms:W3CDTF">2026-07-15T18:50:42Z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