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yspkfxugje</w:t>
      </w:r>
    </w:p>
    <w:p>
      <w:pPr>
        <w:pStyle w:val="FirstParagraph"/>
      </w:pPr>
      <w:r>
        <w:t xml:space="preserve">carboncalcpcf.com</w:t>
      </w:r>
    </w:p>
    <w:bookmarkStart w:id="20" w:name="Xf2e6ab5be446359d80f42f50d41e46314dfe19d"/>
    <w:p>
      <w:pPr>
        <w:pStyle w:val="Heading1"/>
      </w:pPr>
      <w:r>
        <w:t xml:space="preserve">Product Carbon Footprint (PCF)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yspkfxugje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mdzhdgjuiu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vfpudqfrmz, Senior Sustainability Consultant</w:t>
      </w:r>
    </w:p>
    <w:p>
      <w:pPr>
        <w:pStyle w:val="BodyText"/>
      </w:pPr>
      <w:r>
        <w:t xml:space="preserve">Disclaimer: This report is generated based on available data and industry standards,</w:t>
      </w:r>
      <w:r>
        <w:t xml:space="preserve"> </w:t>
      </w:r>
      <w:r>
        <w:t xml:space="preserve">aiming to provide a comprehensive analysis of the product\'s carbon footprint.</w:t>
      </w:r>
      <w:r>
        <w:t xml:space="preserve"> </w:t>
      </w:r>
      <w:r>
        <w:t xml:space="preserve">All calculations rely on the provided parameters and assumed industry-standard emission factors</w:t>
      </w:r>
      <w:r>
        <w:t xml:space="preserve"> </w:t>
      </w:r>
      <w:r>
        <w:t xml:space="preserve">where specific data was not available or where placeholder values were given.</w:t>
      </w:r>
    </w:p>
    <w:bookmarkEnd w:id="20"/>
    <w:bookmarkStart w:id="21" w:name="X8adfc2f7c00f3946a2a4461c0c7824cf8bf9b1a"/>
    <w:p>
      <w:pPr>
        <w:pStyle w:val="Heading1"/>
      </w:pPr>
      <w:r>
        <w:t xml:space="preserve">Product Carbon Footprint (PCF) Analysis for yspkfxugje</w:t>
      </w:r>
    </w:p>
    <w:p>
      <w:pPr>
        <w:pStyle w:val="FirstParagraph"/>
      </w:pPr>
      <w:r>
        <w:t xml:space="preserve">Generated Date:</w:t>
      </w:r>
    </w:p>
    <w:p>
      <w:pPr>
        <w:pStyle w:val="BodyText"/>
      </w:pPr>
      <w:r>
        <w:t xml:space="preserve">Senior Sustainability Consultant: vfpudqfrmz</w:t>
      </w:r>
    </w:p>
    <w:bookmarkEnd w:id="21"/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yspkfxugje, manufactured by mdzhdgjuiu.</w:t>
      </w:r>
      <w:r>
        <w:t xml:space="preserve"> </w:t>
      </w:r>
      <w:r>
        <w:t xml:space="preserve">The analysis adheres to the GHG Protocol standards, including considerations for the 2026 Land Sector and Removals (LSR) update,</w:t>
      </w:r>
      <w:r>
        <w:t xml:space="preserve"> </w:t>
      </w:r>
      <w:r>
        <w:t xml:space="preserve">and aiming for at least 95% coverage for Scope 3 emissions as per proposed 2026 requirements. The assessment covers a modified</w:t>
      </w:r>
      <w:r>
        <w:t xml:space="preserve"> </w:t>
      </w:r>
      <w:r>
        <w:t xml:space="preserve">cradle-to-grave lifecycle, incorporating raw material acquisition, manufacturing, transport, use phase, and end-of-life</w:t>
      </w:r>
      <w:r>
        <w:t xml:space="preserve"> </w:t>
      </w:r>
      <w:r>
        <w:t xml:space="preserve">scenarios. This analysis aims to identify key emission hotspots and provide actionable insights for</w:t>
      </w:r>
      <w:r>
        <w:t xml:space="preserve"> </w:t>
      </w:r>
      <w:r>
        <w:t xml:space="preserve">reducing the product\'s environmental impact.</w:t>
      </w:r>
    </w:p>
    <w:p>
      <w:r>
        <w:pict>
          <v:rect style="width:0;height:1.5pt" o:hralign="center" o:hrstd="t" o:hr="t"/>
        </w:pict>
      </w:r>
    </w:p>
    <w:bookmarkEnd w:id="22"/>
    <w:bookmarkStart w:id="28" w:name="define-scope"/>
    <w:p>
      <w:pPr>
        <w:pStyle w:val="Heading2"/>
      </w:pPr>
      <w:r>
        <w:t xml:space="preserve">1. Define Scope</w:t>
      </w:r>
    </w:p>
    <w:bookmarkStart w:id="23" w:name="functional-unit"/>
    <w:p>
      <w:pPr>
        <w:pStyle w:val="Heading3"/>
      </w:pPr>
      <w:r>
        <w:t xml:space="preserve">1.1 Functional Unit</w:t>
      </w:r>
    </w:p>
    <w:p>
      <w:pPr>
        <w:pStyle w:val="FirstParagraph"/>
      </w:pPr>
      <w:r>
        <w:t xml:space="preserve">The functional unit for this PCF analysis is</w:t>
      </w:r>
      <w:r>
        <w:t xml:space="preserve"> </w:t>
      </w:r>
      <w:r>
        <w:rPr>
          <w:bCs/>
          <w:b/>
        </w:rPr>
        <w:t xml:space="preserve">1.0 unit of yspkfxugje</w:t>
      </w:r>
      <w:r>
        <w:t xml:space="preserve">. This represents the reference flow</w:t>
      </w:r>
      <w:r>
        <w:t xml:space="preserve"> </w:t>
      </w:r>
      <w:r>
        <w:t xml:space="preserve">to which all inputs and outputs are related, ensuring a consistent basis for comparison and calculation.</w:t>
      </w:r>
    </w:p>
    <w:bookmarkEnd w:id="23"/>
    <w:bookmarkStart w:id="24" w:name="system-boundary"/>
    <w:p>
      <w:pPr>
        <w:pStyle w:val="Heading3"/>
      </w:pPr>
      <w:r>
        <w:t xml:space="preserve">1.2 System Boundary</w:t>
      </w:r>
    </w:p>
    <w:p>
      <w:pPr>
        <w:pStyle w:val="FirstParagraph"/>
      </w:pPr>
      <w:r>
        <w:t xml:space="preserve">The system boundary for this analysis was initially defined as \'factory_gate\'. However, as per specific project</w:t>
      </w:r>
      <w:r>
        <w:t xml:space="preserve"> </w:t>
      </w:r>
      <w:r>
        <w:t xml:space="preserve">requirements to include the "Use Phase" and "End-of-Life (EoL)" stages, the scope has been expanded</w:t>
      </w:r>
      <w:r>
        <w:t xml:space="preserve"> </w:t>
      </w:r>
      <w:r>
        <w:t xml:space="preserve">to provide a more comprehensive understanding of the product\'s full lifecycle impact. This effectively results</w:t>
      </w:r>
      <w:r>
        <w:t xml:space="preserve"> </w:t>
      </w:r>
      <w:r>
        <w:t xml:space="preserve">in an expanded cradle-to-gate analysis including downstream modules for use and end-of-life.</w:t>
      </w:r>
      <w:r>
        <w:t xml:space="preserve"> </w:t>
      </w:r>
      <w:r>
        <w:t xml:space="preserve">The stages included are:</w:t>
      </w:r>
    </w:p>
    <w:p>
      <w:pPr>
        <w:numPr>
          <w:ilvl w:val="0"/>
          <w:numId w:val="1001"/>
        </w:numPr>
        <w:pStyle w:val="Compact"/>
      </w:pPr>
      <w:r>
        <w:t xml:space="preserve">Raw Material Acquisition &amp; Pre-processing (Upstream Scope 3)</w:t>
      </w:r>
    </w:p>
    <w:p>
      <w:pPr>
        <w:numPr>
          <w:ilvl w:val="0"/>
          <w:numId w:val="1001"/>
        </w:numPr>
        <w:pStyle w:val="Compact"/>
      </w:pPr>
      <w:r>
        <w:t xml:space="preserve">Manufacturing (Company\'s Scope 1 &amp; 2)</w:t>
      </w:r>
    </w:p>
    <w:p>
      <w:pPr>
        <w:numPr>
          <w:ilvl w:val="0"/>
          <w:numId w:val="1001"/>
        </w:numPr>
        <w:pStyle w:val="Compact"/>
      </w:pPr>
      <w:r>
        <w:t xml:space="preserve">Distribution &amp; Logistics (Upstream &amp; Downstream Scope 3)</w:t>
      </w:r>
    </w:p>
    <w:p>
      <w:pPr>
        <w:numPr>
          <w:ilvl w:val="0"/>
          <w:numId w:val="1001"/>
        </w:numPr>
        <w:pStyle w:val="Compact"/>
      </w:pPr>
      <w:r>
        <w:t xml:space="preserve">Use Phase (Downstream Scope 3)</w:t>
      </w:r>
    </w:p>
    <w:p>
      <w:pPr>
        <w:numPr>
          <w:ilvl w:val="0"/>
          <w:numId w:val="1001"/>
        </w:numPr>
        <w:pStyle w:val="Compact"/>
      </w:pPr>
      <w:r>
        <w:t xml:space="preserve">End-of-Life Treatment (Downstream Scope 3)</w:t>
      </w:r>
    </w:p>
    <w:bookmarkEnd w:id="24"/>
    <w:bookmarkStart w:id="25" w:name="geographic-scope"/>
    <w:p>
      <w:pPr>
        <w:pStyle w:val="Heading3"/>
      </w:pPr>
      <w:r>
        <w:t xml:space="preserve">1.3 Geographic Scope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 (for raw material sourcing and finished product distribution insights)</w:t>
      </w:r>
    </w:p>
    <w:bookmarkEnd w:id="25"/>
    <w:bookmarkStart w:id="26" w:name="allocation"/>
    <w:p>
      <w:pPr>
        <w:pStyle w:val="Heading3"/>
      </w:pPr>
      <w:r>
        <w:t xml:space="preserve">1.4 Allocation</w:t>
      </w:r>
    </w:p>
    <w:p>
      <w:pPr>
        <w:pStyle w:val="FirstParagraph"/>
      </w:pPr>
      <w:r>
        <w:t xml:space="preserve">Given the functional unit of a single product, no complex allocation procedures were required for co-products.</w:t>
      </w:r>
      <w:r>
        <w:t xml:space="preserve"> </w:t>
      </w:r>
      <w:r>
        <w:t xml:space="preserve">Energy consumption at the production facility is allocated to the functional unit based on its</w:t>
      </w:r>
      <w:r>
        <w:t xml:space="preserve"> </w:t>
      </w:r>
      <w:r>
        <w:t xml:space="preserve">proportionate share of the total energy use for the production of yspkfxugje. For last-mile delivery,</w:t>
      </w:r>
      <w:r>
        <w:t xml:space="preserve"> </w:t>
      </w:r>
      <w:r>
        <w:t xml:space="preserve">emissions from the Light Commercial Vehicle (LCV) are allocated per unit based on an assumed average load factor.</w:t>
      </w:r>
    </w:p>
    <w:bookmarkEnd w:id="26"/>
    <w:bookmarkStart w:id="27" w:name="accounting-standard"/>
    <w:p>
      <w:pPr>
        <w:pStyle w:val="Heading3"/>
      </w:pPr>
      <w:r>
        <w:t xml:space="preserve">1.5 Accounting Standard</w:t>
      </w:r>
    </w:p>
    <w:p>
      <w:pPr>
        <w:pStyle w:val="FirstParagraph"/>
      </w:pPr>
      <w:r>
        <w:t xml:space="preserve">This Product Carbon Footprint analysis is conducted in strict adherence to the</w:t>
      </w:r>
      <w:r>
        <w:t xml:space="preserve"> </w:t>
      </w:r>
      <w:r>
        <w:rPr>
          <w:bCs/>
          <w:b/>
        </w:rPr>
        <w:t xml:space="preserve">GHG Protocol Product Standard</w:t>
      </w:r>
      <w:r>
        <w:t xml:space="preserve"> </w:t>
      </w:r>
      <w:r>
        <w:t xml:space="preserve">(A Corporate Accounting and Reporting Standard). Emissions are categorized into Scope 1 (direct), Scope 2</w:t>
      </w:r>
      <w:r>
        <w:t xml:space="preserve"> </w:t>
      </w:r>
      <w:r>
        <w:t xml:space="preserve">(purchased energy), and Scope 3 (value chain) to ensure comprehensive reporting. The analysis also incorporates</w:t>
      </w:r>
      <w:r>
        <w:t xml:space="preserve"> </w:t>
      </w:r>
      <w:r>
        <w:t xml:space="preserve">the principles of the 2026 Land Sector and Removals (LSR) Standard for land use and carbon removals,</w:t>
      </w:r>
      <w:r>
        <w:t xml:space="preserve"> </w:t>
      </w:r>
      <w:r>
        <w:t xml:space="preserve">where applicable. The LSR Standard v1.0, released on January 30, 2026, is set to take effect on January 1, 2027, and provides accounting requirements for land-based GHG emissions and carbon dioxide removals.</w:t>
      </w:r>
      <w:r>
        <w:t xml:space="preserve"> </w:t>
      </w:r>
      <w:r>
        <w:t xml:space="preserve">Furthermore, this analysis aims for at least 95% coverage for required Scope 3 reporting, as per the proposed 2026 requirements,</w:t>
      </w:r>
      <w:r>
        <w:t xml:space="preserve"> </w:t>
      </w:r>
      <w:r>
        <w:t xml:space="preserve">which suggest a quantitative threshold for completeness.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6" w:name="map-lifecycle-3.-collect-data"/>
    <w:p>
      <w:pPr>
        <w:pStyle w:val="Heading2"/>
      </w:pPr>
      <w:r>
        <w:t xml:space="preserve">2. Map Lifecycle &amp; 3. Collect Data</w:t>
      </w:r>
    </w:p>
    <w:p>
      <w:pPr>
        <w:pStyle w:val="FirstParagraph"/>
      </w:pPr>
      <w:r>
        <w:t xml:space="preserve">This section details the inventory data collected and the assumptions made for each lifecycle stage of yspkfxugje.</w:t>
      </w:r>
      <w:r>
        <w:t xml:space="preserve"> </w:t>
      </w:r>
      <w:r>
        <w:t xml:space="preserve">The analysis leverages the provided Detailed Bill of Materials (BOM) for high-accuracy material impact</w:t>
      </w:r>
      <w:r>
        <w:t xml:space="preserve"> </w:t>
      </w:r>
      <w:r>
        <w:t xml:space="preserve">calculations and incorporates specific logistics, energy, use phase, and end-of-life data.</w:t>
      </w:r>
    </w:p>
    <w:bookmarkStart w:id="29" w:name="X012de824d857eccb34738f2e12689d42c4f335a"/>
    <w:p>
      <w:pPr>
        <w:pStyle w:val="Heading3"/>
      </w:pPr>
      <w:r>
        <w:t xml:space="preserve">2.1 Bill of Materials (BOM) and Material Inputs (Scope 3 - Upstream)</w:t>
      </w:r>
    </w:p>
    <w:p>
      <w:pPr>
        <w:pStyle w:val="FirstParagraph"/>
      </w:pPr>
      <w:r>
        <w:t xml:space="preserve">The following table presents the detailed Bill of Materials for yspkfxugje.</w:t>
      </w:r>
      <w:r>
        <w:t xml:space="preserve"> </w:t>
      </w:r>
      <w:r>
        <w:t xml:space="preserve">Note: The BOM data provided as `vukynxim` was a placeholder string; therefore,</w:t>
      </w:r>
      <w:r>
        <w:t xml:space="preserve"> </w:t>
      </w:r>
      <w:r>
        <w:t xml:space="preserve">representative sample data following the specified format has been generated for this report</w:t>
      </w:r>
      <w:r>
        <w:t xml:space="preserve"> </w:t>
      </w:r>
      <w:r>
        <w:t xml:space="preserve">to demonstrate the calculation methodology. In a real-world scenario, the actual detailed BOM</w:t>
      </w:r>
      <w:r>
        <w:t xml:space="preserve"> </w:t>
      </w:r>
      <w:r>
        <w:t xml:space="preserve">would be used directly for precise calculations.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 (Qty)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 or 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Housing (ABS)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 (small PCB 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t xml:space="preserve">Subtotal Material Emissions (kgCO2e):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7.00</w:t>
            </w:r>
          </w:p>
        </w:tc>
      </w:tr>
    </w:tbl>
    <w:p>
      <w:pPr>
        <w:pStyle w:val="BodyText"/>
      </w:pPr>
      <w:r>
        <w:rPr>
          <w:iCs/>
          <w:i/>
        </w:rPr>
        <w:t xml:space="preserve">Emission Factors Source: Representative values derived from industry-standard databases (e.g., Ecoinvent, DEFRA),</w:t>
      </w:r>
      <w:r>
        <w:rPr>
          <w:iCs/>
          <w:i/>
        </w:rPr>
        <w:t xml:space="preserve"> </w:t>
      </w:r>
      <w:r>
        <w:rPr>
          <w:iCs/>
          <w:i/>
        </w:rPr>
        <w:t xml:space="preserve">adapted for general material types, and consistent with the provided BOM format.</w:t>
      </w:r>
    </w:p>
    <w:bookmarkEnd w:id="29"/>
    <w:bookmarkStart w:id="30" w:name="production-energy-inputs-scope-1-2"/>
    <w:p>
      <w:pPr>
        <w:pStyle w:val="Heading3"/>
      </w:pPr>
      <w:r>
        <w:t xml:space="preserve">2.2 Production Energy Inputs (Scope 1 &amp; 2)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xnhryouelv (Assumed: 5 kWh/unit)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uehdquhxrs (Assumed: 70%)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Non-Renewable Energy Portion:</w:t>
      </w:r>
      <w:r>
        <w:t xml:space="preserve"> </w:t>
      </w:r>
      <w:r>
        <w:t xml:space="preserve">30% of 5 kWh = 1.5 kWh/unit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Portion:</w:t>
      </w:r>
      <w:r>
        <w:t xml:space="preserve"> </w:t>
      </w:r>
      <w:r>
        <w:t xml:space="preserve">70% of 5 kWh = 3.5 kWh/unit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Grid Electricity Emission Factor (China, non-renewable portion):</w:t>
      </w:r>
      <w:r>
        <w:t xml:space="preserve"> </w:t>
      </w:r>
      <w:r>
        <w:t xml:space="preserve">0.6 kgCO2e/kWh (Assumed, based on typical coal-heavy grid mix, consistent with national average factors around 0.6-0.62 kgCO2e/kWh for China)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Emission Factor:</w:t>
      </w:r>
      <w:r>
        <w:t xml:space="preserve"> </w:t>
      </w:r>
      <w:r>
        <w:t xml:space="preserve">0.0 kgCO2e/kWh (Assuming certified renewable energy with zero upstream emissions)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Scope 1 Emissions (Direct):</w:t>
      </w:r>
      <w:r>
        <w:t xml:space="preserve"> </w:t>
      </w:r>
      <w:r>
        <w:t xml:space="preserve">Assumed to be negligible for this product\'s manufacturing process (e.g., no on-site fuel combustion), or captured within Scope 2 if process heat is from purchased electricity.</w:t>
      </w:r>
    </w:p>
    <w:bookmarkEnd w:id="30"/>
    <w:bookmarkStart w:id="33" w:name="X9795cd1974d18f66faafdaafe7a0219ede81315"/>
    <w:p>
      <w:pPr>
        <w:pStyle w:val="Heading3"/>
      </w:pPr>
      <w:r>
        <w:t xml:space="preserve">2.3 Transport Logistics (Scope 3 - Upstream &amp; Downstream)</w:t>
      </w:r>
    </w:p>
    <w:p>
      <w:pPr>
        <w:pStyle w:val="FirstParagraph"/>
      </w:pPr>
      <w:r>
        <w:t xml:space="preserve">Logistics data incorporates both raw material transport to the factory and finished product distribution.</w:t>
      </w:r>
      <w:r>
        <w:t xml:space="preserve"> </w:t>
      </w:r>
      <w:r>
        <w:t xml:space="preserve">Note: The parameters `Select Mode`, `isshmfvxdk`, and `Delivery Type` were placeholders.</w:t>
      </w:r>
      <w:r>
        <w:t xml:space="preserve"> </w:t>
      </w:r>
      <w:r>
        <w:t xml:space="preserve">Representative transport modes and distances have been assumed for the analysis.</w:t>
      </w:r>
    </w:p>
    <w:bookmarkStart w:id="31" w:name="raw-material-transport-upstream"/>
    <w:p>
      <w:pPr>
        <w:pStyle w:val="Heading4"/>
      </w:pPr>
      <w:r>
        <w:t xml:space="preserve">2.3.1 Raw Material Transport (Upstream)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Transport Mode:</w:t>
      </w:r>
      <w:r>
        <w:t xml:space="preserve"> </w:t>
      </w:r>
      <w:r>
        <w:t xml:space="preserve">Road freight, Heavy Goods Vehicle (HGV), articulated lorry, &gt;32 metric tons, Euro VI.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Average Transport Distance:</w:t>
      </w:r>
      <w:r>
        <w:t xml:space="preserve"> </w:t>
      </w:r>
      <w:r>
        <w:t xml:space="preserve">isshmfvxdk (Assumed: 500 km, Europe Focused supply chain)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Total Product Weight (materials + packaging):</w:t>
      </w:r>
      <w:r>
        <w:t xml:space="preserve"> </w:t>
      </w:r>
      <w:r>
        <w:t xml:space="preserve">~1.5 kg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Emission Factor (HGV):</w:t>
      </w:r>
      <w:r>
        <w:t xml:space="preserve"> </w:t>
      </w:r>
      <w:r>
        <w:t xml:space="preserve">0.06 kgCO2e/tonne-km (tkm) (Representative value for efficient HGV freight, within the range of EU averages)</w:t>
      </w:r>
    </w:p>
    <w:bookmarkEnd w:id="31"/>
    <w:bookmarkStart w:id="32" w:name="finished-product-distribution-downstream"/>
    <w:p>
      <w:pPr>
        <w:pStyle w:val="Heading4"/>
      </w:pPr>
      <w:r>
        <w:t xml:space="preserve">2.3.2 Finished Product Distribution (Downstream)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Assumed Primary Transport Mode:</w:t>
      </w:r>
      <w:r>
        <w:t xml:space="preserve"> </w:t>
      </w:r>
      <w:r>
        <w:t xml:space="preserve">Road freight, HGV, articulated lorry, &gt;32 metric tons, Euro VI.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Assumed Average Transport Distance (to distribution hub):</w:t>
      </w:r>
      <w:r>
        <w:t xml:space="preserve"> </w:t>
      </w:r>
      <w:r>
        <w:t xml:space="preserve">isshmfvxdk (Assumed: 200 km within Europe)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Last-Mile Delivery Channel (Delivery Type):</w:t>
      </w:r>
      <w:r>
        <w:t xml:space="preserve"> </w:t>
      </w:r>
      <w:r>
        <w:t xml:space="preserve">Light Commercial Vehicle (LCV).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Assumed Average Last-Mile Delivery Distance per unit:</w:t>
      </w:r>
      <w:r>
        <w:t xml:space="preserve"> </w:t>
      </w:r>
      <w:r>
        <w:t xml:space="preserve">50 km (e.g., from hub to customer)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Emission Factor (LCV, vehicle level):</w:t>
      </w:r>
      <w:r>
        <w:t xml:space="preserve"> </w:t>
      </w:r>
      <w:r>
        <w:t xml:space="preserve">0.2 kgCO2e/km (Representative value for an LCV)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Assumed LCV Load for Allocation:</w:t>
      </w:r>
      <w:r>
        <w:t xml:space="preserve"> </w:t>
      </w:r>
      <w:r>
        <w:t xml:space="preserve">50 units (used to allocate the vehicle\'s emissions per product unit over the 50km distance)</w:t>
      </w:r>
    </w:p>
    <w:bookmarkEnd w:id="32"/>
    <w:bookmarkEnd w:id="33"/>
    <w:bookmarkStart w:id="34" w:name="use-phase-data-scope-3---downstream"/>
    <w:p>
      <w:pPr>
        <w:pStyle w:val="Heading3"/>
      </w:pPr>
      <w:r>
        <w:t xml:space="preserve">2.4 Use Phase Data (Scope 3 - Downstream)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oujeejqwrk (Assumed: 5 years)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gopkzvhdry (Assumed: 10 kWh/year)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Total Energy Consumption over Lifespan:</w:t>
      </w:r>
      <w:r>
        <w:t xml:space="preserve"> </w:t>
      </w:r>
      <w:r>
        <w:t xml:space="preserve">10 kWh/year * 5 years = 50 kWh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Assumed Use Phase Electricity Emission Factor:</w:t>
      </w:r>
      <w:r>
        <w:t xml:space="preserve"> </w:t>
      </w:r>
      <w:r>
        <w:t xml:space="preserve">0.25 kgCO2e/kWh (Representative EU average grid mix for consumer electricity, reflecting the \'Europe Focused\' supply chain)</w:t>
      </w:r>
    </w:p>
    <w:bookmarkEnd w:id="34"/>
    <w:bookmarkStart w:id="35" w:name="X2449e76f36fce2c9fec3c701a472f020b80894d"/>
    <w:p>
      <w:pPr>
        <w:pStyle w:val="Heading3"/>
      </w:pPr>
      <w:r>
        <w:t xml:space="preserve">2.5 End-of-Life (EoL) Scenarios (Scope 3 - Downstream)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pkieesrxni (Assumed: 80%)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qdtfognlyt (Assumed: Yes, established take-back program for key components)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EoL Treatment for Non-Recycled Portion (20%):</w:t>
      </w:r>
      <w:r>
        <w:t xml:space="preserve"> </w:t>
      </w:r>
      <w:r>
        <w:t xml:space="preserve">Assumed landfill.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Landfill Emission Factor (for non-recyclable waste):</w:t>
      </w:r>
      <w:r>
        <w:t xml:space="preserve"> </w:t>
      </w:r>
      <w:r>
        <w:t xml:space="preserve">0.1 kgCO2e/kg (Representative value for mixed waste landfill)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Product Weight for EoL consideration:</w:t>
      </w:r>
      <w:r>
        <w:t xml:space="preserve"> </w:t>
      </w:r>
      <w:r>
        <w:t xml:space="preserve">~1.5 kg (including packaging)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Recycling Benefit:</w:t>
      </w:r>
      <w:r>
        <w:t xml:space="preserve"> </w:t>
      </w:r>
      <w:r>
        <w:t xml:space="preserve">For the 80% recycled portion, a credit for avoided primary production emissions would typically be applied. For this report, we note the significant benefit of recycling in reducing overall impact and promoting circularity.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7" w:name="calculate-emissions"/>
    <w:p>
      <w:pPr>
        <w:pStyle w:val="Heading2"/>
      </w:pPr>
      <w:r>
        <w:t xml:space="preserve">4. Calculate Emissions</w:t>
      </w:r>
    </w:p>
    <w:p>
      <w:pPr>
        <w:pStyle w:val="FirstParagraph"/>
      </w:pPr>
      <w:r>
        <w:t xml:space="preserve">Emissions are calculated for each stage of the product lifecycle, categorized according to the GHG Protocol.</w:t>
      </w:r>
      <w:r>
        <w:t xml:space="preserve"> </w:t>
      </w:r>
      <w:r>
        <w:t xml:space="preserve">The formula Activity Data × Emission Factor = CO2e is applied throughout.</w:t>
      </w:r>
    </w:p>
    <w:bookmarkStart w:id="37" w:name="X1198c8af25dd1a2ebffa686809674f976343a37"/>
    <w:p>
      <w:pPr>
        <w:pStyle w:val="Heading3"/>
      </w:pPr>
      <w:r>
        <w:t xml:space="preserve">4.1 Material Acquisition &amp; Pre-processing (Scope 3 - Upstream)</w:t>
      </w:r>
    </w:p>
    <w:p>
      <w:pPr>
        <w:pStyle w:val="FirstParagraph"/>
      </w:pPr>
      <w:r>
        <w:t xml:space="preserve">Based on the detailed BOM data and assumed emission factors:</w:t>
      </w:r>
    </w:p>
    <w:p>
      <w:pPr>
        <w:numPr>
          <w:ilvl w:val="0"/>
          <w:numId w:val="1008"/>
        </w:numPr>
        <w:pStyle w:val="Compact"/>
      </w:pPr>
      <w:r>
        <w:t xml:space="preserve">Aluminum Casing: 0.5 kg * 8.50 kgCO2e/kg = 4.25 kgCO2e</w:t>
      </w:r>
    </w:p>
    <w:p>
      <w:pPr>
        <w:numPr>
          <w:ilvl w:val="0"/>
          <w:numId w:val="1008"/>
        </w:numPr>
        <w:pStyle w:val="Compact"/>
      </w:pPr>
      <w:r>
        <w:t xml:space="preserve">Plastic Housing: 0.3 kg * 3.00 kgCO2e/kg = 0.90 kgCO2e</w:t>
      </w:r>
    </w:p>
    <w:p>
      <w:pPr>
        <w:numPr>
          <w:ilvl w:val="0"/>
          <w:numId w:val="1008"/>
        </w:numPr>
        <w:pStyle w:val="Compact"/>
      </w:pPr>
      <w:r>
        <w:t xml:space="preserve">Circuit Board (PCB): 1.0 unit * 1.50 kgCO2e/unit = 1.50 kgCO2e</w:t>
      </w:r>
    </w:p>
    <w:p>
      <w:pPr>
        <w:numPr>
          <w:ilvl w:val="0"/>
          <w:numId w:val="1008"/>
        </w:numPr>
        <w:pStyle w:val="Compact"/>
      </w:pPr>
      <w:r>
        <w:t xml:space="preserve">Copper Wire: 0.1 kg * 2.50 kgCO2e/kg = 0.25 kgCO2e</w:t>
      </w:r>
    </w:p>
    <w:p>
      <w:pPr>
        <w:numPr>
          <w:ilvl w:val="0"/>
          <w:numId w:val="1008"/>
        </w:numPr>
        <w:pStyle w:val="Compact"/>
      </w:pPr>
      <w:r>
        <w:t xml:space="preserve">Packaging Cardboard: 0.2 kg * 0.50 kgCO2e/kg = 0.10 kgCO2e</w:t>
      </w:r>
    </w:p>
    <w:p>
      <w:pPr>
        <w:pStyle w:val="FirstParagraph"/>
      </w:pPr>
      <w:r>
        <w:rPr>
          <w:bCs/>
          <w:b/>
        </w:rPr>
        <w:t xml:space="preserve">Total Material Emissions: 7.00 kgCO2e</w:t>
      </w:r>
    </w:p>
    <w:bookmarkEnd w:id="37"/>
    <w:bookmarkStart w:id="40" w:name="production-manufacturing-phase"/>
    <w:p>
      <w:pPr>
        <w:pStyle w:val="Heading3"/>
      </w:pPr>
      <w:r>
        <w:t xml:space="preserve">4.2 Production (Manufacturing) Phase</w:t>
      </w:r>
    </w:p>
    <w:bookmarkStart w:id="38" w:name="scope-1-emissions-direct"/>
    <w:p>
      <w:pPr>
        <w:pStyle w:val="Heading4"/>
      </w:pPr>
      <w:r>
        <w:t xml:space="preserve">4.2.1 Scope 1 Emissions (Direct)</w:t>
      </w:r>
    </w:p>
    <w:p>
      <w:pPr>
        <w:pStyle w:val="FirstParagraph"/>
      </w:pPr>
      <w:r>
        <w:t xml:space="preserve">As per the assumptions, direct (Scope 1) emissions from manufacturing operations are considered negligible for this product or are indirect via purchased electricity.</w:t>
      </w:r>
      <w:r>
        <w:t xml:space="preserve"> </w:t>
      </w:r>
      <w:r>
        <w:rPr>
          <w:bCs/>
          <w:b/>
        </w:rPr>
        <w:t xml:space="preserve">Total Scope 1 Emissions: 0.00 kgCO2e</w:t>
      </w:r>
    </w:p>
    <w:bookmarkEnd w:id="38"/>
    <w:bookmarkStart w:id="39" w:name="scope-2-emissions-purchased-energy"/>
    <w:p>
      <w:pPr>
        <w:pStyle w:val="Heading4"/>
      </w:pPr>
      <w:r>
        <w:t xml:space="preserve">4.2.2 Scope 2 Emissions (Purchased Energy)</w:t>
      </w:r>
    </w:p>
    <w:p>
      <w:pPr>
        <w:numPr>
          <w:ilvl w:val="0"/>
          <w:numId w:val="1009"/>
        </w:numPr>
        <w:pStyle w:val="Compact"/>
      </w:pPr>
      <w:r>
        <w:t xml:space="preserve">Non-Renewable Electricity: 1.5 kWh/unit * 0.6 kgCO2e/kWh = 0.90 kgCO2e</w:t>
      </w:r>
    </w:p>
    <w:p>
      <w:pPr>
        <w:numPr>
          <w:ilvl w:val="0"/>
          <w:numId w:val="1009"/>
        </w:numPr>
        <w:pStyle w:val="Compact"/>
      </w:pPr>
      <w:r>
        <w:t xml:space="preserve">Renewable Electricity: 3.5 kWh/unit * 0.0 kgCO2e/kWh = 0.00 kgCO2e</w:t>
      </w:r>
    </w:p>
    <w:p>
      <w:pPr>
        <w:pStyle w:val="FirstParagraph"/>
      </w:pPr>
      <w:r>
        <w:rPr>
          <w:bCs/>
          <w:b/>
        </w:rPr>
        <w:t xml:space="preserve">Total Scope 2 Emissions: 0.90 kgCO2e</w:t>
      </w:r>
    </w:p>
    <w:bookmarkEnd w:id="39"/>
    <w:bookmarkEnd w:id="40"/>
    <w:bookmarkStart w:id="43" w:name="X20efc89ca55650b531605dcd0d6a285ce77dbfd"/>
    <w:p>
      <w:pPr>
        <w:pStyle w:val="Heading3"/>
      </w:pPr>
      <w:r>
        <w:t xml:space="preserve">4.3 Transport Emissions (Scope 3 - Upstream &amp; Downstream)</w:t>
      </w:r>
    </w:p>
    <w:bookmarkStart w:id="41" w:name="raw-material-transport-upstream-1"/>
    <w:p>
      <w:pPr>
        <w:pStyle w:val="Heading4"/>
      </w:pPr>
      <w:r>
        <w:t xml:space="preserve">4.3.1 Raw Material Transport (Upstream)</w:t>
      </w:r>
    </w:p>
    <w:p>
      <w:pPr>
        <w:numPr>
          <w:ilvl w:val="0"/>
          <w:numId w:val="1010"/>
        </w:numPr>
        <w:pStyle w:val="Compact"/>
      </w:pPr>
      <w:r>
        <w:t xml:space="preserve">Product Weight for transport: 1.5 kg (total product weight including packaging)</w:t>
      </w:r>
    </w:p>
    <w:p>
      <w:pPr>
        <w:numPr>
          <w:ilvl w:val="0"/>
          <w:numId w:val="1010"/>
        </w:numPr>
        <w:pStyle w:val="Compact"/>
      </w:pPr>
      <w:r>
        <w:t xml:space="preserve">Emissions: (1.5 kg / 1000 kg/tonne) * 500 km * 0.06 kgCO2e/tkm = 0.0015 tonne * 500 km * 0.06 kgCO2e/tkm = 0.045 kgCO2e</w:t>
      </w:r>
    </w:p>
    <w:p>
      <w:pPr>
        <w:pStyle w:val="FirstParagraph"/>
      </w:pPr>
      <w:r>
        <w:rPr>
          <w:bCs/>
          <w:b/>
        </w:rPr>
        <w:t xml:space="preserve">Total Upstream Transport Emissions: 0.045 kgCO2e</w:t>
      </w:r>
    </w:p>
    <w:bookmarkEnd w:id="41"/>
    <w:bookmarkStart w:id="42" w:name="X3f7c2f1ecbd63edc13a532b0be011e3e7239cb8"/>
    <w:p>
      <w:pPr>
        <w:pStyle w:val="Heading4"/>
      </w:pPr>
      <w:r>
        <w:t xml:space="preserve">4.3.2 Finished Product Distribution (Downstream)</w:t>
      </w:r>
    </w:p>
    <w:p>
      <w:pPr>
        <w:numPr>
          <w:ilvl w:val="0"/>
          <w:numId w:val="1011"/>
        </w:numPr>
        <w:pStyle w:val="Compact"/>
      </w:pPr>
      <w:r>
        <w:t xml:space="preserve">Primary Transport (HGV): (1.5 kg / 1000 kg/tonne) * 200 km * 0.06 kgCO2e/tkm = 0.0015 tonne * 200 km * 0.06 kgCO2e/tkm = 0.018 kgCO2e</w:t>
      </w:r>
    </w:p>
    <w:p>
      <w:pPr>
        <w:numPr>
          <w:ilvl w:val="0"/>
          <w:numId w:val="1011"/>
        </w:numPr>
        <w:pStyle w:val="Compact"/>
      </w:pPr>
      <w:r>
        <w:t xml:space="preserve">Last-Mile Delivery (LCV): (0.2 kgCO2e/km * 50 km) / 50 units (assumed load) = 0.20 kgCO2e</w:t>
      </w:r>
    </w:p>
    <w:p>
      <w:pPr>
        <w:pStyle w:val="FirstParagraph"/>
      </w:pPr>
      <w:r>
        <w:rPr>
          <w:bCs/>
          <w:b/>
        </w:rPr>
        <w:t xml:space="preserve">Total Downstream Transport Emissions: 0.018 + 0.20 = 0.218 kgCO2e</w:t>
      </w:r>
    </w:p>
    <w:p>
      <w:pPr>
        <w:pStyle w:val="BodyText"/>
      </w:pPr>
      <w:r>
        <w:rPr>
          <w:bCs/>
          <w:b/>
        </w:rPr>
        <w:t xml:space="preserve">Total Transport Emissions (Upstream + Downstream): 0.045 + 0.218 = 0.263 kgCO2e</w:t>
      </w:r>
    </w:p>
    <w:bookmarkEnd w:id="42"/>
    <w:bookmarkEnd w:id="43"/>
    <w:bookmarkStart w:id="44" w:name="use-phase-emissions-scope-3---downstream"/>
    <w:p>
      <w:pPr>
        <w:pStyle w:val="Heading3"/>
      </w:pPr>
      <w:r>
        <w:t xml:space="preserve">4.4 Use Phase Emissions (Scope 3 - Downstream)</w:t>
      </w:r>
    </w:p>
    <w:p>
      <w:pPr>
        <w:numPr>
          <w:ilvl w:val="0"/>
          <w:numId w:val="1012"/>
        </w:numPr>
        <w:pStyle w:val="Compact"/>
      </w:pPr>
      <w:r>
        <w:t xml:space="preserve">Total Energy Consumption: 50 kWh</w:t>
      </w:r>
    </w:p>
    <w:p>
      <w:pPr>
        <w:numPr>
          <w:ilvl w:val="0"/>
          <w:numId w:val="1012"/>
        </w:numPr>
        <w:pStyle w:val="Compact"/>
      </w:pPr>
      <w:r>
        <w:t xml:space="preserve">Emissions: 50 kWh * 0.25 kgCO2e/kWh = 12.50 kgCO2e</w:t>
      </w:r>
    </w:p>
    <w:p>
      <w:pPr>
        <w:pStyle w:val="FirstParagraph"/>
      </w:pPr>
      <w:r>
        <w:rPr>
          <w:bCs/>
          <w:b/>
        </w:rPr>
        <w:t xml:space="preserve">Total Use Phase Emissions: 12.50 kgCO2e</w:t>
      </w:r>
    </w:p>
    <w:bookmarkEnd w:id="44"/>
    <w:bookmarkStart w:id="45" w:name="X2b4ad725edcc068808b89bd4b5c5981c538dba0"/>
    <w:p>
      <w:pPr>
        <w:pStyle w:val="Heading3"/>
      </w:pPr>
      <w:r>
        <w:t xml:space="preserve">4.5 End-of-Life Emissions (Scope 3 - Downstream)</w:t>
      </w:r>
    </w:p>
    <w:p>
      <w:pPr>
        <w:numPr>
          <w:ilvl w:val="0"/>
          <w:numId w:val="1013"/>
        </w:numPr>
        <w:pStyle w:val="Compact"/>
      </w:pPr>
      <w:r>
        <w:t xml:space="preserve">Non-recycled portion weight: 20% of 1.5 kg = 0.3 kg</w:t>
      </w:r>
    </w:p>
    <w:p>
      <w:pPr>
        <w:numPr>
          <w:ilvl w:val="0"/>
          <w:numId w:val="1013"/>
        </w:numPr>
        <w:pStyle w:val="Compact"/>
      </w:pPr>
      <w:r>
        <w:t xml:space="preserve">Emissions from landfill: 0.3 kg * 0.1 kgCO2e/kg = 0.03 kgCO2e</w:t>
      </w:r>
    </w:p>
    <w:p>
      <w:pPr>
        <w:numPr>
          <w:ilvl w:val="0"/>
          <w:numId w:val="1013"/>
        </w:numPr>
        <w:pStyle w:val="Compact"/>
      </w:pPr>
      <w:r>
        <w:t xml:space="preserve">Recycling benefits: The 80% recyclability significantly reduces the overall impact by avoiding virgin material production. While not directly a \'negative emission\' in this summary, the benefit of material circularity is acknowledged.</w:t>
      </w:r>
    </w:p>
    <w:p>
      <w:pPr>
        <w:pStyle w:val="FirstParagraph"/>
      </w:pPr>
      <w:r>
        <w:rPr>
          <w:bCs/>
          <w:b/>
        </w:rPr>
        <w:t xml:space="preserve">Total End-of-Life Emissions: 0.03 kgCO2e</w:t>
      </w:r>
    </w:p>
    <w:bookmarkEnd w:id="45"/>
    <w:bookmarkStart w:id="46" w:name="X9658651808001cee1445fe2024c21d87295177b"/>
    <w:p>
      <w:pPr>
        <w:pStyle w:val="Heading3"/>
      </w:pPr>
      <w:r>
        <w:t xml:space="preserve">4.6 Summary of Product Carbon Footprint (PCF) for yspkfxugje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Protocol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 per functional 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 - Category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(Direct Operations)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(Purchased 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Upstream Transportation (Raw 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 - Category 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Downstream Transportation (Finished Product)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 - Category 9)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 - Category 11)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 - Category 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right"/>
            </w:pPr>
            <w:r>
              <w:t xml:space="preserve">TOTAL PRODUCT CARBON FOOTPRINT: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20.693 kgCO2e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6"/>
    <w:bookmarkEnd w:id="47"/>
    <w:bookmarkStart w:id="52" w:name="review-report"/>
    <w:p>
      <w:pPr>
        <w:pStyle w:val="Heading2"/>
      </w:pPr>
      <w:r>
        <w:t xml:space="preserve">5. Review &amp; Report</w:t>
      </w:r>
    </w:p>
    <w:bookmarkStart w:id="48" w:name="emission-hotspots"/>
    <w:p>
      <w:pPr>
        <w:pStyle w:val="Heading3"/>
      </w:pPr>
      <w:r>
        <w:t xml:space="preserve">5.1 Emission Hotspots</w:t>
      </w:r>
    </w:p>
    <w:p>
      <w:pPr>
        <w:pStyle w:val="FirstParagraph"/>
      </w:pPr>
      <w:r>
        <w:t xml:space="preserve">Based on the calculations, the primary emission hotspots for yspkfxugje are: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Use Phase (12.50 kgCO2e / ~60% of total):</w:t>
      </w:r>
      <w:r>
        <w:t xml:space="preserve"> </w:t>
      </w:r>
      <w:r>
        <w:t xml:space="preserve">This is the most significant contributor, largely due to the electricity consumption over the product\'s 5-year lifespan. This highlights the importance of energy-efficient design and promoting renewable energy use by consumers.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Material Acquisition &amp; Pre-processing (7.00 kgCO2e / ~34% of total):</w:t>
      </w:r>
      <w:r>
        <w:t xml:space="preserve"> </w:t>
      </w:r>
      <w:r>
        <w:t xml:space="preserve">The selection of materials, particularly aluminum, significantly contributes to the upstream footprint. Opportunities exist in optimizing material choices, increasing recycled content, and sourcing from suppliers with lower carbon footprints.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Production (Purchased Energy) (0.90 kgCO2e / ~4% of total):</w:t>
      </w:r>
      <w:r>
        <w:t xml:space="preserve"> </w:t>
      </w:r>
      <w:r>
        <w:t xml:space="preserve">While less dominant than the use phase or materials, increasing renewable energy procurement beyond the current 70% or improving energy efficiency at the Chinese production facility can further reduce this impact.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Transportation (0.263 kgCO2e / ~1% of total):</w:t>
      </w:r>
      <w:r>
        <w:t xml:space="preserve"> </w:t>
      </w:r>
      <w:r>
        <w:t xml:space="preserve">While efforts can be made to optimize logistics (e.g., higher load factors, more efficient modes), its relative contribution is smaller compared to use and materials.</w:t>
      </w:r>
    </w:p>
    <w:bookmarkEnd w:id="48"/>
    <w:bookmarkStart w:id="49" w:name="reliability-of-data-and-assumptions"/>
    <w:p>
      <w:pPr>
        <w:pStyle w:val="Heading3"/>
      </w:pPr>
      <w:r>
        <w:t xml:space="preserve">5.2 Reliability of Data and Assumptions</w:t>
      </w:r>
    </w:p>
    <w:p>
      <w:pPr>
        <w:pStyle w:val="FirstParagraph"/>
      </w:pPr>
      <w:r>
        <w:t xml:space="preserve">The reliability of this PCF analysis is contingent upon the accuracy of the input data and assumptions.</w:t>
      </w:r>
      <w:r>
        <w:t xml:space="preserve"> </w:t>
      </w:r>
      <w:r>
        <w:t xml:space="preserve">Key considerations include: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BOM Data:</w:t>
      </w:r>
      <w:r>
        <w:t xml:space="preserve"> </w:t>
      </w:r>
      <w:r>
        <w:t xml:space="preserve">While the analysis demonstrated using detailed BOM structure, the specific values for quantities and emission factors were assumed due to the placeholder nature of `vukynxim`. Real-world accuracy requires verified supplier-specific data.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Emission Factors:</w:t>
      </w:r>
      <w:r>
        <w:t xml:space="preserve"> </w:t>
      </w:r>
      <w:r>
        <w:t xml:space="preserve">Industry-average emission factors (e.g., from Ecoinvent/DEFRA) were used as representative values. These provide good estimates but may not perfectly reflect specific supplier processes or regional energy mixes in all cases.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Transport Data:</w:t>
      </w:r>
      <w:r>
        <w:t xml:space="preserve"> </w:t>
      </w:r>
      <w:r>
        <w:t xml:space="preserve">Assumed distances, modes, and load factors impact the accuracy. Primary data from logistics providers would enhance precision. The allocation for Last-Mile delivery was based on a reasonable assumption of shared delivery and vehicle-level emission factors.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Use Phase and EoL:</w:t>
      </w:r>
      <w:r>
        <w:t xml:space="preserve"> </w:t>
      </w:r>
      <w:r>
        <w:t xml:space="preserve">Consumer behavior (actual energy use, actual lifespan) and real-world recycling rates can vary. The assumed EU average for use phase electricity factors is a simplification. The credit for recycling benefits was qualitatively noted rather than quantitatively calculated, which is a common simplification in cradle-to-gate plus reports.</w:t>
      </w:r>
    </w:p>
    <w:bookmarkEnd w:id="49"/>
    <w:bookmarkStart w:id="50" w:name="ghg-protocol-compliance-2026-lsr-update"/>
    <w:p>
      <w:pPr>
        <w:pStyle w:val="Heading3"/>
      </w:pPr>
      <w:r>
        <w:t xml:space="preserve">5.3 GHG Protocol Compliance &amp; 2026 LSR Update</w:t>
      </w:r>
    </w:p>
    <w:p>
      <w:pPr>
        <w:pStyle w:val="FirstParagraph"/>
      </w:pPr>
      <w:r>
        <w:t xml:space="preserve">This report strictly adheres to the GHG Protocol Product Standard. All relevant emissions are categorized into</w:t>
      </w:r>
      <w:r>
        <w:t xml:space="preserve"> </w:t>
      </w:r>
      <w:r>
        <w:t xml:space="preserve">Scope 1, 2, and 3. Special attention has been paid to ensuring comprehensive Scope 3 coverage, with an aim to</w:t>
      </w:r>
      <w:r>
        <w:t xml:space="preserve"> </w:t>
      </w:r>
      <w:r>
        <w:t xml:space="preserve">achieve over 95% coverage as per the proposed 2026 requirements, by including materials, transport (both upstream and downstream), use phase,</w:t>
      </w:r>
      <w:r>
        <w:t xml:space="preserve"> </w:t>
      </w:r>
      <w:r>
        <w:t xml:space="preserve">and end-of-life.</w:t>
      </w:r>
      <w:r>
        <w:t xml:space="preserve"> </w:t>
      </w:r>
      <w:r>
        <w:t xml:space="preserve">The principles of the 2026 Land Sector and Removals (LSR) Standard, effective January 1, 2027, are conceptually applied</w:t>
      </w:r>
      <w:r>
        <w:t xml:space="preserve"> </w:t>
      </w:r>
      <w:r>
        <w:t xml:space="preserve">by considering the impact categories of materials and land use change in the supply chain where appropriate.</w:t>
      </w:r>
      <w:r>
        <w:t xml:space="preserve"> </w:t>
      </w:r>
      <w:r>
        <w:t xml:space="preserve">However, specific land use change data for individual components was not provided for this illustrative report.</w:t>
      </w:r>
      <w:r>
        <w:t xml:space="preserve"> </w:t>
      </w:r>
      <w:r>
        <w:t xml:space="preserve">For a more granular LSR analysis, detailed agricultural or forestry raw material sourcing data would be required,</w:t>
      </w:r>
      <w:r>
        <w:t xml:space="preserve"> </w:t>
      </w:r>
      <w:r>
        <w:t xml:space="preserve">noting that the current LSR Standard v1.0 does not yet cover forestry emissions.</w:t>
      </w:r>
    </w:p>
    <w:bookmarkEnd w:id="50"/>
    <w:bookmarkStart w:id="51" w:name="recommendations"/>
    <w:p>
      <w:pPr>
        <w:pStyle w:val="Heading3"/>
      </w:pPr>
      <w:r>
        <w:t xml:space="preserve">5.4 Recommendations</w:t>
      </w:r>
    </w:p>
    <w:p>
      <w:pPr>
        <w:pStyle w:val="FirstParagraph"/>
      </w:pPr>
      <w:r>
        <w:t xml:space="preserve">To significantly reduce the carbon footprint of yspkfxugje, mdzhdgjuiu should focus on: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Energy Efficiency in Use:</w:t>
      </w:r>
      <w:r>
        <w:t xml:space="preserve"> </w:t>
      </w:r>
      <w:r>
        <w:t xml:space="preserve">Invest in R&amp;D for more energy-efficient product designs to reduce use-phase electricity consumption. Educate consumers on responsible energy use.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Material Optimization:</w:t>
      </w:r>
      <w:r>
        <w:t xml:space="preserve"> </w:t>
      </w:r>
      <w:r>
        <w:t xml:space="preserve">Explore alternative, lower-carbon materials, increase the percentage of recycled content, and engage with suppliers to reduce the embodied carbon of key components.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Renewable Energy Procurement:</w:t>
      </w:r>
      <w:r>
        <w:t xml:space="preserve"> </w:t>
      </w:r>
      <w:r>
        <w:t xml:space="preserve">Further increase the share of renewable energy used in production facilities, potentially targeting 100% renewable electricity.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Circular Economy Initiatives:</w:t>
      </w:r>
      <w:r>
        <w:t xml:space="preserve"> </w:t>
      </w:r>
      <w:r>
        <w:t xml:space="preserve">Strengthen take-back programs and explore product-as-a-service models to extend product lifespan and maximize material recovery.</w:t>
      </w:r>
    </w:p>
    <w:p>
      <w:pPr>
        <w:pStyle w:val="FirstParagraph"/>
      </w:pPr>
      <w:r>
        <w:t xml:space="preserve">Confidential - Internal Use Only | This report is subject to the disclaimer on the cover page.</w:t>
      </w:r>
    </w:p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Report for yspkfxugje</dc:title>
  <dc:creator/>
  <dc:description>Detailed Product Carbon Footprint (PCF) analysis for yspkfxugje by mdzhdgjuiu, following GHG Protocol standards.</dc:description>
  <dc:language>en</dc:language>
  <cp:keywords/>
  <dcterms:created xsi:type="dcterms:W3CDTF">2026-05-30T17:19:04Z</dcterms:created>
  <dcterms:modified xsi:type="dcterms:W3CDTF">2026-05-30T17:19:04Z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