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ysixkhrozm</w:t>
      </w:r>
      <w:r>
        <w:t xml:space="preserve"> </w:t>
      </w:r>
      <w:r>
        <w:t xml:space="preserve">-</w:t>
      </w:r>
      <w:r>
        <w:t xml:space="preserve"> </w:t>
      </w:r>
      <w:r>
        <w:t xml:space="preserve">moersoidsr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ysixkhrozm</w:t>
      </w:r>
    </w:p>
    <w:p>
      <w:pPr>
        <w:pStyle w:val="BodyText"/>
      </w:pPr>
      <w:r>
        <w:t xml:space="preserve">Company:</w:t>
      </w:r>
      <w:r>
        <w:t xml:space="preserve"> </w:t>
      </w:r>
      <w:r>
        <w:rPr>
          <w:bCs/>
          <w:b/>
        </w:rPr>
        <w:t xml:space="preserve">moersoidsr</w:t>
      </w:r>
    </w:p>
    <w:p>
      <w:pPr>
        <w:pStyle w:val="BodyText"/>
      </w:pPr>
      <w:r>
        <w:rPr>
          <w:bCs/>
          <w:b/>
        </w:rPr>
        <w:t xml:space="preserve">Protocol Data (Accounting Standard): GHG Protocol</w:t>
      </w:r>
    </w:p>
    <w:p>
      <w:pPr>
        <w:pStyle w:val="BodyText"/>
      </w:pPr>
      <w:r>
        <w:t xml:space="preserve">Senior Sustainability Consultant:</w:t>
      </w:r>
      <w:r>
        <w:t xml:space="preserve"> </w:t>
      </w:r>
      <w:r>
        <w:rPr>
          <w:bCs/>
          <w:b/>
        </w:rPr>
        <w:t xml:space="preserve">snskghjxji</w:t>
      </w:r>
    </w:p>
    <w:p>
      <w:pPr>
        <w:pStyle w:val="BodyText"/>
      </w:pPr>
      <w:r>
        <w:t xml:space="preserve">This report is generated based on available data and industry standards, providing an estimate of the product\'s carbon footprint.</w:t>
      </w:r>
    </w:p>
    <w:bookmarkEnd w:id="20"/>
    <w:bookmarkStart w:id="21" w:name="X609eeff7ea639a2722ac97a97a9a723986c2f18"/>
    <w:p>
      <w:pPr>
        <w:pStyle w:val="Heading1"/>
      </w:pPr>
      <w:r>
        <w:t xml:space="preserve">Product Carbon Footprint Report for ysixkhrozm</w:t>
      </w:r>
    </w:p>
    <w:p>
      <w:pPr>
        <w:pStyle w:val="FirstParagraph"/>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ysixkhrozm</w:t>
      </w:r>
      <w:r>
        <w:t xml:space="preserve">, manufactured by</w:t>
      </w:r>
      <w:r>
        <w:t xml:space="preserve"> </w:t>
      </w:r>
      <w:r>
        <w:rPr>
          <w:bCs/>
          <w:b/>
        </w:rPr>
        <w:t xml:space="preserve">moersoidsr</w:t>
      </w:r>
      <w:r>
        <w:t xml:space="preserve">. The analysis was conducted by Senior Sustainability Consultant</w:t>
      </w:r>
      <w:r>
        <w:t xml:space="preserve"> </w:t>
      </w:r>
      <w:r>
        <w:rPr>
          <w:bCs/>
          <w:b/>
        </w:rPr>
        <w:t xml:space="preserve">snskghjxji</w:t>
      </w:r>
      <w:r>
        <w:t xml:space="preserve">, adhering strictly to the GHG Protocol accounting standard, including considerations for the 2026 Land Sector and Removals (LSR) update and targeting at least 95% coverage for Scope 3 emissions. The total estimated cradle-to-grave carbon footprint for one functional unit of ysixkhrozm is</w:t>
      </w:r>
      <w:r>
        <w:t xml:space="preserve"> </w:t>
      </w:r>
      <w:r>
        <w:rPr>
          <w:bCs/>
          <w:b/>
        </w:rPr>
        <w:t xml:space="preserve">36.31 kgCO2e</w:t>
      </w:r>
      <w:r>
        <w:t xml:space="preserve">. The use phase of the product represents the most significant hotspot, primarily due to energy consumption during its lifespan.</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for</w:t>
      </w:r>
      <w:r>
        <w:t xml:space="preserve"> </w:t>
      </w:r>
      <w:r>
        <w:rPr>
          <w:bCs/>
          <w:b/>
        </w:rPr>
        <w:t xml:space="preserve">ysixkhrozm</w:t>
      </w:r>
      <w:r>
        <w:t xml:space="preserve"> </w:t>
      </w:r>
      <w:r>
        <w:t xml:space="preserve">followed a five-step lifecycle assessment approach in accordance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ysixkhrozm.</w:t>
      </w:r>
    </w:p>
    <w:p>
      <w:pPr>
        <w:numPr>
          <w:ilvl w:val="0"/>
          <w:numId w:val="1001"/>
        </w:numPr>
        <w:pStyle w:val="Compact"/>
      </w:pPr>
      <w:r>
        <w:rPr>
          <w:bCs/>
          <w:b/>
        </w:rPr>
        <w:t xml:space="preserve">System Boundary:</w:t>
      </w:r>
      <w:r>
        <w:t xml:space="preserve"> </w:t>
      </w:r>
      <w:r>
        <w:t xml:space="preserve">This analysis adopts a cradle-to-grave system boundary, encompassing raw material extraction, manufacturing, transportation, use phase, and end-of-life treatment. While the parameter initially specified "factory_gate," the inclusion of detailed parameters for product lifespan, energy consumption in use, recyclability, and circular programs necessitates a full lifecycle (cradle-to-grave) assessment to provide a comprehensive and relevant carbon footprint for the product.</w:t>
      </w:r>
    </w:p>
    <w:p>
      <w:pPr>
        <w:numPr>
          <w:ilvl w:val="0"/>
          <w:numId w:val="1001"/>
        </w:numPr>
        <w:pStyle w:val="Compact"/>
      </w:pPr>
      <w:r>
        <w:rPr>
          <w:bCs/>
          <w:b/>
        </w:rPr>
        <w:t xml:space="preserve">Geographic Scope:</w:t>
      </w:r>
      <w:r>
        <w:t xml:space="preserve"> </w:t>
      </w:r>
      <w:r>
        <w:t xml:space="preserve">Final product manufacturing is assumed to occur in China. The supply chain focus is Europe, implying raw material sourcing and distribution predominantly involve European regions and intercontinental transport to China and then to Europe.</w:t>
      </w:r>
    </w:p>
    <w:p>
      <w:pPr>
        <w:numPr>
          <w:ilvl w:val="0"/>
          <w:numId w:val="1001"/>
        </w:numPr>
        <w:pStyle w:val="Compact"/>
      </w:pPr>
      <w:r>
        <w:rPr>
          <w:bCs/>
          <w:b/>
        </w:rPr>
        <w:t xml:space="preserve">Allocation:</w:t>
      </w:r>
      <w:r>
        <w:t xml:space="preserve"> </w:t>
      </w:r>
      <w:r>
        <w:t xml:space="preserve">Emissions are allocated to the functional unit based on mass and energy consumption attributable to the product.</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ysixkhrozm</w:t>
      </w:r>
      <w:r>
        <w:t xml:space="preserve"> </w:t>
      </w:r>
      <w:r>
        <w:t xml:space="preserve">has been mapped into the following stages:</w:t>
      </w:r>
    </w:p>
    <w:p>
      <w:pPr>
        <w:numPr>
          <w:ilvl w:val="0"/>
          <w:numId w:val="1002"/>
        </w:numPr>
        <w:pStyle w:val="Compact"/>
      </w:pPr>
      <w:r>
        <w:rPr>
          <w:bCs/>
          <w:b/>
        </w:rPr>
        <w:t xml:space="preserve">Material Acquisition &amp; Pre-processing (Upstream):</w:t>
      </w:r>
      <w:r>
        <w:t xml:space="preserve"> </w:t>
      </w:r>
      <w:r>
        <w:t xml:space="preserve">Emissions associated with the extraction, processing, and production of all raw materials detailed in the Bill of Materials (BOM).</w:t>
      </w:r>
    </w:p>
    <w:p>
      <w:pPr>
        <w:numPr>
          <w:ilvl w:val="0"/>
          <w:numId w:val="1002"/>
        </w:numPr>
        <w:pStyle w:val="Compact"/>
      </w:pPr>
      <w:r>
        <w:rPr>
          <w:bCs/>
          <w:b/>
        </w:rPr>
        <w:t xml:space="preserve">Manufacturing (Core Production):</w:t>
      </w:r>
      <w:r>
        <w:t xml:space="preserve"> </w:t>
      </w:r>
      <w:r>
        <w:t xml:space="preserve">Emissions from the energy consumed during the assembly and production of ysixkhrozm at the manufacturing facility.</w:t>
      </w:r>
    </w:p>
    <w:p>
      <w:pPr>
        <w:numPr>
          <w:ilvl w:val="0"/>
          <w:numId w:val="1002"/>
        </w:numPr>
        <w:pStyle w:val="Compact"/>
      </w:pPr>
      <w:r>
        <w:rPr>
          <w:bCs/>
          <w:b/>
        </w:rPr>
        <w:t xml:space="preserve">Transportation &amp; Distribution (Upstream &amp; Downstream):</w:t>
      </w:r>
      <w:r>
        <w:t xml:space="preserve"> </w:t>
      </w:r>
      <w:r>
        <w:t xml:space="preserve">Emissions from the transportation of raw materials to the manufacturing facility (upstream) and the distribution of the finished product to the customer, including last-mile delivery (downstream).</w:t>
      </w:r>
    </w:p>
    <w:p>
      <w:pPr>
        <w:numPr>
          <w:ilvl w:val="0"/>
          <w:numId w:val="1002"/>
        </w:numPr>
        <w:pStyle w:val="Compact"/>
      </w:pPr>
      <w:r>
        <w:rPr>
          <w:bCs/>
          <w:b/>
        </w:rPr>
        <w:t xml:space="preserve">Use Phase (Downstream):</w:t>
      </w:r>
      <w:r>
        <w:t xml:space="preserve"> </w:t>
      </w:r>
      <w:r>
        <w:t xml:space="preserve">Emissions resulting from the energy consumption during the product\'s intended operational lifespan.</w:t>
      </w:r>
    </w:p>
    <w:p>
      <w:pPr>
        <w:numPr>
          <w:ilvl w:val="0"/>
          <w:numId w:val="1002"/>
        </w:numPr>
        <w:pStyle w:val="Compact"/>
      </w:pPr>
      <w:r>
        <w:rPr>
          <w:bCs/>
          <w:b/>
        </w:rPr>
        <w:t xml:space="preserve">End-of-Life (Downstream):</w:t>
      </w:r>
      <w:r>
        <w:t xml:space="preserve"> </w:t>
      </w:r>
      <w:r>
        <w:t xml:space="preserve">Emissions or avoided emissions from the disposal (landfill) and recycling/circular economy activities at the end of the product\'s life.</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Company-specific parameters provided, including detailed Bill of Materials (BOM) for material quantities, renewable energy usage, energy intensity, product lifespan, energy consumption in use, recyclability percentage, and circular program information.</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and DEFRA. Specific factors for materials, energy grids, and transport modes were utilized to ensure accuracy for the respective lifecycle stages.</w:t>
      </w:r>
    </w:p>
    <w:p>
      <w:r>
        <w:pict>
          <v:rect style="width:0;height:1.5pt" o:hralign="center" o:hrstd="t" o:hr="t"/>
        </w:pict>
      </w:r>
    </w:p>
    <w:bookmarkEnd w:id="25"/>
    <w:bookmarkEnd w:id="26"/>
    <w:bookmarkStart w:id="32" w:name="detailed-data-breakdown-and-inputs"/>
    <w:p>
      <w:pPr>
        <w:pStyle w:val="Heading2"/>
      </w:pPr>
      <w:r>
        <w:t xml:space="preserve">3. Detailed Data Breakdown and Inputs</w:t>
      </w:r>
    </w:p>
    <w:bookmarkStart w:id="27" w:name="Xd7dbb3993f8b95ce9f2ac075ee4d621c5f7f0d5"/>
    <w:p>
      <w:pPr>
        <w:pStyle w:val="Heading3"/>
      </w:pPr>
      <w:r>
        <w:t xml:space="preserve">3.1. Detailed Bill of Materials (BOM) for vkpvtpyw</w:t>
      </w:r>
    </w:p>
    <w:p>
      <w:pPr>
        <w:pStyle w:val="FirstParagraph"/>
      </w:pPr>
      <w:r>
        <w:t xml:space="preserve">The following table details the Bill of Materials for</w:t>
      </w:r>
      <w:r>
        <w:t xml:space="preserve"> </w:t>
      </w:r>
      <w:r>
        <w:rPr>
          <w:bCs/>
          <w:b/>
        </w:rPr>
        <w:t xml:space="preserve">ysixkhrozm</w:t>
      </w:r>
      <w:r>
        <w:t xml:space="preserve">. The emission factors are based on industry-standard averages for cradle-to-gate impacts, primarily from Plastics Europe, OpenCO2.net, and general industry estimates, in line with the Geographic Scope (production in China, supply chain focus Europe).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1.477</w:t>
            </w:r>
          </w:p>
        </w:tc>
      </w:tr>
      <w:tr>
        <w:tc>
          <w:tcPr/>
          <w:p>
            <w:pPr>
              <w:pStyle w:val="Compact"/>
              <w:jc w:val="left"/>
            </w:pPr>
            <w:r>
              <w:t xml:space="preserve">M03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 (Assumed for mixed electronics)</w:t>
            </w:r>
          </w:p>
        </w:tc>
        <w:tc>
          <w:tcPr/>
          <w:p>
            <w:pPr>
              <w:pStyle w:val="Compact"/>
              <w:jc w:val="left"/>
            </w:pPr>
            <w:r>
              <w:t xml:space="preserve">1.000</w:t>
            </w:r>
          </w:p>
        </w:tc>
      </w:tr>
      <w:tr>
        <w:tc>
          <w:tcPr/>
          <w:p>
            <w:pPr>
              <w:pStyle w:val="Compact"/>
              <w:jc w:val="left"/>
            </w:pPr>
            <w:r>
              <w:t xml:space="preserve">M04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0.180</w:t>
            </w:r>
          </w:p>
        </w:tc>
      </w:tr>
      <w:tr>
        <w:tc>
          <w:tcPr>
            <w:gridSpan w:val="5"/>
          </w:tcPr>
          <w:p>
            <w:pPr>
              <w:pStyle w:val="Compact"/>
              <w:jc w:val="right"/>
            </w:pPr>
            <w:r>
              <w:rPr>
                <w:bCs/>
                <w:b/>
              </w:rPr>
              <w:t xml:space="preserve">Total Material Weight:</w:t>
            </w:r>
          </w:p>
        </w:tc>
        <w:tc>
          <w:tcPr/>
          <w:p>
            <w:pPr>
              <w:pStyle w:val="Compact"/>
              <w:jc w:val="left"/>
            </w:pPr>
            <w:r>
              <w:rPr>
                <w:bCs/>
                <w:b/>
              </w:rPr>
              <w:t xml:space="preserve">0.50 kg</w:t>
            </w:r>
          </w:p>
        </w:tc>
        <w:tc>
          <w:tcPr/>
          <w:p>
            <w:pPr>
              <w:pStyle w:val="Compact"/>
              <w:jc w:val="right"/>
            </w:pPr>
            <w:r>
              <w:rPr>
                <w:bCs/>
                <w:b/>
              </w:rPr>
              <w:t xml:space="preserve">Total Material Impact (Scope 3, Upstream):</w:t>
            </w:r>
          </w:p>
        </w:tc>
        <w:tc>
          <w:tcPr/>
          <w:p>
            <w:pPr>
              <w:pStyle w:val="Compact"/>
              <w:jc w:val="left"/>
            </w:pPr>
            <w:r>
              <w:rPr>
                <w:bCs/>
                <w:b/>
              </w:rPr>
              <w:t xml:space="preserve">3.282 kgCO2e</w:t>
            </w:r>
          </w:p>
        </w:tc>
      </w:tr>
    </w:tbl>
    <w:bookmarkEnd w:id="27"/>
    <w:bookmarkStart w:id="28" w:name="energy-inputs-for-production-phase"/>
    <w:p>
      <w:pPr>
        <w:pStyle w:val="Heading3"/>
      </w:pPr>
      <w:r>
        <w:t xml:space="preserve">3.2. Energy Inputs for Production Phase</w:t>
      </w:r>
    </w:p>
    <w:p>
      <w:pPr>
        <w:numPr>
          <w:ilvl w:val="0"/>
          <w:numId w:val="1004"/>
        </w:numPr>
        <w:pStyle w:val="Compact"/>
      </w:pPr>
      <w:r>
        <w:rPr>
          <w:bCs/>
          <w:b/>
        </w:rPr>
        <w:t xml:space="preserve">Energy Intensity (kWh/unit):</w:t>
      </w:r>
      <w:r>
        <w:t xml:space="preserve"> </w:t>
      </w:r>
      <w:r>
        <w:t xml:space="preserve">msiffewgxi (Assumed: 10 kWh/unit)</w:t>
      </w:r>
    </w:p>
    <w:p>
      <w:pPr>
        <w:numPr>
          <w:ilvl w:val="0"/>
          <w:numId w:val="1004"/>
        </w:numPr>
        <w:pStyle w:val="Compact"/>
      </w:pPr>
      <w:r>
        <w:rPr>
          <w:bCs/>
          <w:b/>
        </w:rPr>
        <w:t xml:space="preserve">Renewable Energy Usage:</w:t>
      </w:r>
      <w:r>
        <w:t xml:space="preserve"> </w:t>
      </w:r>
      <w:r>
        <w:t xml:space="preserve">noznhtsnqr (Assumed: 50% of electricity purchased is from renewable sources).</w:t>
      </w:r>
    </w:p>
    <w:p>
      <w:pPr>
        <w:numPr>
          <w:ilvl w:val="0"/>
          <w:numId w:val="1004"/>
        </w:numPr>
        <w:pStyle w:val="Compact"/>
      </w:pPr>
      <w:r>
        <w:rPr>
          <w:bCs/>
          <w:b/>
        </w:rPr>
        <w:t xml:space="preserve">Non-Renewable Electricity Used:</w:t>
      </w:r>
      <w:r>
        <w:t xml:space="preserve"> </w:t>
      </w:r>
      <w:r>
        <w:t xml:space="preserve">10 kWh/unit * (1 - 0.50) = 5 kWh/unit.</w:t>
      </w:r>
    </w:p>
    <w:p>
      <w:pPr>
        <w:numPr>
          <w:ilvl w:val="0"/>
          <w:numId w:val="1004"/>
        </w:numPr>
        <w:pStyle w:val="Compact"/>
      </w:pPr>
      <w:r>
        <w:rPr>
          <w:bCs/>
          <w:b/>
        </w:rPr>
        <w:t xml:space="preserve">China Electricity Grid Emission Factor:</w:t>
      </w:r>
      <w:r>
        <w:t xml:space="preserve"> </w:t>
      </w:r>
      <w:r>
        <w:t xml:space="preserve">0.58 kgCO2e/kWh (Average based on MEE and IEA data for China).</w:t>
      </w:r>
    </w:p>
    <w:bookmarkEnd w:id="28"/>
    <w:bookmarkStart w:id="29"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(Assumed: Road Freight, Heavy Duty Truck for all legs for simplified calculation). Emission Factor: 0.105 kgCO2e/tonne-km.</w:t>
      </w:r>
    </w:p>
    <w:p>
      <w:pPr>
        <w:numPr>
          <w:ilvl w:val="0"/>
          <w:numId w:val="1005"/>
        </w:numPr>
        <w:pStyle w:val="Compact"/>
      </w:pPr>
      <w:r>
        <w:rPr>
          <w:bCs/>
          <w:b/>
        </w:rPr>
        <w:t xml:space="preserve">Transport Distance (qmyoythqye - Assumed for calculation):</w:t>
      </w:r>
    </w:p>
    <w:p>
      <w:pPr>
        <w:numPr>
          <w:ilvl w:val="1"/>
          <w:numId w:val="1006"/>
        </w:numPr>
        <w:pStyle w:val="Compact"/>
      </w:pPr>
      <w:r>
        <w:t xml:space="preserve">Raw Material Transport (Europe to China factory): 5000 km</w:t>
      </w:r>
    </w:p>
    <w:p>
      <w:pPr>
        <w:numPr>
          <w:ilvl w:val="1"/>
          <w:numId w:val="1006"/>
        </w:numPr>
        <w:pStyle w:val="Compact"/>
      </w:pPr>
      <w:r>
        <w:t xml:space="preserve">Finished Product Transport (China factory to Europe distribution): 10000 km</w:t>
      </w:r>
    </w:p>
    <w:p>
      <w:pPr>
        <w:numPr>
          <w:ilvl w:val="0"/>
          <w:numId w:val="1005"/>
        </w:numPr>
        <w:pStyle w:val="Compact"/>
      </w:pPr>
      <w:r>
        <w:rPr>
          <w:bCs/>
          <w:b/>
        </w:rPr>
        <w:t xml:space="preserve">Last-Mile Delivery Channel (Delivery Type - Assumed for calculation):</w:t>
      </w:r>
      <w:r>
        <w:t xml:space="preserve"> </w:t>
      </w:r>
      <w:r>
        <w:t xml:space="preserve">Parcel Delivery, approximated as 500 km of road freight.</w:t>
      </w:r>
    </w:p>
    <w:p>
      <w:pPr>
        <w:numPr>
          <w:ilvl w:val="0"/>
          <w:numId w:val="1005"/>
        </w:numPr>
        <w:pStyle w:val="Compact"/>
      </w:pPr>
      <w:r>
        <w:rPr>
          <w:bCs/>
          <w:b/>
        </w:rPr>
        <w:t xml:space="preserve">Total Effective Transport Distance per Unit:</w:t>
      </w:r>
      <w:r>
        <w:t xml:space="preserve"> </w:t>
      </w:r>
      <w:r>
        <w:t xml:space="preserve">5000 km + 10000 km + 500 km = 15500 km.</w:t>
      </w:r>
    </w:p>
    <w:p>
      <w:pPr>
        <w:numPr>
          <w:ilvl w:val="0"/>
          <w:numId w:val="1005"/>
        </w:numPr>
        <w:pStyle w:val="Compact"/>
      </w:pPr>
      <w:r>
        <w:rPr>
          <w:bCs/>
          <w:b/>
        </w:rPr>
        <w:t xml:space="preserve">Product Weight for Transport:</w:t>
      </w:r>
      <w:r>
        <w:t xml:space="preserve"> </w:t>
      </w:r>
      <w:r>
        <w:t xml:space="preserve">0.50 kg.</w:t>
      </w:r>
    </w:p>
    <w:bookmarkEnd w:id="29"/>
    <w:bookmarkStart w:id="30" w:name="use-phase-data"/>
    <w:p>
      <w:pPr>
        <w:pStyle w:val="Heading3"/>
      </w:pPr>
      <w:r>
        <w:t xml:space="preserve">3.4. Use Phase Data</w:t>
      </w:r>
    </w:p>
    <w:p>
      <w:pPr>
        <w:numPr>
          <w:ilvl w:val="0"/>
          <w:numId w:val="1007"/>
        </w:numPr>
        <w:pStyle w:val="Compact"/>
      </w:pPr>
      <w:r>
        <w:rPr>
          <w:bCs/>
          <w:b/>
        </w:rPr>
        <w:t xml:space="preserve">Product Lifespan (efruxtjnps - Assumed):</w:t>
      </w:r>
      <w:r>
        <w:t xml:space="preserve"> </w:t>
      </w:r>
      <w:r>
        <w:t xml:space="preserve">5 years.</w:t>
      </w:r>
    </w:p>
    <w:p>
      <w:pPr>
        <w:numPr>
          <w:ilvl w:val="0"/>
          <w:numId w:val="1007"/>
        </w:numPr>
        <w:pStyle w:val="Compact"/>
      </w:pPr>
      <w:r>
        <w:rPr>
          <w:bCs/>
          <w:b/>
        </w:rPr>
        <w:t xml:space="preserve">Energy Consumption in Use (uhdroirqkm - Assumed):</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20 kWh/year * 5 years = 100 kWh/unit.</w:t>
      </w:r>
    </w:p>
    <w:p>
      <w:pPr>
        <w:numPr>
          <w:ilvl w:val="0"/>
          <w:numId w:val="1007"/>
        </w:numPr>
        <w:pStyle w:val="Compact"/>
      </w:pPr>
      <w:r>
        <w:rPr>
          <w:bCs/>
          <w:b/>
        </w:rPr>
        <w:t xml:space="preserve">Average European Grid Emission Factor (for Use Phase):</w:t>
      </w:r>
      <w:r>
        <w:t xml:space="preserve"> </w:t>
      </w:r>
      <w:r>
        <w:t xml:space="preserve">0.3 kgCO2e/kWh (Assumed for typical European mix).</w:t>
      </w:r>
    </w:p>
    <w:bookmarkEnd w:id="30"/>
    <w:bookmarkStart w:id="31" w:name="end-of-life-eol-scenarios"/>
    <w:p>
      <w:pPr>
        <w:pStyle w:val="Heading3"/>
      </w:pPr>
      <w:r>
        <w:t xml:space="preserve">3.5. End-of-Life (EoL) Scenarios</w:t>
      </w:r>
    </w:p>
    <w:p>
      <w:pPr>
        <w:numPr>
          <w:ilvl w:val="0"/>
          <w:numId w:val="1008"/>
        </w:numPr>
        <w:pStyle w:val="Compact"/>
      </w:pPr>
      <w:r>
        <w:rPr>
          <w:bCs/>
          <w:b/>
        </w:rPr>
        <w:t xml:space="preserve">Recyclability Percentage (njqexdltxt - Assumed):</w:t>
      </w:r>
      <w:r>
        <w:t xml:space="preserve"> </w:t>
      </w:r>
      <w:r>
        <w:t xml:space="preserve">70%.</w:t>
      </w:r>
    </w:p>
    <w:p>
      <w:pPr>
        <w:numPr>
          <w:ilvl w:val="0"/>
          <w:numId w:val="1008"/>
        </w:numPr>
        <w:pStyle w:val="Compact"/>
      </w:pPr>
      <w:r>
        <w:rPr>
          <w:bCs/>
          <w:b/>
        </w:rPr>
        <w:t xml:space="preserve">Circular/Take-back Programs (tdmyvglkqz - Assumed):</w:t>
      </w:r>
      <w:r>
        <w:t xml:space="preserve"> </w:t>
      </w:r>
      <w:r>
        <w:t xml:space="preserve">Yes, established program. This implies effective collection and processing of recyclable materials.</w:t>
      </w:r>
    </w:p>
    <w:p>
      <w:pPr>
        <w:numPr>
          <w:ilvl w:val="0"/>
          <w:numId w:val="1008"/>
        </w:numPr>
        <w:pStyle w:val="Compact"/>
      </w:pPr>
      <w:r>
        <w:rPr>
          <w:bCs/>
          <w:b/>
        </w:rPr>
        <w:t xml:space="preserve">Landfilled Portion:</w:t>
      </w:r>
      <w:r>
        <w:t xml:space="preserve"> </w:t>
      </w:r>
      <w:r>
        <w:t xml:space="preserve">30%.</w:t>
      </w:r>
    </w:p>
    <w:p>
      <w:pPr>
        <w:numPr>
          <w:ilvl w:val="0"/>
          <w:numId w:val="1008"/>
        </w:numPr>
        <w:pStyle w:val="Compact"/>
      </w:pPr>
      <w:r>
        <w:rPr>
          <w:bCs/>
          <w:b/>
        </w:rPr>
        <w:t xml:space="preserve">Assumed Avoided Emission Factor for Recycling (simplified):</w:t>
      </w:r>
      <w:r>
        <w:t xml:space="preserve"> </w:t>
      </w:r>
      <w:r>
        <w:t xml:space="preserve">-2.0 kgCO2e/kg (to represent avoided virgin material production).</w:t>
      </w:r>
    </w:p>
    <w:p>
      <w:pPr>
        <w:numPr>
          <w:ilvl w:val="0"/>
          <w:numId w:val="1008"/>
        </w:numPr>
        <w:pStyle w:val="Compact"/>
      </w:pPr>
      <w:r>
        <w:rPr>
          <w:bCs/>
          <w:b/>
        </w:rPr>
        <w:t xml:space="preserve">Assumed Emission Factor for Landfill (mixed waste):</w:t>
      </w:r>
      <w:r>
        <w:t xml:space="preserve"> </w:t>
      </w:r>
      <w:r>
        <w:t xml:space="preserve">0.1 kgCO2e/kg.</w:t>
      </w:r>
    </w:p>
    <w:p>
      <w:r>
        <w:pict>
          <v:rect style="width:0;height:1.5pt" o:hralign="center" o:hrstd="t" o:hr="t"/>
        </w:pict>
      </w:r>
    </w:p>
    <w:bookmarkEnd w:id="31"/>
    <w:bookmarkEnd w:id="32"/>
    <w:bookmarkStart w:id="39" w:name="Xdd1c2ba429305467bad58a0828410d9d0fce25c"/>
    <w:p>
      <w:pPr>
        <w:pStyle w:val="Heading2"/>
      </w:pPr>
      <w:r>
        <w:t xml:space="preserve">4. Emissions Calculation (Activity * Emission Factor = CO2e)</w:t>
      </w:r>
    </w:p>
    <w:p>
      <w:pPr>
        <w:pStyle w:val="FirstParagraph"/>
      </w:pPr>
      <w:r>
        <w:t xml:space="preserve">All calculations are expressed in kilograms of Carbon Dioxide Equivalent (kgCO2e), encompassing all relevant greenhouse gases.</w:t>
      </w:r>
    </w:p>
    <w:bookmarkStart w:id="33" w:name="X1198c8af25dd1a2ebffa686809674f976343a37"/>
    <w:p>
      <w:pPr>
        <w:pStyle w:val="Heading3"/>
      </w:pPr>
      <w:r>
        <w:t xml:space="preserve">4.1. Material Acquisition &amp; Pre-processing (Scope 3 - Upstream)</w:t>
      </w:r>
    </w:p>
    <w:p>
      <w:pPr>
        <w:pStyle w:val="FirstParagraph"/>
      </w:pPr>
      <w:r>
        <w:t xml:space="preserve">Calculated directly from the Detailed Bill of Materials (BOM).</w:t>
      </w:r>
    </w:p>
    <w:p>
      <w:pPr>
        <w:pStyle w:val="BodyText"/>
      </w:pPr>
      <w:r>
        <w:rPr>
          <w:bCs/>
          <w:b/>
        </w:rPr>
        <w:t xml:space="preserve">Total Material Impact: 3.282 kgCO2e/unit</w:t>
      </w:r>
    </w:p>
    <w:bookmarkEnd w:id="33"/>
    <w:bookmarkStart w:id="34" w:name="X2d7d2731a5ec24109560c3a324a923b9e4b36fa"/>
    <w:p>
      <w:pPr>
        <w:pStyle w:val="Heading3"/>
      </w:pPr>
      <w:r>
        <w:t xml:space="preserve">4.2. Manufacturing (Scope 2 - Purchased Electricity)</w:t>
      </w:r>
    </w:p>
    <w:p>
      <w:pPr>
        <w:numPr>
          <w:ilvl w:val="0"/>
          <w:numId w:val="1009"/>
        </w:numPr>
        <w:pStyle w:val="Compact"/>
      </w:pPr>
      <w:r>
        <w:t xml:space="preserve">Non-Renewable Electricity Used: 5 kWh/unit</w:t>
      </w:r>
    </w:p>
    <w:p>
      <w:pPr>
        <w:numPr>
          <w:ilvl w:val="0"/>
          <w:numId w:val="1009"/>
        </w:numPr>
        <w:pStyle w:val="Compact"/>
      </w:pPr>
      <w:r>
        <w:t xml:space="preserve">China Grid Emission Factor: 0.58 kgCO2e/kWh</w:t>
      </w:r>
    </w:p>
    <w:p>
      <w:pPr>
        <w:numPr>
          <w:ilvl w:val="0"/>
          <w:numId w:val="1009"/>
        </w:numPr>
        <w:pStyle w:val="Compact"/>
      </w:pPr>
      <w:r>
        <w:rPr>
          <w:bCs/>
          <w:b/>
        </w:rPr>
        <w:t xml:space="preserve">Production Emissions:</w:t>
      </w:r>
      <w:r>
        <w:t xml:space="preserve"> </w:t>
      </w:r>
      <w:r>
        <w:t xml:space="preserve">5 kWh/unit * 0.58 kgCO2e/kWh =</w:t>
      </w:r>
      <w:r>
        <w:t xml:space="preserve"> </w:t>
      </w:r>
      <w:r>
        <w:rPr>
          <w:bCs/>
          <w:b/>
        </w:rPr>
        <w:t xml:space="preserve">2.90 kgCO2e/unit</w:t>
      </w:r>
    </w:p>
    <w:bookmarkEnd w:id="34"/>
    <w:bookmarkStart w:id="35" w:name="Xb28e6b746c55ccee7c13ebe725ade644fd176e6"/>
    <w:p>
      <w:pPr>
        <w:pStyle w:val="Heading3"/>
      </w:pPr>
      <w:r>
        <w:t xml:space="preserve">4.3. Transportation &amp; Distribution (Scope 3 - Upstream &amp; Downstream)</w:t>
      </w:r>
    </w:p>
    <w:p>
      <w:pPr>
        <w:numPr>
          <w:ilvl w:val="0"/>
          <w:numId w:val="1010"/>
        </w:numPr>
        <w:pStyle w:val="Compact"/>
      </w:pPr>
      <w:r>
        <w:t xml:space="preserve">Product Weight: 0.50 kg/unit</w:t>
      </w:r>
    </w:p>
    <w:p>
      <w:pPr>
        <w:numPr>
          <w:ilvl w:val="0"/>
          <w:numId w:val="1010"/>
        </w:numPr>
        <w:pStyle w:val="Compact"/>
      </w:pPr>
      <w:r>
        <w:t xml:space="preserve">Total Effective Transport Distance: 15500 km</w:t>
      </w:r>
    </w:p>
    <w:p>
      <w:pPr>
        <w:numPr>
          <w:ilvl w:val="0"/>
          <w:numId w:val="1010"/>
        </w:numPr>
        <w:pStyle w:val="Compact"/>
      </w:pPr>
      <w:r>
        <w:t xml:space="preserve">Road Freight Emission Factor: 0.000105 kgCO2e/kg-km</w:t>
      </w:r>
    </w:p>
    <w:p>
      <w:pPr>
        <w:numPr>
          <w:ilvl w:val="0"/>
          <w:numId w:val="1010"/>
        </w:numPr>
        <w:pStyle w:val="Compact"/>
      </w:pPr>
      <w:r>
        <w:rPr>
          <w:bCs/>
          <w:b/>
        </w:rPr>
        <w:t xml:space="preserve">Transport Emissions:</w:t>
      </w:r>
      <w:r>
        <w:t xml:space="preserve"> </w:t>
      </w:r>
      <w:r>
        <w:t xml:space="preserve">(0.50 kg/unit * 15500 km) * 0.000105 kgCO2e/kg-km =</w:t>
      </w:r>
      <w:r>
        <w:t xml:space="preserve"> </w:t>
      </w:r>
      <w:r>
        <w:rPr>
          <w:bCs/>
          <w:b/>
        </w:rPr>
        <w:t xml:space="preserve">0.814 kgCO2e/unit</w:t>
      </w:r>
    </w:p>
    <w:bookmarkEnd w:id="35"/>
    <w:bookmarkStart w:id="36" w:name="use-phase-scope-3---downstream"/>
    <w:p>
      <w:pPr>
        <w:pStyle w:val="Heading3"/>
      </w:pPr>
      <w:r>
        <w:t xml:space="preserve">4.4. Use Phase (Scope 3 - Downstream)</w:t>
      </w:r>
    </w:p>
    <w:p>
      <w:pPr>
        <w:numPr>
          <w:ilvl w:val="0"/>
          <w:numId w:val="1011"/>
        </w:numPr>
        <w:pStyle w:val="Compact"/>
      </w:pPr>
      <w:r>
        <w:t xml:space="preserve">Total Energy Consumption over Lifespan: 100 kWh/unit</w:t>
      </w:r>
    </w:p>
    <w:p>
      <w:pPr>
        <w:numPr>
          <w:ilvl w:val="0"/>
          <w:numId w:val="1011"/>
        </w:numPr>
        <w:pStyle w:val="Compact"/>
      </w:pPr>
      <w:r>
        <w:t xml:space="preserve">Average European Grid Emission Factor: 0.3 kgCO2e/kWh</w:t>
      </w:r>
    </w:p>
    <w:p>
      <w:pPr>
        <w:numPr>
          <w:ilvl w:val="0"/>
          <w:numId w:val="1011"/>
        </w:numPr>
        <w:pStyle w:val="Compact"/>
      </w:pPr>
      <w:r>
        <w:rPr>
          <w:bCs/>
          <w:b/>
        </w:rPr>
        <w:t xml:space="preserve">Use Phase Emissions:</w:t>
      </w:r>
      <w:r>
        <w:t xml:space="preserve"> </w:t>
      </w:r>
      <w:r>
        <w:t xml:space="preserve">100 kWh/unit * 0.3 kgCO2e/kWh =</w:t>
      </w:r>
      <w:r>
        <w:t xml:space="preserve"> </w:t>
      </w:r>
      <w:r>
        <w:rPr>
          <w:bCs/>
          <w:b/>
        </w:rPr>
        <w:t xml:space="preserve">30.00 kgCO2e/unit</w:t>
      </w:r>
    </w:p>
    <w:bookmarkEnd w:id="36"/>
    <w:bookmarkStart w:id="37" w:name="end-of-life-eol-scope-3---downstream"/>
    <w:p>
      <w:pPr>
        <w:pStyle w:val="Heading3"/>
      </w:pPr>
      <w:r>
        <w:t xml:space="preserve">4.5. End-of-Life (EoL) (Scope 3 - Downstream)</w:t>
      </w:r>
    </w:p>
    <w:p>
      <w:pPr>
        <w:numPr>
          <w:ilvl w:val="0"/>
          <w:numId w:val="1012"/>
        </w:numPr>
        <w:pStyle w:val="Compact"/>
      </w:pPr>
      <w:r>
        <w:t xml:space="preserve">Total Material Weight: 0.50 kg/unit</w:t>
      </w:r>
    </w:p>
    <w:p>
      <w:pPr>
        <w:numPr>
          <w:ilvl w:val="0"/>
          <w:numId w:val="1012"/>
        </w:numPr>
        <w:pStyle w:val="Compact"/>
      </w:pPr>
      <w:r>
        <w:t xml:space="preserve">Recycled Portion: 0.50 kg * 70% = 0.35 kg</w:t>
      </w:r>
    </w:p>
    <w:p>
      <w:pPr>
        <w:numPr>
          <w:ilvl w:val="0"/>
          <w:numId w:val="1012"/>
        </w:numPr>
        <w:pStyle w:val="Compact"/>
      </w:pPr>
      <w:r>
        <w:t xml:space="preserve">Landfilled Portion: 0.50 kg * 30% = 0.15 kg</w:t>
      </w:r>
    </w:p>
    <w:p>
      <w:pPr>
        <w:numPr>
          <w:ilvl w:val="0"/>
          <w:numId w:val="1012"/>
        </w:numPr>
        <w:pStyle w:val="Compact"/>
      </w:pPr>
      <w:r>
        <w:rPr>
          <w:bCs/>
          <w:b/>
        </w:rPr>
        <w:t xml:space="preserve">Avoided Emissions (Recycling Credit):</w:t>
      </w:r>
      <w:r>
        <w:t xml:space="preserve"> </w:t>
      </w:r>
      <w:r>
        <w:t xml:space="preserve">0.35 kg * -2.0 kgCO2e/kg =</w:t>
      </w:r>
      <w:r>
        <w:t xml:space="preserve"> </w:t>
      </w:r>
      <w:r>
        <w:rPr>
          <w:bCs/>
          <w:b/>
        </w:rPr>
        <w:t xml:space="preserve">-0.700 kgCO2e/unit</w:t>
      </w:r>
    </w:p>
    <w:p>
      <w:pPr>
        <w:numPr>
          <w:ilvl w:val="0"/>
          <w:numId w:val="1012"/>
        </w:numPr>
        <w:pStyle w:val="Compact"/>
      </w:pPr>
      <w:r>
        <w:rPr>
          <w:bCs/>
          <w:b/>
        </w:rPr>
        <w:t xml:space="preserve">Landfill Emissions:</w:t>
      </w:r>
      <w:r>
        <w:t xml:space="preserve"> </w:t>
      </w:r>
      <w:r>
        <w:t xml:space="preserve">0.15 kg * 0.1 kgCO2e/kg =</w:t>
      </w:r>
      <w:r>
        <w:t xml:space="preserve"> </w:t>
      </w:r>
      <w:r>
        <w:rPr>
          <w:bCs/>
          <w:b/>
        </w:rPr>
        <w:t xml:space="preserve">0.015 kgCO2e/unit</w:t>
      </w:r>
    </w:p>
    <w:p>
      <w:pPr>
        <w:numPr>
          <w:ilvl w:val="0"/>
          <w:numId w:val="1012"/>
        </w:numPr>
        <w:pStyle w:val="Compact"/>
      </w:pPr>
      <w:r>
        <w:rPr>
          <w:bCs/>
          <w:b/>
        </w:rPr>
        <w:t xml:space="preserve">Net EoL Impact: -0.685 kgCO2e/unit</w:t>
      </w:r>
    </w:p>
    <w:bookmarkEnd w:id="37"/>
    <w:bookmarkStart w:id="38" w:name="total-product-carbon-footprint-pcf"/>
    <w:p>
      <w:pPr>
        <w:pStyle w:val="Heading3"/>
      </w:pPr>
      <w:r>
        <w:t xml:space="preserve">4.6. Total Product Carbon Footprint (PCF)</w:t>
      </w:r>
    </w:p>
    <w:p>
      <w:pPr>
        <w:pStyle w:val="FirstParagraph"/>
      </w:pPr>
      <w:r>
        <w:t xml:space="preserve">Summing emissions from all lifecycle stages:</w:t>
      </w:r>
    </w:p>
    <w:p>
      <w:pPr>
        <w:numPr>
          <w:ilvl w:val="0"/>
          <w:numId w:val="1013"/>
        </w:numPr>
        <w:pStyle w:val="Compact"/>
      </w:pPr>
      <w:r>
        <w:t xml:space="preserve">Material Impact: 3.282 kgCO2e</w:t>
      </w:r>
    </w:p>
    <w:p>
      <w:pPr>
        <w:numPr>
          <w:ilvl w:val="0"/>
          <w:numId w:val="1013"/>
        </w:numPr>
        <w:pStyle w:val="Compact"/>
      </w:pPr>
      <w:r>
        <w:t xml:space="preserve">Production Emissions: 2.900 kgCO2e</w:t>
      </w:r>
    </w:p>
    <w:p>
      <w:pPr>
        <w:numPr>
          <w:ilvl w:val="0"/>
          <w:numId w:val="1013"/>
        </w:numPr>
        <w:pStyle w:val="Compact"/>
      </w:pPr>
      <w:r>
        <w:t xml:space="preserve">Transport Emissions: 0.814 kgCO2e</w:t>
      </w:r>
    </w:p>
    <w:p>
      <w:pPr>
        <w:numPr>
          <w:ilvl w:val="0"/>
          <w:numId w:val="1013"/>
        </w:numPr>
        <w:pStyle w:val="Compact"/>
      </w:pPr>
      <w:r>
        <w:t xml:space="preserve">Use Phase Emissions: 30.000 kgCO2e</w:t>
      </w:r>
    </w:p>
    <w:p>
      <w:pPr>
        <w:numPr>
          <w:ilvl w:val="0"/>
          <w:numId w:val="1013"/>
        </w:numPr>
        <w:pStyle w:val="Compact"/>
      </w:pPr>
      <w:r>
        <w:t xml:space="preserve">End-of-Life Impact: -0.685 kgCO2e</w:t>
      </w:r>
    </w:p>
    <w:p>
      <w:pPr>
        <w:pStyle w:val="FirstParagraph"/>
      </w:pPr>
      <w:r>
        <w:rPr>
          <w:bCs/>
          <w:b/>
        </w:rPr>
        <w:t xml:space="preserve">Total PCF for ysixkhrozm: 3.282 + 2.900 + 0.814 + 30.000 - 0.685 = 36.311 kgCO2e/unit</w:t>
      </w:r>
    </w:p>
    <w:p>
      <w:r>
        <w:pict>
          <v:rect style="width:0;height:1.5pt" o:hralign="center" o:hrstd="t" o:hr="t"/>
        </w:pict>
      </w:r>
    </w:p>
    <w:bookmarkEnd w:id="38"/>
    <w:bookmarkEnd w:id="39"/>
    <w:bookmarkStart w:id="44" w:name="review-report"/>
    <w:p>
      <w:pPr>
        <w:pStyle w:val="Heading2"/>
      </w:pPr>
      <w:r>
        <w:t xml:space="preserve">5. Review &amp; Report</w:t>
      </w:r>
    </w:p>
    <w:bookmarkStart w:id="40" w:name="hotspot-analysis-and-reliability"/>
    <w:p>
      <w:pPr>
        <w:pStyle w:val="Heading3"/>
      </w:pPr>
      <w:r>
        <w:t xml:space="preserve">5.1. Hotspot Analysis and Reliability</w:t>
      </w:r>
    </w:p>
    <w:p>
      <w:pPr>
        <w:pStyle w:val="FirstParagraph"/>
      </w:pPr>
      <w:r>
        <w:t xml:space="preserve">The primary hotspot for the carbon footprint of</w:t>
      </w:r>
      <w:r>
        <w:t xml:space="preserve"> </w:t>
      </w:r>
      <w:r>
        <w:rPr>
          <w:bCs/>
          <w:b/>
        </w:rPr>
        <w:t xml:space="preserve">ysixkhrozm</w:t>
      </w:r>
      <w:r>
        <w:t xml:space="preserve"> </w:t>
      </w:r>
      <w:r>
        <w:t xml:space="preserve">is clearly identified in the **Use Phase**, contributing approximately 82.6% of the total cradle-to-grave emissions (30.00 kgCO2e out of 36.31 kgCO2e). This highlights the critical importance of energy efficiency during product operation. Material acquisition and production also contribute significantly, though to a lesser extent than the use phase.</w:t>
      </w:r>
    </w:p>
    <w:p>
      <w:pPr>
        <w:pStyle w:val="BodyText"/>
      </w:pPr>
      <w:r>
        <w:t xml:space="preserve">The reliability of this analysis is dependent on the accuracy of the provided primary data and the representativeness of the secondary emission factors used. While industry-standard factors from Ecoinvent and DEFRA databases are applied, regional and specific technology variations can introduce uncertainties. The use of assumed values for placeholder parameters impacts the absolute accuracy but demonstrates the methodology effectively.</w:t>
      </w:r>
    </w:p>
    <w:bookmarkEnd w:id="40"/>
    <w:bookmarkStart w:id="41" w:name="adherence-to-ghg-protocol"/>
    <w:p>
      <w:pPr>
        <w:pStyle w:val="Heading3"/>
      </w:pPr>
      <w:r>
        <w:t xml:space="preserve">5.2. Adherence to GHG Protocol</w:t>
      </w:r>
    </w:p>
    <w:p>
      <w:pPr>
        <w:pStyle w:val="FirstParagraph"/>
      </w:pPr>
      <w:r>
        <w:t xml:space="preserve">This PCF analysis explicitly adheres to the GHG Protocol Product Standard. Emissions are categorized as follows:</w:t>
      </w:r>
    </w:p>
    <w:p>
      <w:pPr>
        <w:numPr>
          <w:ilvl w:val="0"/>
          <w:numId w:val="1014"/>
        </w:numPr>
        <w:pStyle w:val="Compact"/>
      </w:pPr>
      <w:r>
        <w:rPr>
          <w:bCs/>
          <w:b/>
        </w:rPr>
        <w:t xml:space="preserve">Scope 1 Emissions:</w:t>
      </w:r>
      <w:r>
        <w:t xml:space="preserve"> </w:t>
      </w:r>
      <w:r>
        <w:t xml:space="preserve">Direct emissions from owned or controlled sources. (Assumed negligible/not applicable for this product\'s cradle-to-grave PCF, as the focus is on value chain emissions. Direct manufacturing process emissions, if any, would fall here but are not detailed by parameters).</w:t>
      </w:r>
    </w:p>
    <w:p>
      <w:pPr>
        <w:numPr>
          <w:ilvl w:val="0"/>
          <w:numId w:val="1014"/>
        </w:numPr>
        <w:pStyle w:val="Compact"/>
      </w:pPr>
      <w:r>
        <w:rPr>
          <w:bCs/>
          <w:b/>
        </w:rPr>
        <w:t xml:space="preserve">Scope 2 Emissions:</w:t>
      </w:r>
      <w:r>
        <w:t xml:space="preserve"> </w:t>
      </w:r>
      <w:r>
        <w:t xml:space="preserve">Indirect emissions from the generation of purchased electricity for the manufacturing process.</w:t>
      </w:r>
    </w:p>
    <w:p>
      <w:pPr>
        <w:numPr>
          <w:ilvl w:val="1"/>
          <w:numId w:val="1015"/>
        </w:numPr>
        <w:pStyle w:val="Compact"/>
      </w:pPr>
      <w:r>
        <w:rPr>
          <w:bCs/>
          <w:b/>
        </w:rPr>
        <w:t xml:space="preserve">Calculated Scope 2: 2.90 kgCO2e/unit</w:t>
      </w:r>
      <w:r>
        <w:t xml:space="preserve"> </w:t>
      </w:r>
      <w:r>
        <w:t xml:space="preserve">(from manufacturing electricity).</w:t>
      </w:r>
    </w:p>
    <w:p>
      <w:pPr>
        <w:numPr>
          <w:ilvl w:val="0"/>
          <w:numId w:val="1014"/>
        </w:numPr>
        <w:pStyle w:val="Compact"/>
      </w:pPr>
      <w:r>
        <w:rPr>
          <w:bCs/>
          <w:b/>
        </w:rPr>
        <w:t xml:space="preserve">Scope 3 Emissions:</w:t>
      </w:r>
      <w:r>
        <w:t xml:space="preserve"> </w:t>
      </w:r>
      <w:r>
        <w:t xml:space="preserve">All other indirect emissions that occur in the value chain of the product, both upstream and downstream.</w:t>
      </w:r>
    </w:p>
    <w:p>
      <w:pPr>
        <w:numPr>
          <w:ilvl w:val="1"/>
          <w:numId w:val="1016"/>
        </w:numPr>
        <w:pStyle w:val="Compact"/>
      </w:pPr>
      <w:r>
        <w:rPr>
          <w:bCs/>
          <w:b/>
        </w:rPr>
        <w:t xml:space="preserve">Upstream Scope 3:</w:t>
      </w:r>
      <w:r>
        <w:t xml:space="preserve"> </w:t>
      </w:r>
      <w:r>
        <w:t xml:space="preserve">Material acquisition and pre-processing (3.282 kgCO2e), and a portion of transport (raw material inbound transport).</w:t>
      </w:r>
    </w:p>
    <w:p>
      <w:pPr>
        <w:numPr>
          <w:ilvl w:val="1"/>
          <w:numId w:val="1016"/>
        </w:numPr>
        <w:pStyle w:val="Compact"/>
      </w:pPr>
      <w:r>
        <w:rPr>
          <w:bCs/>
          <w:b/>
        </w:rPr>
        <w:t xml:space="preserve">Downstream Scope 3:</w:t>
      </w:r>
      <w:r>
        <w:t xml:space="preserve"> </w:t>
      </w:r>
      <w:r>
        <w:t xml:space="preserve">Use phase (30.00 kgCO2e), End-of-Life (-0.685 kgCO2e), and a portion of transport (finished product outbound transport, last-mile).</w:t>
      </w:r>
    </w:p>
    <w:p>
      <w:pPr>
        <w:numPr>
          <w:ilvl w:val="1"/>
          <w:numId w:val="1016"/>
        </w:numPr>
        <w:pStyle w:val="Compact"/>
      </w:pPr>
      <w:r>
        <w:rPr>
          <w:bCs/>
          <w:b/>
        </w:rPr>
        <w:t xml:space="preserve">Total Calculated Scope 3: 3.282 (Materials) + 0.814 (Transport) + 30.00 (Use) - 0.685 (EoL) = 33.411 kgCO2e/unit</w:t>
      </w:r>
    </w:p>
    <w:p>
      <w:pPr>
        <w:pStyle w:val="FirstParagraph"/>
      </w:pPr>
      <w:r>
        <w:t xml:space="preserve">The sum of Scope 1, 2, and 3 emissions equals the total PCF (0 + 2.90 + 33.411 = 36.311 kgCO2e/unit).</w:t>
      </w:r>
    </w:p>
    <w:bookmarkEnd w:id="41"/>
    <w:bookmarkStart w:id="42" w:name="lsr-update-application"/>
    <w:p>
      <w:pPr>
        <w:pStyle w:val="Heading3"/>
      </w:pPr>
      <w:r>
        <w:t xml:space="preserve">5.3. 2026 LSR Update Application</w:t>
      </w:r>
    </w:p>
    <w:p>
      <w:pPr>
        <w:pStyle w:val="FirstParagraph"/>
      </w:pPr>
      <w:r>
        <w:t xml:space="preserve">The Land Sector and Removals (LSR) Standard, expected for the 2026 update, is critical for comprehensive accounting. While specific land-use change data was not provided for raw materials, the methodology accounts for potential carbon removals and biogenic carbon flows where applicable, particularly within the End-of-Life scenario\'s recycling credits. For a full LSR application, more granular data on land-use change associated with specific raw material cultivation or extraction would be required.</w:t>
      </w:r>
    </w:p>
    <w:bookmarkEnd w:id="42"/>
    <w:bookmarkStart w:id="43" w:name="scope-3-compliance-95-coverage"/>
    <w:p>
      <w:pPr>
        <w:pStyle w:val="Heading3"/>
      </w:pPr>
      <w:r>
        <w:t xml:space="preserve">5.4. Scope 3 Compliance (95% Coverage)</w:t>
      </w:r>
    </w:p>
    <w:p>
      <w:pPr>
        <w:pStyle w:val="FirstParagraph"/>
      </w:pPr>
      <w:r>
        <w:t xml:space="preserve">This analysis aims for at least 95% coverage for Scope 3 reporting, as per 2026 requirements. By incorporating detailed Bill of Materials, comprehensive transport estimates, energy consumption in use, and end-of-life scenarios, a significant portion of the value chain emissions is captured. The major categories of Scope 3 (purchased goods and services, transportation, use of sold products, and end-of-life treatment of sold products) are addressed. Any minor omissions would pertain to highly granular details not captured by aggregated emission factors or simplified transport modeling, but the overall coverage is substantial.</w:t>
      </w:r>
    </w:p>
    <w:p>
      <w:r>
        <w:pict>
          <v:rect style="width:0;height:1.5pt" o:hralign="center" o:hrstd="t" o:hr="t"/>
        </w:pict>
      </w:r>
    </w:p>
    <w:bookmarkEnd w:id="43"/>
    <w:bookmarkEnd w:id="44"/>
    <w:bookmarkStart w:id="45" w:name="conclusion-and-recommendations"/>
    <w:p>
      <w:pPr>
        <w:pStyle w:val="Heading2"/>
      </w:pPr>
      <w:r>
        <w:t xml:space="preserve">6. Conclusion and Recommendations</w:t>
      </w:r>
    </w:p>
    <w:p>
      <w:pPr>
        <w:pStyle w:val="FirstParagraph"/>
      </w:pPr>
      <w:r>
        <w:t xml:space="preserve">The Product Carbon Footprint for one unit of</w:t>
      </w:r>
      <w:r>
        <w:t xml:space="preserve"> </w:t>
      </w:r>
      <w:r>
        <w:rPr>
          <w:bCs/>
          <w:b/>
        </w:rPr>
        <w:t xml:space="preserve">ysixkhrozm</w:t>
      </w:r>
      <w:r>
        <w:t xml:space="preserve"> </w:t>
      </w:r>
      <w:r>
        <w:t xml:space="preserve">is estimated at</w:t>
      </w:r>
      <w:r>
        <w:t xml:space="preserve"> </w:t>
      </w:r>
      <w:r>
        <w:rPr>
          <w:bCs/>
          <w:b/>
        </w:rPr>
        <w:t xml:space="preserve">36.31 kgCO2e</w:t>
      </w:r>
      <w:r>
        <w:t xml:space="preserve">. The Use Phase is the dominant contributor to this footprint. To significantly reduce the environmental impact of</w:t>
      </w:r>
      <w:r>
        <w:t xml:space="preserve"> </w:t>
      </w:r>
      <w:r>
        <w:rPr>
          <w:bCs/>
          <w:b/>
        </w:rPr>
        <w:t xml:space="preserve">ysixkhrozm</w:t>
      </w:r>
      <w:r>
        <w:t xml:space="preserve">,</w:t>
      </w:r>
      <w:r>
        <w:t xml:space="preserve"> </w:t>
      </w:r>
      <w:r>
        <w:rPr>
          <w:bCs/>
          <w:b/>
        </w:rPr>
        <w:t xml:space="preserve">moersoidsr</w:t>
      </w:r>
      <w:r>
        <w:t xml:space="preserve"> </w:t>
      </w:r>
      <w:r>
        <w:t xml:space="preserve">should prioritize strategies focused on:</w:t>
      </w:r>
    </w:p>
    <w:p>
      <w:pPr>
        <w:numPr>
          <w:ilvl w:val="0"/>
          <w:numId w:val="1017"/>
        </w:numPr>
        <w:pStyle w:val="Compact"/>
      </w:pPr>
      <w:r>
        <w:rPr>
          <w:bCs/>
          <w:b/>
        </w:rPr>
        <w:t xml:space="preserve">Enhancing Use Phase Energy Efficiency:</w:t>
      </w:r>
      <w:r>
        <w:t xml:space="preserve"> </w:t>
      </w:r>
      <w:r>
        <w:t xml:space="preserve">Redesigning the product for lower energy consumption during its operational lifespan is crucial. This could involve more efficient components, standby modes, or promoting renewable energy use by end-users.</w:t>
      </w:r>
    </w:p>
    <w:p>
      <w:pPr>
        <w:numPr>
          <w:ilvl w:val="0"/>
          <w:numId w:val="1017"/>
        </w:numPr>
        <w:pStyle w:val="Compact"/>
      </w:pPr>
      <w:r>
        <w:rPr>
          <w:bCs/>
          <w:b/>
        </w:rPr>
        <w:t xml:space="preserve">Optimizing Material Choices:</w:t>
      </w:r>
      <w:r>
        <w:t xml:space="preserve"> </w:t>
      </w:r>
      <w:r>
        <w:t xml:space="preserve">Investigating lower-carbon alternatives for the Aluminum Frame and Electronic Components, or increasing the recycled content in these materials, could yield substantial reductions.</w:t>
      </w:r>
    </w:p>
    <w:p>
      <w:pPr>
        <w:numPr>
          <w:ilvl w:val="0"/>
          <w:numId w:val="1017"/>
        </w:numPr>
        <w:pStyle w:val="Compact"/>
      </w:pPr>
      <w:r>
        <w:rPr>
          <w:bCs/>
          <w:b/>
        </w:rPr>
        <w:t xml:space="preserve">Streamlining Logistics:</w:t>
      </w:r>
      <w:r>
        <w:t xml:space="preserve"> </w:t>
      </w:r>
      <w:r>
        <w:t xml:space="preserve">While a smaller contributor, optimizing transport modes (e.g., shifting from air freight to sea freight where feasible), consolidating shipments, and optimizing routes can further reduce emissions.</w:t>
      </w:r>
    </w:p>
    <w:p>
      <w:pPr>
        <w:numPr>
          <w:ilvl w:val="0"/>
          <w:numId w:val="1017"/>
        </w:numPr>
        <w:pStyle w:val="Compact"/>
      </w:pPr>
      <w:r>
        <w:rPr>
          <w:bCs/>
          <w:b/>
        </w:rPr>
        <w:t xml:space="preserve">Strengthening Circular Economy Initiatives:</w:t>
      </w:r>
      <w:r>
        <w:t xml:space="preserve"> </w:t>
      </w:r>
      <w:r>
        <w:t xml:space="preserve">Maximizing the effectiveness of take-back programs and ensuring high-quality recycling for materials will increase avoided emissions and reduce reliance on virgin resources.</w:t>
      </w:r>
    </w:p>
    <w:p>
      <w:pPr>
        <w:pStyle w:val="FirstParagraph"/>
      </w:pPr>
      <w:r>
        <w:t xml:space="preserve">Further detailed primary data collection across the entire supply chain would enhance the accuracy of this analysis and enable more targeted reduction strategies.</w:t>
      </w:r>
    </w:p>
    <w:p>
      <w:r>
        <w:pict>
          <v:rect style="width:0;height:1.5pt" o:hralign="center" o:hrstd="t" o:hr="t"/>
        </w:pict>
      </w:r>
    </w:p>
    <w:bookmarkEnd w:id="45"/>
    <w:p>
      <w:pPr>
        <w:pStyle w:val="FirstParagraph"/>
      </w:pPr>
      <w:r>
        <w:t xml:space="preserve">Confidential - Internal Use Only | Page</w:t>
      </w:r>
      <w:r>
        <w:t xml:space="preserve"> </w:t>
      </w:r>
      <w:bookmarkStart w:id="46" w:name="pageNumber"/>
      <w:r>
        <w:t xml:space="preserve">1</w:t>
      </w:r>
      <w:bookmarkEnd w:id="46"/>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ysixkhrozm - moersoidsr</dc:title>
  <dc:creator/>
  <dc:description>High-detail Product Carbon Footprint (PCF) analysis for ysixkhrozm, conducted by Senior Sustainability Consultant snskghjxji for moersoidsr, adhering to GHG Protocol standards including 2026 LSR update and Scope 3 compliance.</dc:description>
  <dc:language>en</dc:language>
  <cp:keywords/>
  <dcterms:created xsi:type="dcterms:W3CDTF">2026-07-15T12:38:48Z</dcterms:created>
  <dcterms:modified xsi:type="dcterms:W3CDTF">2026-07-15T12:38:48Z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