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yrpzjytnmu</w:t>
      </w:r>
      <w:r>
        <w:t xml:space="preserve"> </w:t>
      </w:r>
      <w:r>
        <w:t xml:space="preserve">(Smart</w:t>
      </w:r>
      <w:r>
        <w:t xml:space="preserve"> </w:t>
      </w:r>
      <w:r>
        <w:t xml:space="preserve">Home</w:t>
      </w:r>
      <w:r>
        <w:t xml:space="preserve"> </w:t>
      </w:r>
      <w:r>
        <w:t xml:space="preserve">Hub)</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yrpzjytnmu (Smart Home Hub)</w:t>
      </w:r>
    </w:p>
    <w:p>
      <w:pPr>
        <w:pStyle w:val="BodyText"/>
      </w:pPr>
      <w:r>
        <w:rPr>
          <w:bCs/>
          <w:b/>
        </w:rPr>
        <w:t xml:space="preserve">Company Name:</w:t>
      </w:r>
      <w:r>
        <w:t xml:space="preserve"> </w:t>
      </w:r>
      <w:r>
        <w:t xml:space="preserve">fwoenrimgv</w:t>
      </w:r>
    </w:p>
    <w:p>
      <w:pPr>
        <w:pStyle w:val="BodyText"/>
      </w:pPr>
      <w:r>
        <w:rPr>
          <w:bCs/>
          <w:b/>
        </w:rPr>
        <w:t xml:space="preserve">Senior Sustainability Consultant:</w:t>
      </w:r>
      <w:r>
        <w:t xml:space="preserve"> </w:t>
      </w:r>
      <w:r>
        <w:t xml:space="preserve">urskiviknm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employing specific parameters and assumptions detailed within. While every effort has been made to ensure accuracy within these defined scopes, it should be used for informational purposes and internal strategic planning.</w:t>
      </w:r>
    </w:p>
    <w:bookmarkEnd w:id="20"/>
    <w:p>
      <w:pPr>
        <w:pStyle w:val="BodyText"/>
      </w:pPr>
      <w:r>
        <w:t xml:space="preserve">Product Carbon Footprint Analysis Report | Generated Date: May 27, 2026</w:t>
      </w:r>
    </w:p>
    <w:bookmarkStart w:id="48" w:name="executive-summary"/>
    <w:p>
      <w:pPr>
        <w:pStyle w:val="Heading1"/>
      </w:pPr>
      <w:r>
        <w:t xml:space="preserve">Executive Summary</w:t>
      </w:r>
    </w:p>
    <w:p>
      <w:pPr>
        <w:pStyle w:val="FirstParagraph"/>
      </w:pPr>
      <w:r>
        <w:t xml:space="preserve">This report presents a high-detail Product Carbon Footprint (PCF) analysis for yrpzjytnmu, a Smart Home Hub manufactured by fwoenrimgv. Conducted by Senior Sustainability Consultant urskiviknm, this analysis adheres strictly to the GHG Protocol, incorporating the latest 2026 Land Sector and Removals (LSR) Standard updates and targeting a minimum of 95% Scope 3 coverage. The assessment covers the entire product lifecycle from raw material acquisition through manufacturing, transportation, use, and end-of-life, providing a comprehensive understanding of its environmental impact in kilograms of CO2 equivalent (kgCO2e). Key findings highlight emission hotspots across the value chain, offering actionable insights for fwoenrimgv\'s sustainability initiatives.</w:t>
      </w:r>
    </w:p>
    <w:p>
      <w:r>
        <w:pict>
          <v:rect style="width:0;height:1.5pt" o:hralign="center" o:hrstd="t" o:hr="t"/>
        </w:pict>
      </w:r>
    </w:p>
    <w:bookmarkStart w:id="26" w:name="scope-definition"/>
    <w:p>
      <w:pPr>
        <w:pStyle w:val="Heading2"/>
      </w:pPr>
      <w:r>
        <w:t xml:space="preserve">1. Scope Definition</w:t>
      </w:r>
    </w:p>
    <w:p>
      <w:pPr>
        <w:pStyle w:val="FirstParagraph"/>
      </w:pPr>
      <w:r>
        <w:t xml:space="preserve">The scope of this Product Carbon Footprint (PCF) analysis is defined in accordance with the GHG Protocol, providing a robust framework for assessing the greenhouse gas emissions associated with the yrpzjytnmu Smart Home Hub.</w:t>
      </w:r>
    </w:p>
    <w:bookmarkStart w:id="21"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yrpzjytnmu (Smart Home Hub)</w:t>
      </w:r>
      <w:r>
        <w:t xml:space="preserve">, providing the basis for quantifying all associated environmental impacts consistently throughout its lifecycle.</w:t>
      </w:r>
    </w:p>
    <w:bookmarkEnd w:id="21"/>
    <w:bookmarkStart w:id="22" w:name="system-boundary"/>
    <w:p>
      <w:pPr>
        <w:pStyle w:val="Heading3"/>
      </w:pPr>
      <w:r>
        <w:t xml:space="preserve">1.2 System Boundary</w:t>
      </w:r>
    </w:p>
    <w:p>
      <w:pPr>
        <w:pStyle w:val="FirstParagraph"/>
      </w:pPr>
      <w:r>
        <w:t xml:space="preserve">While the initial parameter specified a `factory_gate` system boundary, the comprehensive nature of the requested analysis, including transport, use phase, and end-of-life, necessitates a</w:t>
      </w:r>
      <w:r>
        <w:t xml:space="preserve"> </w:t>
      </w:r>
      <w:r>
        <w:rPr>
          <w:bCs/>
          <w:b/>
        </w:rPr>
        <w:t xml:space="preserve">cradle-to-grave</w:t>
      </w:r>
      <w:r>
        <w:t xml:space="preserve"> </w:t>
      </w:r>
      <w:r>
        <w:t xml:space="preserve">approach. This expanded boundary ensures that all significant emissions across the entire product lifecycle are captured and reported. Therefore, the analysis includes:</w:t>
      </w:r>
    </w:p>
    <w:p>
      <w:pPr>
        <w:numPr>
          <w:ilvl w:val="0"/>
          <w:numId w:val="1001"/>
        </w:numPr>
        <w:pStyle w:val="Compact"/>
      </w:pPr>
      <w:r>
        <w:t xml:space="preserve">Raw Material Acquisition &amp; Processing (Upstream)</w:t>
      </w:r>
    </w:p>
    <w:p>
      <w:pPr>
        <w:numPr>
          <w:ilvl w:val="0"/>
          <w:numId w:val="1001"/>
        </w:numPr>
        <w:pStyle w:val="Compact"/>
      </w:pPr>
      <w:r>
        <w:t xml:space="preserve">Manufacturing (Core Production)</w:t>
      </w:r>
    </w:p>
    <w:p>
      <w:pPr>
        <w:numPr>
          <w:ilvl w:val="0"/>
          <w:numId w:val="1001"/>
        </w:numPr>
        <w:pStyle w:val="Compact"/>
      </w:pPr>
      <w:r>
        <w:t xml:space="preserve">Transportation (Upstream &amp; Downstream)</w:t>
      </w:r>
    </w:p>
    <w:p>
      <w:pPr>
        <w:numPr>
          <w:ilvl w:val="0"/>
          <w:numId w:val="1001"/>
        </w:numPr>
        <w:pStyle w:val="Compact"/>
      </w:pPr>
      <w:r>
        <w:t xml:space="preserve">Product Use Phase</w:t>
      </w:r>
    </w:p>
    <w:p>
      <w:pPr>
        <w:numPr>
          <w:ilvl w:val="0"/>
          <w:numId w:val="1001"/>
        </w:numPr>
        <w:pStyle w:val="Compact"/>
      </w:pPr>
      <w:r>
        <w:t xml:space="preserve">End-of-Life Treatment (Disposal &amp; Recycling)</w:t>
      </w:r>
    </w:p>
    <w:bookmarkEnd w:id="22"/>
    <w:bookmarkStart w:id="23" w:name="geographic-scope"/>
    <w:p>
      <w:pPr>
        <w:pStyle w:val="Heading3"/>
      </w:pPr>
      <w:r>
        <w:t xml:space="preserve">1.3 Geographic Scope</w:t>
      </w:r>
    </w:p>
    <w:p>
      <w:pPr>
        <w:pStyle w:val="FirstParagraph"/>
      </w:pPr>
      <w:r>
        <w:t xml:space="preserve">The geographic scope of this PCF analysis is focused on products manufactured in</w:t>
      </w:r>
      <w:r>
        <w:t xml:space="preserve"> </w:t>
      </w:r>
      <w:r>
        <w:rPr>
          <w:bCs/>
          <w:b/>
        </w:rPr>
        <w:t xml:space="preserve">China</w:t>
      </w:r>
      <w:r>
        <w:t xml:space="preserve">, with a particular emphasis on a</w:t>
      </w:r>
      <w:r>
        <w:t xml:space="preserve"> </w:t>
      </w:r>
      <w:r>
        <w:rPr>
          <w:bCs/>
          <w:b/>
        </w:rPr>
        <w:t xml:space="preserve">Europe-focused supply chain</w:t>
      </w:r>
      <w:r>
        <w:t xml:space="preserve"> </w:t>
      </w:r>
      <w:r>
        <w:t xml:space="preserve">for distribution and end-use.</w:t>
      </w:r>
    </w:p>
    <w:bookmarkEnd w:id="23"/>
    <w:bookmarkStart w:id="24" w:name="allocation"/>
    <w:p>
      <w:pPr>
        <w:pStyle w:val="Heading3"/>
      </w:pPr>
      <w:r>
        <w:t xml:space="preserve">1.4 Allocation</w:t>
      </w:r>
    </w:p>
    <w:p>
      <w:pPr>
        <w:pStyle w:val="FirstParagraph"/>
      </w:pPr>
      <w:r>
        <w:t xml:space="preserve">Emissions are allocated directly to the functional unit. Where co-products, by-products, or waste streams exist, standard mass-based allocation methods or avoided burden approaches are applied in accordance with GHG Protocol guidelines. For recycling, an avoided burden approach is utilized to reflect the circular economy impacts.</w:t>
      </w:r>
    </w:p>
    <w:bookmarkEnd w:id="24"/>
    <w:bookmarkStart w:id="25" w:name="accounting-standard"/>
    <w:p>
      <w:pPr>
        <w:pStyle w:val="Heading3"/>
      </w:pPr>
      <w:r>
        <w:t xml:space="preserve">1.5 Accounting Standard</w:t>
      </w:r>
    </w:p>
    <w:p>
      <w:pPr>
        <w:pStyle w:val="FirstParagraph"/>
      </w:pPr>
      <w:r>
        <w:t xml:space="preserve">This PCF analysis is performed in strict adherence to the</w:t>
      </w:r>
      <w:r>
        <w:t xml:space="preserve"> </w:t>
      </w:r>
      <w:r>
        <w:rPr>
          <w:bCs/>
          <w:b/>
        </w:rPr>
        <w:t xml:space="preserve">GHG Protocol (Greenhouse Gas Protocol)</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 This report specifically incorporates the principles of the 2026 updates, including the Land Sector and Removals (LSR) Standard and enhanced Scope 3 reporting requirements.</w:t>
      </w:r>
    </w:p>
    <w:p>
      <w:r>
        <w:pict>
          <v:rect style="width:0;height:1.5pt" o:hralign="center" o:hrstd="t" o:hr="t"/>
        </w:pict>
      </w:r>
    </w:p>
    <w:bookmarkEnd w:id="25"/>
    <w:bookmarkEnd w:id="26"/>
    <w:bookmarkStart w:id="33" w:name="lifecycle-mapping-data-collection"/>
    <w:p>
      <w:pPr>
        <w:pStyle w:val="Heading2"/>
      </w:pPr>
      <w:r>
        <w:t xml:space="preserve">2. Lifecycle Mapping &amp; Data Collection</w:t>
      </w:r>
    </w:p>
    <w:p>
      <w:pPr>
        <w:pStyle w:val="FirstParagraph"/>
      </w:pPr>
      <w:r>
        <w:t xml:space="preserve">This section details the lifecycle stages of the yrpzjytnmu Smart Home Hub and the data collected for each stage, including material inputs, energy consumption, and transportation specifics. The data integrates both primary information provided and secondary industry-standard emission factors.</w:t>
      </w:r>
    </w:p>
    <w:bookmarkStart w:id="27" w:name="X6514539aedc4a4d9c215925d0fdfa470fe7b23c"/>
    <w:p>
      <w:pPr>
        <w:pStyle w:val="Heading3"/>
      </w:pPr>
      <w:r>
        <w:t xml:space="preserve">2.1 Bill of Materials (BOM) Analysis - Upstream Emissions (Scope 3, Category 1)</w:t>
      </w:r>
    </w:p>
    <w:p>
      <w:pPr>
        <w:pStyle w:val="FirstParagraph"/>
      </w:pPr>
      <w:r>
        <w:t xml:space="preserve">The Detailed Bill of Materials (BOM) for yrpzjytnmu (`vggwlhdf`) provides the foundation for calculating material-related emissions. The table below presents the parsed BOM data and its associated carbon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Microprocessor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Sensors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7</w:t>
            </w:r>
          </w:p>
        </w:tc>
        <w:tc>
          <w:tcPr/>
          <w:p>
            <w:pPr>
              <w:pStyle w:val="Compact"/>
              <w:jc w:val="left"/>
            </w:pPr>
            <w:r>
              <w:t xml:space="preserve">Cables/Wires (Copper)</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bl>
    <w:p>
      <w:pPr>
        <w:pStyle w:val="BodyText"/>
      </w:pPr>
      <w:r>
        <w:rPr>
          <w:bCs/>
          <w:b/>
        </w:rPr>
        <w:t xml:space="preserve">Total Material Emissions:</w:t>
      </w:r>
      <w:r>
        <w:t xml:space="preserve"> </w:t>
      </w:r>
      <w:r>
        <w:t xml:space="preserve">3.14 kgCO2e</w:t>
      </w:r>
    </w:p>
    <w:bookmarkEnd w:id="27"/>
    <w:bookmarkStart w:id="28" w:name="manufacturingproduction-energy-scope-1-2"/>
    <w:p>
      <w:pPr>
        <w:pStyle w:val="Heading3"/>
      </w:pPr>
      <w:r>
        <w:t xml:space="preserve">2.2 Manufacturing/Production Energy (Scope 1 &amp; 2)</w:t>
      </w:r>
    </w:p>
    <w:p>
      <w:pPr>
        <w:pStyle w:val="FirstParagraph"/>
      </w:pPr>
      <w:r>
        <w:t xml:space="preserve">The manufacturing process takes place in China. Energy consumption data and renewable energy usage are critical inputs:</w:t>
      </w:r>
    </w:p>
    <w:p>
      <w:pPr>
        <w:numPr>
          <w:ilvl w:val="0"/>
          <w:numId w:val="1002"/>
        </w:numPr>
        <w:pStyle w:val="Compact"/>
      </w:pPr>
      <w:r>
        <w:rPr>
          <w:bCs/>
          <w:b/>
        </w:rPr>
        <w:t xml:space="preserve">Energy Intensity (kWh/unit):</w:t>
      </w:r>
      <w:r>
        <w:t xml:space="preserve"> </w:t>
      </w:r>
      <w:r>
        <w:t xml:space="preserve">exkwwdzjvq (Assumed: 10 kWh/unit)</w:t>
      </w:r>
    </w:p>
    <w:p>
      <w:pPr>
        <w:numPr>
          <w:ilvl w:val="0"/>
          <w:numId w:val="1002"/>
        </w:numPr>
        <w:pStyle w:val="Compact"/>
      </w:pPr>
      <w:r>
        <w:rPr>
          <w:bCs/>
          <w:b/>
        </w:rPr>
        <w:t xml:space="preserve">Renewable Energy Usage:</w:t>
      </w:r>
      <w:r>
        <w:t xml:space="preserve"> </w:t>
      </w:r>
      <w:r>
        <w:t xml:space="preserve">jlkonozxhx (Assumed: 50%)</w:t>
      </w:r>
    </w:p>
    <w:p>
      <w:pPr>
        <w:numPr>
          <w:ilvl w:val="0"/>
          <w:numId w:val="1002"/>
        </w:numPr>
        <w:pStyle w:val="Compact"/>
      </w:pPr>
      <w:r>
        <w:rPr>
          <w:bCs/>
          <w:b/>
        </w:rPr>
        <w:t xml:space="preserve">Non-Renewable Energy Usage:</w:t>
      </w:r>
      <w:r>
        <w:t xml:space="preserve"> </w:t>
      </w:r>
      <w:r>
        <w:t xml:space="preserve">50%</w:t>
      </w:r>
    </w:p>
    <w:p>
      <w:pPr>
        <w:numPr>
          <w:ilvl w:val="0"/>
          <w:numId w:val="1002"/>
        </w:numPr>
        <w:pStyle w:val="Compact"/>
      </w:pPr>
      <w:r>
        <w:rPr>
          <w:bCs/>
          <w:b/>
        </w:rPr>
        <w:t xml:space="preserve">China Grid Emission Factor:</w:t>
      </w:r>
      <w:r>
        <w:t xml:space="preserve"> </w:t>
      </w:r>
      <w:r>
        <w:t xml:space="preserve">Approximately 0.6 kgCO2e/kWh for the national average electricity grid.</w:t>
      </w:r>
    </w:p>
    <w:p>
      <w:pPr>
        <w:pStyle w:val="FirstParagraph"/>
      </w:pPr>
      <w:r>
        <w:t xml:space="preserve">Direct emissions (Scope 1) from the manufacturing facility for processes like heating or on-site fuel consumption are assumed to be minimal and integrated into the overall energy footprint where specific data is not provided, aligning with common practices for electronics manufacturing facilities which often see significant emissions from electricity use and specific process gases.</w:t>
      </w:r>
    </w:p>
    <w:bookmarkEnd w:id="28"/>
    <w:bookmarkStart w:id="29" w:name="transportation-scope-3-category-4-9"/>
    <w:p>
      <w:pPr>
        <w:pStyle w:val="Heading3"/>
      </w:pPr>
      <w:r>
        <w:t xml:space="preserve">2.3 Transportation (Scope 3, Category 4 &amp; 9)</w:t>
      </w:r>
    </w:p>
    <w:p>
      <w:pPr>
        <w:pStyle w:val="FirstParagraph"/>
      </w:pPr>
      <w:r>
        <w:t xml:space="preserve">Logistics data is incorporated to assess transportation emissions:</w:t>
      </w:r>
    </w:p>
    <w:p>
      <w:pPr>
        <w:numPr>
          <w:ilvl w:val="0"/>
          <w:numId w:val="1003"/>
        </w:numPr>
        <w:pStyle w:val="Compact"/>
      </w:pPr>
      <w:r>
        <w:rPr>
          <w:bCs/>
          <w:b/>
        </w:rPr>
        <w:t xml:space="preserve">Primary Transport Mode (China to Europe):</w:t>
      </w:r>
      <w:r>
        <w:t xml:space="preserve"> </w:t>
      </w:r>
      <w:r>
        <w:t xml:space="preserve">Select Mode (Assumed: Ocean Freight)</w:t>
      </w:r>
    </w:p>
    <w:p>
      <w:pPr>
        <w:numPr>
          <w:ilvl w:val="0"/>
          <w:numId w:val="1003"/>
        </w:numPr>
        <w:pStyle w:val="Compact"/>
      </w:pPr>
      <w:r>
        <w:rPr>
          <w:bCs/>
          <w:b/>
        </w:rPr>
        <w:t xml:space="preserve">Primary Transport Distance:</w:t>
      </w:r>
      <w:r>
        <w:t xml:space="preserve"> </w:t>
      </w:r>
      <w:r>
        <w:t xml:space="preserve">iouxzizwqo (Assumed: 15,000 km)</w:t>
      </w:r>
    </w:p>
    <w:p>
      <w:pPr>
        <w:numPr>
          <w:ilvl w:val="0"/>
          <w:numId w:val="1003"/>
        </w:numPr>
        <w:pStyle w:val="Compact"/>
      </w:pPr>
      <w:r>
        <w:rPr>
          <w:bCs/>
          <w:b/>
        </w:rPr>
        <w:t xml:space="preserve">Downstream Transport Mode (Europe):</w:t>
      </w:r>
      <w:r>
        <w:t xml:space="preserve"> </w:t>
      </w:r>
      <w:r>
        <w:t xml:space="preserve">Select Mode (Assumed: Road Freight - Truck)</w:t>
      </w:r>
    </w:p>
    <w:p>
      <w:pPr>
        <w:numPr>
          <w:ilvl w:val="0"/>
          <w:numId w:val="1003"/>
        </w:numPr>
        <w:pStyle w:val="Compact"/>
      </w:pPr>
      <w:r>
        <w:rPr>
          <w:bCs/>
          <w:b/>
        </w:rPr>
        <w:t xml:space="preserve">Downstream Transport Distance:</w:t>
      </w:r>
      <w:r>
        <w:t xml:space="preserve"> </w:t>
      </w:r>
      <w:r>
        <w:t xml:space="preserve">iouxzizwqo (Assumed: 500 km)</w:t>
      </w:r>
    </w:p>
    <w:p>
      <w:pPr>
        <w:numPr>
          <w:ilvl w:val="0"/>
          <w:numId w:val="1003"/>
        </w:numPr>
        <w:pStyle w:val="Compact"/>
      </w:pPr>
      <w:r>
        <w:rPr>
          <w:bCs/>
          <w:b/>
        </w:rPr>
        <w:t xml:space="preserve">Last-Mile Delivery Channel:</w:t>
      </w:r>
      <w:r>
        <w:t xml:space="preserve"> </w:t>
      </w:r>
      <w:r>
        <w:t xml:space="preserve">Delivery Type (Assumed: Standard Parcel Delivery)</w:t>
      </w:r>
    </w:p>
    <w:p>
      <w:pPr>
        <w:numPr>
          <w:ilvl w:val="0"/>
          <w:numId w:val="1003"/>
        </w:numPr>
        <w:pStyle w:val="Compact"/>
      </w:pPr>
      <w:r>
        <w:rPr>
          <w:bCs/>
          <w:b/>
        </w:rPr>
        <w:t xml:space="preserve">Product Mass (for transport calculation):</w:t>
      </w:r>
      <w:r>
        <w:t xml:space="preserve"> </w:t>
      </w:r>
      <w:r>
        <w:t xml:space="preserve">0.5 kg (approximate total product weight including internal components)</w:t>
      </w:r>
    </w:p>
    <w:p>
      <w:pPr>
        <w:pStyle w:val="FirstParagraph"/>
      </w:pPr>
      <w:r>
        <w:rPr>
          <w:bCs/>
          <w:b/>
        </w:rPr>
        <w:t xml:space="preserve">Emission Factors Used:</w:t>
      </w:r>
    </w:p>
    <w:p>
      <w:pPr>
        <w:numPr>
          <w:ilvl w:val="0"/>
          <w:numId w:val="1004"/>
        </w:numPr>
        <w:pStyle w:val="Compact"/>
      </w:pPr>
      <w:r>
        <w:t xml:space="preserve">Ocean Freight (Container ship average): 0.016142 kgCO2e/tonne-km.</w:t>
      </w:r>
    </w:p>
    <w:p>
      <w:pPr>
        <w:numPr>
          <w:ilvl w:val="0"/>
          <w:numId w:val="1004"/>
        </w:numPr>
        <w:pStyle w:val="Compact"/>
      </w:pPr>
      <w:r>
        <w:t xml:space="preserve">Road Freight (HGV &gt;20t, Europe): 0.092 kgCO2e/tonne-km.</w:t>
      </w:r>
    </w:p>
    <w:p>
      <w:pPr>
        <w:numPr>
          <w:ilvl w:val="0"/>
          <w:numId w:val="1004"/>
        </w:numPr>
        <w:pStyle w:val="Compact"/>
      </w:pPr>
      <w:r>
        <w:t xml:space="preserve">Last-Mile Delivery: For simplicity and consistency with tonne-km, an average truck factor is applied for the final leg, acknowledging that specialized parcel delivery may have slightly different profiles.</w:t>
      </w:r>
    </w:p>
    <w:bookmarkEnd w:id="29"/>
    <w:bookmarkStart w:id="30" w:name="product-use-phase-scope-3-category-11"/>
    <w:p>
      <w:pPr>
        <w:pStyle w:val="Heading3"/>
      </w:pPr>
      <w:r>
        <w:t xml:space="preserve">2.4 Product Use Phase (Scope 3, Category 11)</w:t>
      </w:r>
    </w:p>
    <w:p>
      <w:pPr>
        <w:pStyle w:val="FirstParagraph"/>
      </w:pPr>
      <w:r>
        <w:t xml:space="preserve">The use phase incorporates specific durability and consumption data:</w:t>
      </w:r>
    </w:p>
    <w:p>
      <w:pPr>
        <w:numPr>
          <w:ilvl w:val="0"/>
          <w:numId w:val="1005"/>
        </w:numPr>
        <w:pStyle w:val="Compact"/>
      </w:pPr>
      <w:r>
        <w:rPr>
          <w:bCs/>
          <w:b/>
        </w:rPr>
        <w:t xml:space="preserve">Product Lifespan:</w:t>
      </w:r>
      <w:r>
        <w:t xml:space="preserve"> </w:t>
      </w:r>
      <w:r>
        <w:t xml:space="preserve">zdfriqywyp (Assumed: 3 years)</w:t>
      </w:r>
    </w:p>
    <w:p>
      <w:pPr>
        <w:numPr>
          <w:ilvl w:val="0"/>
          <w:numId w:val="1005"/>
        </w:numPr>
        <w:pStyle w:val="Compact"/>
      </w:pPr>
      <w:r>
        <w:rPr>
          <w:bCs/>
          <w:b/>
        </w:rPr>
        <w:t xml:space="preserve">Energy Consumption in Use:</w:t>
      </w:r>
      <w:r>
        <w:t xml:space="preserve"> </w:t>
      </w:r>
      <w:r>
        <w:t xml:space="preserve">rixsilgqil (Assumed: 5 kWh/year)</w:t>
      </w:r>
    </w:p>
    <w:p>
      <w:pPr>
        <w:numPr>
          <w:ilvl w:val="0"/>
          <w:numId w:val="1005"/>
        </w:numPr>
        <w:pStyle w:val="Compact"/>
      </w:pPr>
      <w:r>
        <w:rPr>
          <w:bCs/>
          <w:b/>
        </w:rPr>
        <w:t xml:space="preserve">European Average Grid Emission Factor (for use phase):</w:t>
      </w:r>
      <w:r>
        <w:t xml:space="preserve"> </w:t>
      </w:r>
      <w:r>
        <w:t xml:space="preserve">Assumed 0.25 kgCO2e/kWh (generic average for Europe, varies by country).</w:t>
      </w:r>
    </w:p>
    <w:p>
      <w:pPr>
        <w:pStyle w:val="FirstParagraph"/>
      </w:pPr>
      <w:r>
        <w:t xml:space="preserve">For electronic devices like a Smart Home Hub, the use phase, while potentially continuous, often contributes less than the manufacturing phase to the overall footprint, though it\'s still significant.</w:t>
      </w:r>
    </w:p>
    <w:bookmarkEnd w:id="30"/>
    <w:bookmarkStart w:id="31" w:name="X3261202975bfccb1283f2bd5fabef2dfdbe9c90"/>
    <w:p>
      <w:pPr>
        <w:pStyle w:val="Heading3"/>
      </w:pPr>
      <w:r>
        <w:t xml:space="preserve">2.5 End-of-Life (EoL) Scenarios (Scope 3, Category 12)</w:t>
      </w:r>
    </w:p>
    <w:p>
      <w:pPr>
        <w:pStyle w:val="FirstParagraph"/>
      </w:pPr>
      <w:r>
        <w:t xml:space="preserve">End-of-Life impacts reflect circular economy initiatives:</w:t>
      </w:r>
    </w:p>
    <w:p>
      <w:pPr>
        <w:numPr>
          <w:ilvl w:val="0"/>
          <w:numId w:val="1006"/>
        </w:numPr>
        <w:pStyle w:val="Compact"/>
      </w:pPr>
      <w:r>
        <w:rPr>
          <w:bCs/>
          <w:b/>
        </w:rPr>
        <w:t xml:space="preserve">Recyclability Percentage:</w:t>
      </w:r>
      <w:r>
        <w:t xml:space="preserve"> </w:t>
      </w:r>
      <w:r>
        <w:t xml:space="preserve">qnqkrtxwks (Assumed: 70%)</w:t>
      </w:r>
    </w:p>
    <w:p>
      <w:pPr>
        <w:numPr>
          <w:ilvl w:val="0"/>
          <w:numId w:val="1006"/>
        </w:numPr>
        <w:pStyle w:val="Compact"/>
      </w:pPr>
      <w:r>
        <w:rPr>
          <w:bCs/>
          <w:b/>
        </w:rPr>
        <w:t xml:space="preserve">Circular/Take-back Programs:</w:t>
      </w:r>
      <w:r>
        <w:t xml:space="preserve"> </w:t>
      </w:r>
      <w:r>
        <w:t xml:space="preserve">gekxhhuxis (Assumed: Limited Take-back Program)</w:t>
      </w:r>
    </w:p>
    <w:p>
      <w:pPr>
        <w:numPr>
          <w:ilvl w:val="0"/>
          <w:numId w:val="1006"/>
        </w:numPr>
        <w:pStyle w:val="Compact"/>
      </w:pPr>
      <w:r>
        <w:rPr>
          <w:bCs/>
          <w:b/>
        </w:rPr>
        <w:t xml:space="preserve">Disposal (Landfill) Emission Factor:</w:t>
      </w:r>
      <w:r>
        <w:t xml:space="preserve"> </w:t>
      </w:r>
      <w:r>
        <w:t xml:space="preserve">Assumed 0.05 kgCO2e/kg (for non-recyclable electronic waste).</w:t>
      </w:r>
    </w:p>
    <w:p>
      <w:pPr>
        <w:numPr>
          <w:ilvl w:val="0"/>
          <w:numId w:val="1006"/>
        </w:numPr>
        <w:pStyle w:val="Compact"/>
      </w:pPr>
      <w:r>
        <w:rPr>
          <w:bCs/>
          <w:b/>
        </w:rPr>
        <w:t xml:space="preserve">Recycling Benefit:</w:t>
      </w:r>
      <w:r>
        <w:t xml:space="preserve"> </w:t>
      </w:r>
      <w:r>
        <w:t xml:space="preserve">Assumed -2.0 kgCO2e/kg for materials effectively recycled (avoided virgin production).</w:t>
      </w:r>
    </w:p>
    <w:bookmarkEnd w:id="31"/>
    <w:bookmarkStart w:id="32" w:name="X96e4ca11d876b430114a48bb2e633f4013896b5"/>
    <w:p>
      <w:pPr>
        <w:pStyle w:val="Heading3"/>
      </w:pPr>
      <w:r>
        <w:t xml:space="preserve">2.6 Application of the 2026 Land Sector and Removals (LSR) Standard</w:t>
      </w:r>
    </w:p>
    <w:p>
      <w:pPr>
        <w:pStyle w:val="FirstParagraph"/>
      </w:pPr>
      <w:r>
        <w:t xml:space="preserve">The GHG Protocol\'s Land Sector and Removals (LSR) Standard, effective January 1, 2027, provides guidelines for accounting for land emissions, CO₂ removals, and biogenic products. Although the full guidance is expected in Q2 2026, the principles are integrated into this analysis. For the yrpzjytnmu Smart Home Hub, direct land-use change emissions are not a primary concern due to the nature of its materials (primarily manufactured components, plastics, metals). However, the LSR standard\'s requirements for traceability and land occupation reporting for sourced products are acknowledged and would apply if fwoenrimgv were sourcing agricultural or forestry products. The assumed cardboard packaging would fall under biogenic products and its end-of-life treatment considers carbon flows. The current BOM does not indicate significant direct land-use intensive materials, thus the primary impact from LSR would be in enhanced supply chain data requirements for biogenic inputs or potential carbon removals.</w:t>
      </w:r>
    </w:p>
    <w:p>
      <w:r>
        <w:pict>
          <v:rect style="width:0;height:1.5pt" o:hralign="center" o:hrstd="t" o:hr="t"/>
        </w:pict>
      </w:r>
    </w:p>
    <w:bookmarkEnd w:id="32"/>
    <w:bookmarkEnd w:id="33"/>
    <w:bookmarkStart w:id="43" w:name="emissions-calculation-and-categorization"/>
    <w:p>
      <w:pPr>
        <w:pStyle w:val="Heading2"/>
      </w:pPr>
      <w:r>
        <w:t xml:space="preserve">3. Emissions Calculation and Categorization</w:t>
      </w:r>
    </w:p>
    <w:p>
      <w:pPr>
        <w:pStyle w:val="FirstParagraph"/>
      </w:pPr>
      <w:r>
        <w:t xml:space="preserve">Emissions are calculated for each lifecycle stage (Activity * Emission Factor = CO2e) and categorized according to the GHG Protocol\'s Scope 1, 2, and 3 definitions. A comprehensive Scope 3 coverage of at least 95% is targeted to meet 2026 requirements, emphasizing data transparency and completeness.</w:t>
      </w:r>
    </w:p>
    <w:bookmarkStart w:id="34" w:name="scope-1-direct-emissions"/>
    <w:p>
      <w:pPr>
        <w:pStyle w:val="Heading3"/>
      </w:pPr>
      <w:r>
        <w:t xml:space="preserve">3.1 Scope 1: Direct Emissions</w:t>
      </w:r>
    </w:p>
    <w:p>
      <w:pPr>
        <w:pStyle w:val="FirstParagraph"/>
      </w:pPr>
      <w:r>
        <w:t xml:space="preserve">Direct GHG emissions from sources owned or controlled by fwoenrimgv\'s manufacturing facility for yrpzjytnmu. These typically include emissions from combustion in owned boilers, furnaces, vehicles, or from chemical production in owned processes.</w:t>
      </w:r>
    </w:p>
    <w:p>
      <w:pPr>
        <w:numPr>
          <w:ilvl w:val="0"/>
          <w:numId w:val="1007"/>
        </w:numPr>
        <w:pStyle w:val="Compact"/>
      </w:pPr>
      <w:r>
        <w:rPr>
          <w:bCs/>
          <w:b/>
        </w:rPr>
        <w:t xml:space="preserve">Assumed Direct Manufacturing Emissions (e.g., minor on-site fuel combustion):</w:t>
      </w:r>
      <w:r>
        <w:t xml:space="preserve"> </w:t>
      </w:r>
      <w:r>
        <w:t xml:space="preserve">0.05 kgCO2e/unit</w:t>
      </w:r>
    </w:p>
    <w:p>
      <w:pPr>
        <w:pStyle w:val="FirstParagraph"/>
      </w:pPr>
      <w:r>
        <w:rPr>
          <w:bCs/>
          <w:b/>
        </w:rPr>
        <w:t xml:space="preserve">Total Scope 1 Emissions: 0.05 kgCO2e/unit</w:t>
      </w:r>
    </w:p>
    <w:bookmarkEnd w:id="34"/>
    <w:bookmarkStart w:id="35" w:name="scope-2-energy-indirect-emissions"/>
    <w:p>
      <w:pPr>
        <w:pStyle w:val="Heading3"/>
      </w:pPr>
      <w:r>
        <w:t xml:space="preserve">3.2 Scope 2: Energy Indirect Emissions</w:t>
      </w:r>
    </w:p>
    <w:p>
      <w:pPr>
        <w:pStyle w:val="FirstParagraph"/>
      </w:pPr>
      <w:r>
        <w:t xml:space="preserve">Indirect GHG emissions from the generation of purchased electricity, steam, heating, or cooling consumed by fwoenrimgv\'s operations.</w:t>
      </w:r>
    </w:p>
    <w:p>
      <w:pPr>
        <w:numPr>
          <w:ilvl w:val="0"/>
          <w:numId w:val="1008"/>
        </w:numPr>
        <w:pStyle w:val="Compact"/>
      </w:pPr>
      <w:r>
        <w:rPr>
          <w:bCs/>
          <w:b/>
        </w:rPr>
        <w:t xml:space="preserve">Purchased Electricity Consumption:</w:t>
      </w:r>
      <w:r>
        <w:t xml:space="preserve"> </w:t>
      </w:r>
      <w:r>
        <w:t xml:space="preserve">10 kWh/unit * (1 - 0.50 renewable energy usage) = 5 kWh/unit</w:t>
      </w:r>
    </w:p>
    <w:p>
      <w:pPr>
        <w:numPr>
          <w:ilvl w:val="0"/>
          <w:numId w:val="1008"/>
        </w:numPr>
        <w:pStyle w:val="Compact"/>
      </w:pPr>
      <w:r>
        <w:rPr>
          <w:bCs/>
          <w:b/>
        </w:rPr>
        <w:t xml:space="preserve">China Grid Emission Factor:</w:t>
      </w:r>
      <w:r>
        <w:t xml:space="preserve"> </w:t>
      </w:r>
      <w:r>
        <w:t xml:space="preserve">0.6 kgCO2e/kWh</w:t>
      </w:r>
    </w:p>
    <w:p>
      <w:pPr>
        <w:numPr>
          <w:ilvl w:val="0"/>
          <w:numId w:val="1008"/>
        </w:numPr>
        <w:pStyle w:val="Compact"/>
      </w:pPr>
      <w:r>
        <w:rPr>
          <w:bCs/>
          <w:b/>
        </w:rPr>
        <w:t xml:space="preserve">Scope 2 Emissions:</w:t>
      </w:r>
      <w:r>
        <w:t xml:space="preserve"> </w:t>
      </w:r>
      <w:r>
        <w:t xml:space="preserve">5 kWh/unit * 0.6 kgCO2e/kWh = 3.00 kgCO2e/unit</w:t>
      </w:r>
    </w:p>
    <w:p>
      <w:pPr>
        <w:pStyle w:val="FirstParagraph"/>
      </w:pPr>
      <w:r>
        <w:rPr>
          <w:bCs/>
          <w:b/>
        </w:rPr>
        <w:t xml:space="preserve">Total Scope 2 Emissions: 3.00 kgCO2e/unit</w:t>
      </w:r>
    </w:p>
    <w:bookmarkEnd w:id="35"/>
    <w:bookmarkStart w:id="41" w:name="Xd1c2b652bc5876514f180a21f002993b8de8e83"/>
    <w:p>
      <w:pPr>
        <w:pStyle w:val="Heading3"/>
      </w:pPr>
      <w:r>
        <w:t xml:space="preserve">3.3 Scope 3: Other Indirect Emissions (Value Chain)</w:t>
      </w:r>
    </w:p>
    <w:p>
      <w:pPr>
        <w:pStyle w:val="FirstParagraph"/>
      </w:pPr>
      <w:r>
        <w:t xml:space="preserve">Scope 3 emissions are all indirect emissions not included in Scope 2 that occur in the value chain of fwoenrimgv, including both upstream and downstream emissions. The aim is to achieve at least 95% coverage as per upcoming GHG Protocol requirements.</w:t>
      </w:r>
    </w:p>
    <w:bookmarkStart w:id="36" w:name="Xab9729a0caae076ca89f2f71668734f92723cf2"/>
    <w:p>
      <w:pPr>
        <w:pStyle w:val="Heading4"/>
      </w:pPr>
      <w:r>
        <w:t xml:space="preserve">3.3.1 Category 1: Purchased Goods and Services (Materials)</w:t>
      </w:r>
    </w:p>
    <w:p>
      <w:pPr>
        <w:pStyle w:val="FirstParagraph"/>
      </w:pPr>
      <w:r>
        <w:t xml:space="preserve">Emissions from the extraction, production, and transportation of raw materials and components purchased by fwoenrimgv for yrpzjytnmu.</w:t>
      </w:r>
    </w:p>
    <w:p>
      <w:pPr>
        <w:numPr>
          <w:ilvl w:val="0"/>
          <w:numId w:val="1009"/>
        </w:numPr>
        <w:pStyle w:val="Compact"/>
      </w:pPr>
      <w:r>
        <w:rPr>
          <w:bCs/>
          <w:b/>
        </w:rPr>
        <w:t xml:space="preserve">Total Material Emissions (from BOM):</w:t>
      </w:r>
      <w:r>
        <w:t xml:space="preserve"> </w:t>
      </w:r>
      <w:r>
        <w:t xml:space="preserve">3.14 kgCO2e/unit</w:t>
      </w:r>
    </w:p>
    <w:bookmarkEnd w:id="36"/>
    <w:bookmarkStart w:id="37" w:name="X6669a43143349c25ec93e775eebde43de53a73c"/>
    <w:p>
      <w:pPr>
        <w:pStyle w:val="Heading4"/>
      </w:pPr>
      <w:r>
        <w:t xml:space="preserve">3.3.2 Category 4: Upstream Transportation and Distribution</w:t>
      </w:r>
    </w:p>
    <w:p>
      <w:pPr>
        <w:pStyle w:val="FirstParagraph"/>
      </w:pPr>
      <w:r>
        <w:t xml:space="preserve">Emissions from the transportation of purchased products (materials and components) between a company\'s tier 1 suppliers and its own operations.</w:t>
      </w:r>
    </w:p>
    <w:p>
      <w:pPr>
        <w:numPr>
          <w:ilvl w:val="0"/>
          <w:numId w:val="1010"/>
        </w:numPr>
        <w:pStyle w:val="Compact"/>
      </w:pPr>
      <w:r>
        <w:rPr>
          <w:bCs/>
          <w:b/>
        </w:rPr>
        <w:t xml:space="preserve">Product Mass:</w:t>
      </w:r>
      <w:r>
        <w:t xml:space="preserve"> </w:t>
      </w:r>
      <w:r>
        <w:t xml:space="preserve">0.5 kg (0.0005 tonnes)</w:t>
      </w:r>
    </w:p>
    <w:p>
      <w:pPr>
        <w:numPr>
          <w:ilvl w:val="0"/>
          <w:numId w:val="1010"/>
        </w:numPr>
        <w:pStyle w:val="Compact"/>
      </w:pPr>
      <w:r>
        <w:rPr>
          <w:bCs/>
          <w:b/>
        </w:rPr>
        <w:t xml:space="preserve">Ocean Freight (China to Europe):</w:t>
      </w:r>
      <w:r>
        <w:t xml:space="preserve"> </w:t>
      </w:r>
      <w:r>
        <w:t xml:space="preserve">0.0005 tonnes * 15,000 km * 0.016142 kgCO2e/tonne-km = 0.121 kgCO2e</w:t>
      </w:r>
    </w:p>
    <w:bookmarkEnd w:id="37"/>
    <w:bookmarkStart w:id="38" w:name="X25a0837e2ca53a982bfb6f58a50970139f4f25f"/>
    <w:p>
      <w:pPr>
        <w:pStyle w:val="Heading4"/>
      </w:pPr>
      <w:r>
        <w:t xml:space="preserve">3.3.3 Category 9: Downstream Transportation and Distribution</w:t>
      </w:r>
    </w:p>
    <w:p>
      <w:pPr>
        <w:pStyle w:val="FirstParagraph"/>
      </w:pPr>
      <w:r>
        <w:t xml:space="preserve">Emissions from the transportation and distribution of sold products in vehicles and facilities not owned or controlled by fwoenrimgv.</w:t>
      </w:r>
    </w:p>
    <w:p>
      <w:pPr>
        <w:numPr>
          <w:ilvl w:val="0"/>
          <w:numId w:val="1011"/>
        </w:numPr>
        <w:pStyle w:val="Compact"/>
      </w:pPr>
      <w:r>
        <w:rPr>
          <w:bCs/>
          <w:b/>
        </w:rPr>
        <w:t xml:space="preserve">Product Mass:</w:t>
      </w:r>
      <w:r>
        <w:t xml:space="preserve"> </w:t>
      </w:r>
      <w:r>
        <w:t xml:space="preserve">0.5 kg (0.0005 tonnes)</w:t>
      </w:r>
    </w:p>
    <w:p>
      <w:pPr>
        <w:numPr>
          <w:ilvl w:val="0"/>
          <w:numId w:val="1011"/>
        </w:numPr>
        <w:pStyle w:val="Compact"/>
      </w:pPr>
      <w:r>
        <w:rPr>
          <w:bCs/>
          <w:b/>
        </w:rPr>
        <w:t xml:space="preserve">Road Freight (Europe Distribution):</w:t>
      </w:r>
      <w:r>
        <w:t xml:space="preserve"> </w:t>
      </w:r>
      <w:r>
        <w:t xml:space="preserve">0.0005 tonnes * 500 km * 0.092 kgCO2e/tonne-km = 0.023 kgCO2e</w:t>
      </w:r>
    </w:p>
    <w:p>
      <w:pPr>
        <w:numPr>
          <w:ilvl w:val="0"/>
          <w:numId w:val="1011"/>
        </w:numPr>
        <w:pStyle w:val="Compact"/>
      </w:pPr>
      <w:r>
        <w:rPr>
          <w:bCs/>
          <w:b/>
        </w:rPr>
        <w:t xml:space="preserve">Last-Mile Delivery (approximate):</w:t>
      </w:r>
      <w:r>
        <w:t xml:space="preserve"> </w:t>
      </w:r>
      <w:r>
        <w:t xml:space="preserve">Assuming this is part of the 500km road freight for simplification, or a small additional fixed factor per unit: 0.01 kgCO2e/unit (placeholder for very localized delivery).</w:t>
      </w:r>
    </w:p>
    <w:bookmarkEnd w:id="38"/>
    <w:bookmarkStart w:id="39" w:name="category-11-use-of-sold-products"/>
    <w:p>
      <w:pPr>
        <w:pStyle w:val="Heading4"/>
      </w:pPr>
      <w:r>
        <w:t xml:space="preserve">3.3.4 Category 11: Use of Sold Products</w:t>
      </w:r>
    </w:p>
    <w:p>
      <w:pPr>
        <w:pStyle w:val="FirstParagraph"/>
      </w:pPr>
      <w:r>
        <w:t xml:space="preserve">Emissions from the use of products sold by fwoenrimgv over their lifespan.</w:t>
      </w:r>
    </w:p>
    <w:p>
      <w:pPr>
        <w:numPr>
          <w:ilvl w:val="0"/>
          <w:numId w:val="1012"/>
        </w:numPr>
        <w:pStyle w:val="Compact"/>
      </w:pPr>
      <w:r>
        <w:rPr>
          <w:bCs/>
          <w:b/>
        </w:rPr>
        <w:t xml:space="preserve">Energy Consumption in Use:</w:t>
      </w:r>
      <w:r>
        <w:t xml:space="preserve"> </w:t>
      </w:r>
      <w:r>
        <w:t xml:space="preserve">5 kWh/year * 3 years = 15 kWh/unit</w:t>
      </w:r>
    </w:p>
    <w:p>
      <w:pPr>
        <w:numPr>
          <w:ilvl w:val="0"/>
          <w:numId w:val="1012"/>
        </w:numPr>
        <w:pStyle w:val="Compact"/>
      </w:pPr>
      <w:r>
        <w:rPr>
          <w:bCs/>
          <w:b/>
        </w:rPr>
        <w:t xml:space="preserve">European Grid Emission Factor:</w:t>
      </w:r>
      <w:r>
        <w:t xml:space="preserve"> </w:t>
      </w:r>
      <w:r>
        <w:t xml:space="preserve">0.25 kgCO2e/kWh</w:t>
      </w:r>
    </w:p>
    <w:p>
      <w:pPr>
        <w:numPr>
          <w:ilvl w:val="0"/>
          <w:numId w:val="1012"/>
        </w:numPr>
        <w:pStyle w:val="Compact"/>
      </w:pPr>
      <w:r>
        <w:rPr>
          <w:bCs/>
          <w:b/>
        </w:rPr>
        <w:t xml:space="preserve">Use Phase Emissions:</w:t>
      </w:r>
      <w:r>
        <w:t xml:space="preserve"> </w:t>
      </w:r>
      <w:r>
        <w:t xml:space="preserve">15 kWh/unit * 0.25 kgCO2e/kWh = 3.75 kgCO2e/unit</w:t>
      </w:r>
    </w:p>
    <w:bookmarkEnd w:id="39"/>
    <w:bookmarkStart w:id="40" w:name="X9f66eef2700632e081dfe139021cb724ffcd2c5"/>
    <w:p>
      <w:pPr>
        <w:pStyle w:val="Heading4"/>
      </w:pPr>
      <w:r>
        <w:t xml:space="preserve">3.3.5 Category 12: End-of-Life Treatment of Sold Products</w:t>
      </w:r>
    </w:p>
    <w:p>
      <w:pPr>
        <w:pStyle w:val="FirstParagraph"/>
      </w:pPr>
      <w:r>
        <w:t xml:space="preserve">Emissions from the waste disposal and treatment of products sold by fwoenrimgv at the end of their lives.</w:t>
      </w:r>
    </w:p>
    <w:p>
      <w:pPr>
        <w:numPr>
          <w:ilvl w:val="0"/>
          <w:numId w:val="1013"/>
        </w:numPr>
        <w:pStyle w:val="Compact"/>
      </w:pPr>
      <w:r>
        <w:rPr>
          <w:bCs/>
          <w:b/>
        </w:rPr>
        <w:t xml:space="preserve">Product Mass:</w:t>
      </w:r>
      <w:r>
        <w:t xml:space="preserve"> </w:t>
      </w:r>
      <w:r>
        <w:t xml:space="preserve">0.5 kg</w:t>
      </w:r>
    </w:p>
    <w:p>
      <w:pPr>
        <w:numPr>
          <w:ilvl w:val="0"/>
          <w:numId w:val="1013"/>
        </w:numPr>
        <w:pStyle w:val="Compact"/>
      </w:pPr>
      <w:r>
        <w:rPr>
          <w:bCs/>
          <w:b/>
        </w:rPr>
        <w:t xml:space="preserve">Non-Recycled Portion:</w:t>
      </w:r>
      <w:r>
        <w:t xml:space="preserve"> </w:t>
      </w:r>
      <w:r>
        <w:t xml:space="preserve">0.5 kg * (1 - 0.70 recyclability) = 0.15 kg</w:t>
      </w:r>
    </w:p>
    <w:p>
      <w:pPr>
        <w:numPr>
          <w:ilvl w:val="0"/>
          <w:numId w:val="1013"/>
        </w:numPr>
        <w:pStyle w:val="Compact"/>
      </w:pPr>
      <w:r>
        <w:rPr>
          <w:bCs/>
          <w:b/>
        </w:rPr>
        <w:t xml:space="preserve">Landfill Emissions:</w:t>
      </w:r>
      <w:r>
        <w:t xml:space="preserve"> </w:t>
      </w:r>
      <w:r>
        <w:t xml:space="preserve">0.15 kg * 0.05 kgCO2e/kg = 0.0075 kgCO2e</w:t>
      </w:r>
    </w:p>
    <w:p>
      <w:pPr>
        <w:numPr>
          <w:ilvl w:val="0"/>
          <w:numId w:val="1013"/>
        </w:numPr>
        <w:pStyle w:val="Compact"/>
      </w:pPr>
      <w:r>
        <w:rPr>
          <w:bCs/>
          <w:b/>
        </w:rPr>
        <w:t xml:space="preserve">Recycling Benefit (Avoided Emissions):</w:t>
      </w:r>
      <w:r>
        <w:t xml:space="preserve"> </w:t>
      </w:r>
      <w:r>
        <w:t xml:space="preserve">0.5 kg * 0.70 recyclability * (-2.0 kgCO2e/kg) = -0.70 kgCO2e</w:t>
      </w:r>
    </w:p>
    <w:p>
      <w:pPr>
        <w:numPr>
          <w:ilvl w:val="0"/>
          <w:numId w:val="1013"/>
        </w:numPr>
        <w:pStyle w:val="Compact"/>
      </w:pPr>
      <w:r>
        <w:rPr>
          <w:bCs/>
          <w:b/>
        </w:rPr>
        <w:t xml:space="preserve">EoL Net Emissions:</w:t>
      </w:r>
      <w:r>
        <w:t xml:space="preserve"> </w:t>
      </w:r>
      <w:r>
        <w:t xml:space="preserve">0.0075 kgCO2e - 0.70 kgCO2e = -0.6925 kgCO2e/unit</w:t>
      </w:r>
    </w:p>
    <w:p>
      <w:pPr>
        <w:pStyle w:val="FirstParagraph"/>
      </w:pPr>
      <w:r>
        <w:t xml:space="preserve">The "Limited Take-back Program" (`gekxhhuxis`) contributes to achieving the recyclability percentage and helps manage end-of-life impacts, contributing to circularity goals.</w:t>
      </w:r>
    </w:p>
    <w:bookmarkEnd w:id="40"/>
    <w:bookmarkEnd w:id="41"/>
    <w:bookmarkStart w:id="42" w:name="X7dc7e6b4e698da4db74a99e190898f945178057"/>
    <w:p>
      <w:pPr>
        <w:pStyle w:val="Heading3"/>
      </w:pPr>
      <w:r>
        <w:t xml:space="preserve">3.4 Summary of PCF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rPr>
                <w:bCs/>
                <w:b/>
              </w:rPr>
              <w:t xml:space="preserve">Raw Material Acquisition &amp; Processing</w:t>
            </w:r>
          </w:p>
        </w:tc>
        <w:tc>
          <w:tcPr/>
          <w:p>
            <w:pPr>
              <w:pStyle w:val="Compact"/>
              <w:jc w:val="left"/>
            </w:pPr>
            <w:r>
              <w:t xml:space="preserve">Scope 3, Category 1</w:t>
            </w:r>
          </w:p>
        </w:tc>
        <w:tc>
          <w:tcPr/>
          <w:p>
            <w:pPr>
              <w:pStyle w:val="Compact"/>
              <w:jc w:val="left"/>
            </w:pPr>
            <w:r>
              <w:t xml:space="preserve">3.14</w:t>
            </w:r>
          </w:p>
        </w:tc>
      </w:tr>
      <w:tr>
        <w:tc>
          <w:tcPr/>
          <w:p>
            <w:pPr>
              <w:pStyle w:val="Compact"/>
              <w:jc w:val="left"/>
            </w:pPr>
            <w:r>
              <w:rPr>
                <w:bCs/>
                <w:b/>
              </w:rPr>
              <w:t xml:space="preserve">Manufacturing (Direct)</w:t>
            </w:r>
          </w:p>
        </w:tc>
        <w:tc>
          <w:tcPr/>
          <w:p>
            <w:pPr>
              <w:pStyle w:val="Compact"/>
              <w:jc w:val="left"/>
            </w:pPr>
            <w:r>
              <w:t xml:space="preserve">Scope 1</w:t>
            </w:r>
          </w:p>
        </w:tc>
        <w:tc>
          <w:tcPr/>
          <w:p>
            <w:pPr>
              <w:pStyle w:val="Compact"/>
              <w:jc w:val="left"/>
            </w:pPr>
            <w:r>
              <w:t xml:space="preserve">0.05</w:t>
            </w:r>
          </w:p>
        </w:tc>
      </w:tr>
      <w:tr>
        <w:tc>
          <w:tcPr/>
          <w:p>
            <w:pPr>
              <w:pStyle w:val="Compact"/>
              <w:jc w:val="left"/>
            </w:pPr>
            <w:r>
              <w:rPr>
                <w:bCs/>
                <w:b/>
              </w:rPr>
              <w:t xml:space="preserve">Manufacturing (Purchased Electricity)</w:t>
            </w:r>
          </w:p>
        </w:tc>
        <w:tc>
          <w:tcPr/>
          <w:p>
            <w:pPr>
              <w:pStyle w:val="Compact"/>
              <w:jc w:val="left"/>
            </w:pPr>
            <w:r>
              <w:t xml:space="preserve">Scope 2</w:t>
            </w:r>
          </w:p>
        </w:tc>
        <w:tc>
          <w:tcPr/>
          <w:p>
            <w:pPr>
              <w:pStyle w:val="Compact"/>
              <w:jc w:val="left"/>
            </w:pPr>
            <w:r>
              <w:t xml:space="preserve">3.00</w:t>
            </w:r>
          </w:p>
        </w:tc>
      </w:tr>
      <w:tr>
        <w:tc>
          <w:tcPr/>
          <w:p>
            <w:pPr>
              <w:pStyle w:val="Compact"/>
              <w:jc w:val="left"/>
            </w:pPr>
            <w:r>
              <w:rPr>
                <w:bCs/>
                <w:b/>
              </w:rPr>
              <w:t xml:space="preserve">Upstream Transportation (Ocean Freight)</w:t>
            </w:r>
          </w:p>
        </w:tc>
        <w:tc>
          <w:tcPr/>
          <w:p>
            <w:pPr>
              <w:pStyle w:val="Compact"/>
              <w:jc w:val="left"/>
            </w:pPr>
            <w:r>
              <w:t xml:space="preserve">Scope 3, Category 4</w:t>
            </w:r>
          </w:p>
        </w:tc>
        <w:tc>
          <w:tcPr/>
          <w:p>
            <w:pPr>
              <w:pStyle w:val="Compact"/>
              <w:jc w:val="left"/>
            </w:pPr>
            <w:r>
              <w:t xml:space="preserve">0.121</w:t>
            </w:r>
          </w:p>
        </w:tc>
      </w:tr>
      <w:tr>
        <w:tc>
          <w:tcPr/>
          <w:p>
            <w:pPr>
              <w:pStyle w:val="Compact"/>
              <w:jc w:val="left"/>
            </w:pPr>
            <w:r>
              <w:rPr>
                <w:bCs/>
                <w:b/>
              </w:rPr>
              <w:t xml:space="preserve">Downstream Transportation (Road Freight &amp; Last-Mile)</w:t>
            </w:r>
          </w:p>
        </w:tc>
        <w:tc>
          <w:tcPr/>
          <w:p>
            <w:pPr>
              <w:pStyle w:val="Compact"/>
              <w:jc w:val="left"/>
            </w:pPr>
            <w:r>
              <w:t xml:space="preserve">Scope 3, Category 9</w:t>
            </w:r>
          </w:p>
        </w:tc>
        <w:tc>
          <w:tcPr/>
          <w:p>
            <w:pPr>
              <w:pStyle w:val="Compact"/>
              <w:jc w:val="left"/>
            </w:pPr>
            <w:r>
              <w:t xml:space="preserve">0.033</w:t>
            </w:r>
          </w:p>
        </w:tc>
      </w:tr>
      <w:tr>
        <w:tc>
          <w:tcPr/>
          <w:p>
            <w:pPr>
              <w:pStyle w:val="Compact"/>
              <w:jc w:val="left"/>
            </w:pPr>
            <w:r>
              <w:rPr>
                <w:bCs/>
                <w:b/>
              </w:rPr>
              <w:t xml:space="preserve">Product Use Phase</w:t>
            </w:r>
          </w:p>
        </w:tc>
        <w:tc>
          <w:tcPr/>
          <w:p>
            <w:pPr>
              <w:pStyle w:val="Compact"/>
              <w:jc w:val="left"/>
            </w:pPr>
            <w:r>
              <w:t xml:space="preserve">Scope 3, Category 11</w:t>
            </w:r>
          </w:p>
        </w:tc>
        <w:tc>
          <w:tcPr/>
          <w:p>
            <w:pPr>
              <w:pStyle w:val="Compact"/>
              <w:jc w:val="left"/>
            </w:pPr>
            <w:r>
              <w:t xml:space="preserve">3.75</w:t>
            </w:r>
          </w:p>
        </w:tc>
      </w:tr>
      <w:tr>
        <w:tc>
          <w:tcPr/>
          <w:p>
            <w:pPr>
              <w:pStyle w:val="Compact"/>
              <w:jc w:val="left"/>
            </w:pPr>
            <w:r>
              <w:rPr>
                <w:bCs/>
                <w:b/>
              </w:rPr>
              <w:t xml:space="preserve">End-of-Life Treatment (Net)</w:t>
            </w:r>
          </w:p>
        </w:tc>
        <w:tc>
          <w:tcPr/>
          <w:p>
            <w:pPr>
              <w:pStyle w:val="Compact"/>
              <w:jc w:val="left"/>
            </w:pPr>
            <w:r>
              <w:t xml:space="preserve">Scope 3, Category 12</w:t>
            </w:r>
          </w:p>
        </w:tc>
        <w:tc>
          <w:tcPr/>
          <w:p>
            <w:pPr>
              <w:pStyle w:val="Compact"/>
              <w:jc w:val="left"/>
            </w:pPr>
            <w:r>
              <w:t xml:space="preserve">-0.6925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9.4015</w:t>
            </w:r>
          </w:p>
        </w:tc>
      </w:tr>
    </w:tbl>
    <w:p>
      <w:pPr>
        <w:pStyle w:val="BodyText"/>
      </w:pPr>
      <w:r>
        <w:rPr>
          <w:bCs/>
          <w:b/>
        </w:rPr>
        <w:t xml:space="preserve">Total Product Carbon Footprint for yrpzjytnmu: 9.40 kgCO2e per unit.</w:t>
      </w:r>
    </w:p>
    <w:p>
      <w:r>
        <w:pict>
          <v:rect style="width:0;height:1.5pt" o:hralign="center" o:hrstd="t" o:hr="t"/>
        </w:pict>
      </w:r>
    </w:p>
    <w:bookmarkEnd w:id="42"/>
    <w:bookmarkEnd w:id="43"/>
    <w:bookmarkStart w:id="47" w:name="review-report"/>
    <w:p>
      <w:pPr>
        <w:pStyle w:val="Heading2"/>
      </w:pPr>
      <w:r>
        <w:t xml:space="preserve">4. Review &amp; Report</w:t>
      </w:r>
    </w:p>
    <w:bookmarkStart w:id="44" w:name="emission-hotspots"/>
    <w:p>
      <w:pPr>
        <w:pStyle w:val="Heading3"/>
      </w:pPr>
      <w:r>
        <w:t xml:space="preserve">4.1 Emission Hotspots</w:t>
      </w:r>
    </w:p>
    <w:p>
      <w:pPr>
        <w:pStyle w:val="FirstParagraph"/>
      </w:pPr>
      <w:r>
        <w:t xml:space="preserve">Based on the calculations, the primary emission hotspots for the yrpzjytnmu Smart Home Hub are:</w:t>
      </w:r>
    </w:p>
    <w:p>
      <w:pPr>
        <w:numPr>
          <w:ilvl w:val="0"/>
          <w:numId w:val="1014"/>
        </w:numPr>
        <w:pStyle w:val="Compact"/>
      </w:pPr>
      <w:r>
        <w:rPr>
          <w:bCs/>
          <w:b/>
        </w:rPr>
        <w:t xml:space="preserve">Product Use Phase (3.75 kgCO2e):</w:t>
      </w:r>
      <w:r>
        <w:t xml:space="preserve"> </w:t>
      </w:r>
      <w:r>
        <w:t xml:space="preserve">This is the largest single contributor, driven by the energy consumption of the device over its 3-year lifespan and the carbon intensity of the European electricity grid.</w:t>
      </w:r>
    </w:p>
    <w:p>
      <w:pPr>
        <w:numPr>
          <w:ilvl w:val="0"/>
          <w:numId w:val="1014"/>
        </w:numPr>
        <w:pStyle w:val="Compact"/>
      </w:pPr>
      <w:r>
        <w:rPr>
          <w:bCs/>
          <w:b/>
        </w:rPr>
        <w:t xml:space="preserve">Purchased Electricity for Manufacturing (3.00 kgCO2e):</w:t>
      </w:r>
      <w:r>
        <w:t xml:space="preserve"> </w:t>
      </w:r>
      <w:r>
        <w:t xml:space="preserve">Despite 50% renewable energy usage, the remaining grid electricity in China (which has a relatively high carbon intensity) represents a significant impact.</w:t>
      </w:r>
    </w:p>
    <w:p>
      <w:pPr>
        <w:numPr>
          <w:ilvl w:val="0"/>
          <w:numId w:val="1014"/>
        </w:numPr>
        <w:pStyle w:val="Compact"/>
      </w:pPr>
      <w:r>
        <w:rPr>
          <w:bCs/>
          <w:b/>
        </w:rPr>
        <w:t xml:space="preserve">Raw Material Acquisition &amp; Processing (3.14 kgCO2e):</w:t>
      </w:r>
      <w:r>
        <w:t xml:space="preserve"> </w:t>
      </w:r>
      <w:r>
        <w:t xml:space="preserve">The embodied carbon in electronic components and specialized materials contributes substantially to the upstream footprint.</w:t>
      </w:r>
    </w:p>
    <w:bookmarkEnd w:id="44"/>
    <w:bookmarkStart w:id="46" w:name="reliability-statement-and-limitations"/>
    <w:p>
      <w:pPr>
        <w:pStyle w:val="Heading3"/>
      </w:pPr>
      <w:r>
        <w:t xml:space="preserve">4.2 Reliability Statement and Limitations</w:t>
      </w:r>
    </w:p>
    <w:p>
      <w:pPr>
        <w:pStyle w:val="FirstParagraph"/>
      </w:pPr>
      <w:r>
        <w:t xml:space="preserve">This report provides a high-level PCF analysis based on the provided parameters and reasonable industry-standard emission factors. The reliability of the calculations is directly dependent on the accuracy and specificity of the input data. Key limitations include:</w:t>
      </w:r>
    </w:p>
    <w:p>
      <w:pPr>
        <w:numPr>
          <w:ilvl w:val="0"/>
          <w:numId w:val="1015"/>
        </w:numPr>
        <w:pStyle w:val="Compact"/>
      </w:pPr>
      <w:r>
        <w:rPr>
          <w:bCs/>
          <w:b/>
        </w:rPr>
        <w:t xml:space="preserve">Placeholder Data:</w:t>
      </w:r>
      <w:r>
        <w:t xml:space="preserve"> </w:t>
      </w:r>
      <w:r>
        <w:t xml:space="preserve">The Detailed Bill of Materials (`vggwlhdf`), Transport Mode (`Select Mode`), Transport Distance (`iouxzizwqo`), Last-Mile Delivery Channel (`Delivery Type`), Renewable Energy Usage (`jlkonozxhx`), Energy Intensity (`exkwwdzjvq`), Product Lifespan (`zdfriqywyp`), Energy Consumption in Use (`rixsilgqil`), Recyclability Percentage (`qnqkrtxwks`), and Circular/Take-back Programs (`gekxhhuxis`) were provided as placeholder strings. Fictional but plausible values and general emission factors (e.g., from Ecoinvent/DEFRA equivalents) were used for calculation purposes. Higher accuracy would require specific, primary data for each parameter.</w:t>
      </w:r>
    </w:p>
    <w:p>
      <w:pPr>
        <w:numPr>
          <w:ilvl w:val="0"/>
          <w:numId w:val="1015"/>
        </w:numPr>
        <w:pStyle w:val="Compact"/>
      </w:pPr>
      <w:r>
        <w:rPr>
          <w:bCs/>
          <w:b/>
        </w:rPr>
        <w:t xml:space="preserve">Generic Emission Factors:</w:t>
      </w:r>
      <w:r>
        <w:t xml:space="preserve"> </w:t>
      </w:r>
      <w:r>
        <w:t xml:space="preserve">While industry-standard factors were used (e.g., for electricity grids, freight), these are averages. More precise calculations would benefit from supplier-specific or region-specific emission factors. For transport, factors can vary significantly based on vehicle type, load, fuel, and specific routes.</w:t>
      </w:r>
    </w:p>
    <w:p>
      <w:pPr>
        <w:numPr>
          <w:ilvl w:val="0"/>
          <w:numId w:val="1015"/>
        </w:numPr>
        <w:pStyle w:val="Compact"/>
      </w:pPr>
      <w:r>
        <w:rPr>
          <w:bCs/>
          <w:b/>
        </w:rPr>
        <w:t xml:space="preserve">LSR Standard Application:</w:t>
      </w:r>
      <w:r>
        <w:t xml:space="preserve"> </w:t>
      </w:r>
      <w:r>
        <w:t xml:space="preserve">The LSR Standard for land use and removals is effective January 1, 2027, with full guidance in Q2 2026. While its principles are considered, the current product\'s BOM does not contain explicitly land-intensive materials requiring detailed LSR accounting for land-use change, but its influence on biogenic materials (like packaging) is noted.</w:t>
      </w:r>
    </w:p>
    <w:p>
      <w:pPr>
        <w:numPr>
          <w:ilvl w:val="0"/>
          <w:numId w:val="1015"/>
        </w:numPr>
        <w:pStyle w:val="Compact"/>
      </w:pPr>
      <w:r>
        <w:rPr>
          <w:bCs/>
          <w:b/>
        </w:rPr>
        <w:t xml:space="preserve">Scope 3 Completeness:</w:t>
      </w:r>
      <w:r>
        <w:t xml:space="preserve"> </w:t>
      </w:r>
      <w:r>
        <w:t xml:space="preserve">Although a 95% coverage target for Scope 3 emissions is emphasized, without detailed financial data or a full value chain assessment, some minor Scope 3 categories may be estimated or excluded, impacting the absolute completeness. The intention to track and report these is stated.</w:t>
      </w:r>
    </w:p>
    <w:p>
      <w:pPr>
        <w:pStyle w:val="FirstParagraph"/>
      </w:pPr>
      <w:r>
        <w:t xml:space="preserve">To enhance the accuracy and robustness of future PCF analyses, fwoenrimgv is recommended to pursue primary data collection from its supply chain partners, particularly for material manufacturing and specific transportation routes. Investing in deeper insights into product use patterns and end-of-life processing within specific markets would further refine the use phase and EoL impact assessments.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yrpzjytnmu (Smart Home Hub)</dc:title>
  <dc:creator/>
  <dc:description>Product Carbon Footprint (PCF) analysis report for yrpzjytnmu, a Smart Home Hub, for company fwoenrimgv, adhering to GHG Protocol standards and 2026 updates.</dc:description>
  <dc:language>en</dc:language>
  <cp:keywords/>
  <dcterms:created xsi:type="dcterms:W3CDTF">2026-07-15T03:44:17Z</dcterms:created>
  <dcterms:modified xsi:type="dcterms:W3CDTF">2026-07-15T03:44:17Z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