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ynxmiksgtj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ynxmiksgtj</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wpqlpongfi</w:t>
      </w:r>
    </w:p>
    <w:p>
      <w:pPr>
        <w:pStyle w:val="BodyText"/>
      </w:pPr>
      <w:r>
        <w:rPr>
          <w:bCs/>
          <w:b/>
        </w:rPr>
        <w:t xml:space="preserve">Senior Sustainability Consultant:</w:t>
      </w:r>
      <w:r>
        <w:t xml:space="preserve"> </w:t>
      </w:r>
      <w:r>
        <w:t xml:space="preserve">xxxwqouhsu</w:t>
      </w:r>
    </w:p>
    <w:p>
      <w:pPr>
        <w:pStyle w:val="BodyText"/>
      </w:pPr>
      <w:r>
        <w:t xml:space="preserve">This report is generated based on available data and industry standards, providing an estimate of the product carbon footprint. Accuracy is dependent on the completeness and precision of the input data.</w:t>
      </w:r>
    </w:p>
    <w:bookmarkEnd w:id="20"/>
    <w:bookmarkStart w:id="22" w:name="X5b5439262cfb8ea35fac8d71046673f2a630c24"/>
    <w:p>
      <w:pPr>
        <w:pStyle w:val="Heading1"/>
      </w:pPr>
      <w:r>
        <w:t xml:space="preserve">Product Carbon Footprint Analysis Report: ynxmiksgtj</w:t>
      </w:r>
    </w:p>
    <w:p>
      <w:pPr>
        <w:pStyle w:val="FirstParagraph"/>
      </w:pPr>
      <w:r>
        <w:t xml:space="preserve">Generated Date:</w:t>
      </w:r>
      <w:r>
        <w:t xml:space="preserve"> </w:t>
      </w:r>
      <w:bookmarkStart w:id="21" w:name="report-date"/>
      <w:bookmarkEnd w:id="21"/>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\'ynxmiksgtj\', manufactured by wpqlpongfi. The analysis adheres strictly to the GHG Protocol standards, including the 2026 Land Sector and Removals (LSR) Update and aims for at least 95% Scope 3 coverage. Conducted by Senior Sustainability Consultant xxxwqouhsu, this assessment quantifies greenhouse gas (GHG) emissions across the product\'s lifecycle, from material acquisition to end-of-life. Key emission hotspots are identified, and the impact of specified operational and end-of-life scenarios, such as renewable energy usage and recyclability, are incorporated to provide a comprehensive view of the product\'s environmental performance.</w:t>
      </w:r>
    </w:p>
    <w:p>
      <w:r>
        <w:pict>
          <v:rect style="width:0;height:1.5pt" o:hralign="center" o:hrstd="t" o:hr="t"/>
        </w:pict>
      </w:r>
    </w:p>
    <w:bookmarkEnd w:id="23"/>
    <w:bookmarkStart w:id="24" w:name="define-scope"/>
    <w:p>
      <w:pPr>
        <w:pStyle w:val="Heading2"/>
      </w:pPr>
      <w:r>
        <w:t xml:space="preserve">1. Define Scope</w:t>
      </w:r>
    </w:p>
    <w:p>
      <w:pPr>
        <w:pStyle w:val="FirstParagraph"/>
      </w:pPr>
      <w:r>
        <w:t xml:space="preserve">The foundational parameters for this Product Carbon Footprint (PCF) analysis are defined as follows, in accordance with the GHG Protocol Product Standard.</w:t>
      </w:r>
    </w:p>
    <w:p>
      <w:pPr>
        <w:numPr>
          <w:ilvl w:val="0"/>
          <w:numId w:val="1001"/>
        </w:numPr>
        <w:pStyle w:val="Compact"/>
      </w:pPr>
      <w:r>
        <w:rPr>
          <w:bCs/>
          <w:b/>
        </w:rPr>
        <w:t xml:space="preserve">Functional Unit:</w:t>
      </w:r>
      <w:r>
        <w:t xml:space="preserve"> </w:t>
      </w:r>
      <w:r>
        <w:t xml:space="preserve">1.0 unit of ynxmiksgtj</w:t>
      </w:r>
    </w:p>
    <w:p>
      <w:pPr>
        <w:numPr>
          <w:ilvl w:val="0"/>
          <w:numId w:val="1001"/>
        </w:numPr>
        <w:pStyle w:val="Compact"/>
      </w:pPr>
      <w:r>
        <w:rPr>
          <w:bCs/>
          <w:b/>
        </w:rPr>
        <w:t xml:space="preserve">System Boundary:</w:t>
      </w:r>
      <w:r>
        <w:t xml:space="preserve"> </w:t>
      </w:r>
      <w:r>
        <w:t xml:space="preserve">Cradle-to-gate (factory_gate) with additional analysis for downstream use and end-of-life phases. This includes material extraction, manufacturing, transportation to factory gate, and extends to cover product use and end-of-life scenarios.</w:t>
      </w:r>
    </w:p>
    <w:p>
      <w:pPr>
        <w:numPr>
          <w:ilvl w:val="0"/>
          <w:numId w:val="1001"/>
        </w:numPr>
        <w:pStyle w:val="Compact"/>
      </w:pPr>
      <w:r>
        <w:rPr>
          <w:bCs/>
          <w:b/>
        </w:rPr>
        <w:t xml:space="preserve">Geographic Scope:</w:t>
      </w:r>
      <w:r>
        <w:t xml:space="preserve"> </w:t>
      </w:r>
      <w:r>
        <w:t xml:space="preserve">Final Production Country: China; Supply Chain Focus: Europe Focused (for transport and distribution from factory gate).</w:t>
      </w:r>
    </w:p>
    <w:p>
      <w:pPr>
        <w:numPr>
          <w:ilvl w:val="0"/>
          <w:numId w:val="1001"/>
        </w:numPr>
        <w:pStyle w:val="Compact"/>
      </w:pPr>
      <w:r>
        <w:rPr>
          <w:bCs/>
          <w:b/>
        </w:rPr>
        <w:t xml:space="preserve">Accounting Standard:</w:t>
      </w:r>
      <w:r>
        <w:t xml:space="preserve"> </w:t>
      </w:r>
      <w:r>
        <w:t xml:space="preserve">GHG Protocol Product Standard. Emissions are categorized into Scope 1 (direct emissions), Scope 2 (purchased energy), and Scope 3 (indirect value chain emissions), aligning with the corporate GHG Protocol standards.</w:t>
      </w:r>
    </w:p>
    <w:p>
      <w:pPr>
        <w:numPr>
          <w:ilvl w:val="0"/>
          <w:numId w:val="1001"/>
        </w:numPr>
        <w:pStyle w:val="Compact"/>
      </w:pPr>
      <w:r>
        <w:rPr>
          <w:bCs/>
          <w:b/>
        </w:rPr>
        <w:t xml:space="preserve">Allocation:</w:t>
      </w:r>
      <w:r>
        <w:t xml:space="preserve"> </w:t>
      </w:r>
      <w:r>
        <w:t xml:space="preserve">Emissions are allocated directly to the functional unit of the product \'ynxmiksgtj\'. Where shared processes occur, mass-based allocation is applied.</w:t>
      </w:r>
    </w:p>
    <w:p>
      <w:r>
        <w:pict>
          <v:rect style="width:0;height:1.5pt" o:hralign="center" o:hrstd="t" o:hr="t"/>
        </w:pict>
      </w:r>
    </w:p>
    <w:bookmarkEnd w:id="24"/>
    <w:bookmarkStart w:id="30" w:name="X9b3f95e3515408304ff4a9cec9842f2424d7a20"/>
    <w:p>
      <w:pPr>
        <w:pStyle w:val="Heading2"/>
      </w:pPr>
      <w:r>
        <w:t xml:space="preserve">2. Map Lifecycle (LCI inventory stages) &amp; 3. Collect Data (Primary/Secondary data points)</w:t>
      </w:r>
    </w:p>
    <w:p>
      <w:pPr>
        <w:pStyle w:val="FirstParagraph"/>
      </w:pPr>
      <w:r>
        <w:t xml:space="preserve">The lifecycle of \'ynxmiksgtj\' is mapped across several stages, for which primary and secondary data have been collected. The supply chain is focused on European distribution from a Chinese production base.</w:t>
      </w:r>
    </w:p>
    <w:bookmarkStart w:id="25" w:name="X03009c137a43313aa2402a234267084e196d2e6"/>
    <w:p>
      <w:pPr>
        <w:pStyle w:val="Heading3"/>
      </w:pPr>
      <w:r>
        <w:t xml:space="preserve">Detailed Bill of Materials (BOM) - Upstream Emissions (Scope 3, Category 1)</w:t>
      </w:r>
    </w:p>
    <w:p>
      <w:pPr>
        <w:pStyle w:val="FirstParagraph"/>
      </w:pPr>
      <w:r>
        <w:t xml:space="preserve">The following Bill of Materials (BOM) for \'ynxmiksgtj\' provides a high-accuracy basis for material impact calculations. The provided \'Total Carbon\' values, representing cradle-to-gate emissions for each component, are directly used.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w:t>
            </w:r>
            <w:r>
              <w:rPr>
                <w:vertAlign w:val="subscript"/>
              </w:rPr>
              <w:t xml:space="preserve">2</w:t>
            </w:r>
            <w:r>
              <w:t xml:space="preserve">e/kg)</w:t>
            </w:r>
          </w:p>
        </w:tc>
        <w:tc>
          <w:tcPr/>
          <w:p>
            <w:pPr>
              <w:pStyle w:val="Compact"/>
              <w:jc w:val="left"/>
            </w:pPr>
            <w:r>
              <w:t xml:space="preserve">Total Carbon (kgCO</w:t>
            </w:r>
            <w:r>
              <w:rPr>
                <w:vertAlign w:val="subscript"/>
              </w:rPr>
              <w:t xml:space="preserve">2</w:t>
            </w:r>
            <w:r>
              <w:t xml:space="preserve">e)</w:t>
            </w:r>
          </w:p>
        </w:tc>
      </w:tr>
      <w:tr>
        <w:tc>
          <w:tcPr/>
          <w:p>
            <w:pPr>
              <w:pStyle w:val="Compact"/>
              <w:jc w:val="left"/>
            </w:pPr>
            <w:r>
              <w:t xml:space="preserve">BOM001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0.4</w:t>
            </w:r>
          </w:p>
        </w:tc>
        <w:tc>
          <w:tcPr/>
          <w:p>
            <w:pPr>
              <w:pStyle w:val="Compact"/>
              <w:jc w:val="left"/>
            </w:pPr>
            <w:r>
              <w:t xml:space="preserve">kg</w:t>
            </w:r>
          </w:p>
        </w:tc>
        <w:tc>
          <w:tcPr/>
          <w:p>
            <w:pPr>
              <w:pStyle w:val="Compact"/>
              <w:jc w:val="left"/>
            </w:pPr>
            <w:r>
              <w:t xml:space="preserve">2.5</w:t>
            </w:r>
          </w:p>
        </w:tc>
        <w:tc>
          <w:tcPr/>
          <w:p>
            <w:pPr>
              <w:pStyle w:val="Compact"/>
              <w:jc w:val="left"/>
            </w:pPr>
            <w:r>
              <w:t xml:space="preserve">1.00</w:t>
            </w:r>
          </w:p>
        </w:tc>
      </w:tr>
      <w:tr>
        <w:tc>
          <w:tcPr/>
          <w:p>
            <w:pPr>
              <w:pStyle w:val="Compact"/>
              <w:jc w:val="left"/>
            </w:pPr>
            <w:r>
              <w:t xml:space="preserve">BOM002</w:t>
            </w:r>
          </w:p>
        </w:tc>
        <w:tc>
          <w:tcPr/>
          <w:p>
            <w:pPr>
              <w:pStyle w:val="Compact"/>
              <w:jc w:val="left"/>
            </w:pPr>
            <w:r>
              <w:t xml:space="preserve">Aluminum Alloy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9.0</w:t>
            </w:r>
          </w:p>
        </w:tc>
        <w:tc>
          <w:tcPr/>
          <w:p>
            <w:pPr>
              <w:pStyle w:val="Compact"/>
              <w:jc w:val="left"/>
            </w:pPr>
            <w:r>
              <w:t xml:space="preserve">2.70</w:t>
            </w:r>
          </w:p>
        </w:tc>
      </w:tr>
      <w:tr>
        <w:tc>
          <w:tcPr/>
          <w:p>
            <w:pPr>
              <w:pStyle w:val="Compact"/>
              <w:jc w:val="left"/>
            </w:pPr>
            <w:r>
              <w:t xml:space="preserve">BOM003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5.0</w:t>
            </w:r>
          </w:p>
        </w:tc>
        <w:tc>
          <w:tcPr/>
          <w:p>
            <w:pPr>
              <w:pStyle w:val="Compact"/>
              <w:jc w:val="left"/>
            </w:pPr>
            <w:r>
              <w:t xml:space="preserve">0.75</w:t>
            </w:r>
          </w:p>
        </w:tc>
      </w:tr>
      <w:tr>
        <w:tc>
          <w:tcPr/>
          <w:p>
            <w:pPr>
              <w:pStyle w:val="Compact"/>
              <w:jc w:val="left"/>
            </w:pPr>
            <w:r>
              <w:t xml:space="preserve">BOM004</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BOM005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0.09</w:t>
            </w:r>
          </w:p>
        </w:tc>
      </w:tr>
      <w:tr>
        <w:tc>
          <w:tcPr/>
          <w:p>
            <w:pPr>
              <w:pStyle w:val="Compact"/>
              <w:jc w:val="left"/>
            </w:pPr>
            <w:r>
              <w:t xml:space="preserve">BOM006</w:t>
            </w:r>
          </w:p>
        </w:tc>
        <w:tc>
          <w:tcPr/>
          <w:p>
            <w:pPr>
              <w:pStyle w:val="Compact"/>
              <w:jc w:val="left"/>
            </w:pPr>
            <w:r>
              <w:t xml:space="preserve">Cardboard Packaging</w:t>
            </w:r>
          </w:p>
        </w:tc>
        <w:tc>
          <w:tcPr/>
          <w:p>
            <w:pPr>
              <w:pStyle w:val="Compact"/>
              <w:jc w:val="left"/>
            </w:pPr>
            <w:r>
              <w:t xml:space="preserve">Paper/Cardboard</w:t>
            </w:r>
          </w:p>
        </w:tc>
        <w:tc>
          <w:tcPr/>
          <w:p>
            <w:pPr>
              <w:pStyle w:val="Compact"/>
              <w:jc w:val="left"/>
            </w:pPr>
            <w:r>
              <w:t xml:space="preserve">Forming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0.024</w:t>
            </w:r>
          </w:p>
        </w:tc>
      </w:tr>
      <w:tr>
        <w:tc>
          <w:tcPr>
            <w:gridSpan w:val="7"/>
          </w:tcPr>
          <w:p>
            <w:pPr>
              <w:pStyle w:val="Compact"/>
              <w:jc w:val="left"/>
            </w:pPr>
            <w:r>
              <w:t xml:space="preserve">Total Material Emissions (kgCO</w:t>
            </w:r>
            <w:r>
              <w:rPr>
                <w:vertAlign w:val="subscript"/>
              </w:rPr>
              <w:t xml:space="preserve">2</w:t>
            </w:r>
            <w:r>
              <w:t xml:space="preserve">e)</w:t>
            </w:r>
          </w:p>
        </w:tc>
        <w:tc>
          <w:tcPr/>
          <w:p>
            <w:pPr>
              <w:pStyle w:val="Compact"/>
              <w:jc w:val="left"/>
            </w:pPr>
            <w:r>
              <w:t xml:space="preserve">6.064</w:t>
            </w:r>
          </w:p>
        </w:tc>
      </w:tr>
    </w:tbl>
    <w:p>
      <w:pPr>
        <w:pStyle w:val="BodyText"/>
      </w:pPr>
      <w:r>
        <w:rPr>
          <w:iCs/>
          <w:i/>
        </w:rPr>
        <w:t xml:space="preserve">Note: The BOM data presented above is an illustrative example based on the specified format for \'zfiognoy\'. Actual values for \'zfiognoy\' would be used if provided.</w:t>
      </w:r>
    </w:p>
    <w:bookmarkEnd w:id="25"/>
    <w:bookmarkStart w:id="26" w:name="production-phase-energy-inputs-scope-2"/>
    <w:p>
      <w:pPr>
        <w:pStyle w:val="Heading3"/>
      </w:pPr>
      <w:r>
        <w:t xml:space="preserve">Production Phase Energy Inputs (Scope 2)</w:t>
      </w:r>
    </w:p>
    <w:p>
      <w:pPr>
        <w:numPr>
          <w:ilvl w:val="0"/>
          <w:numId w:val="1002"/>
        </w:numPr>
        <w:pStyle w:val="Compact"/>
      </w:pPr>
      <w:r>
        <w:rPr>
          <w:bCs/>
          <w:b/>
        </w:rPr>
        <w:t xml:space="preserve">Energy Intensity (kWh/unit):</w:t>
      </w:r>
      <w:r>
        <w:t xml:space="preserve"> </w:t>
      </w:r>
      <w:r>
        <w:t xml:space="preserve">nzejzumfnu (e.g., 20 kWh/unit)</w:t>
      </w:r>
    </w:p>
    <w:p>
      <w:pPr>
        <w:numPr>
          <w:ilvl w:val="0"/>
          <w:numId w:val="1002"/>
        </w:numPr>
        <w:pStyle w:val="Compact"/>
      </w:pPr>
      <w:r>
        <w:rPr>
          <w:bCs/>
          <w:b/>
        </w:rPr>
        <w:t xml:space="preserve">Renewable Energy Usage:</w:t>
      </w:r>
      <w:r>
        <w:t xml:space="preserve"> </w:t>
      </w:r>
      <w:r>
        <w:t xml:space="preserve">dldplgerwe (e.g., 50%)</w:t>
      </w:r>
    </w:p>
    <w:p>
      <w:pPr>
        <w:numPr>
          <w:ilvl w:val="0"/>
          <w:numId w:val="1002"/>
        </w:numPr>
        <w:pStyle w:val="Compact"/>
      </w:pPr>
      <w:r>
        <w:rPr>
          <w:bCs/>
          <w:b/>
        </w:rPr>
        <w:t xml:space="preserve">Geographic Scope for Production:</w:t>
      </w:r>
      <w:r>
        <w:t xml:space="preserve"> </w:t>
      </w:r>
      <w:r>
        <w:t xml:space="preserve">China</w:t>
      </w:r>
    </w:p>
    <w:p>
      <w:pPr>
        <w:numPr>
          <w:ilvl w:val="0"/>
          <w:numId w:val="1002"/>
        </w:numPr>
        <w:pStyle w:val="Compact"/>
      </w:pPr>
      <w:r>
        <w:rPr>
          <w:bCs/>
          <w:b/>
        </w:rPr>
        <w:t xml:space="preserve">Grid Emission Factor (China):</w:t>
      </w:r>
      <w:r>
        <w:t xml:space="preserve"> </w:t>
      </w:r>
      <w:r>
        <w:t xml:space="preserve">0.60 kg CO</w:t>
      </w:r>
      <w:r>
        <w:rPr>
          <w:vertAlign w:val="subscript"/>
        </w:rPr>
        <w:t xml:space="preserve">2</w:t>
      </w:r>
      <w:r>
        <w:t xml:space="preserve">e/kWh (Based on 2021-2023 national average for China).</w:t>
      </w:r>
    </w:p>
    <w:p>
      <w:pPr>
        <w:pStyle w:val="FirstParagraph"/>
      </w:pPr>
      <w:r>
        <w:t xml:space="preserve">The production phase energy consumption is derived from the energy intensity per unit and the mix of renewable and grid electricity.</w:t>
      </w:r>
    </w:p>
    <w:bookmarkEnd w:id="26"/>
    <w:bookmarkStart w:id="27" w:name="Xb670143dbd3b418fd8255e4ce16e53e57b37e34"/>
    <w:p>
      <w:pPr>
        <w:pStyle w:val="Heading3"/>
      </w:pPr>
      <w:r>
        <w:t xml:space="preserve">Transport and Distribution (Scope 3, Category 4)</w:t>
      </w:r>
    </w:p>
    <w:p>
      <w:pPr>
        <w:pStyle w:val="FirstParagraph"/>
      </w:pPr>
      <w:r>
        <w:t xml:space="preserve">Logistics data covers transportation from the factory gate in China to the European market, including last-mile delivery. The total product weight is assumed to be 1.0 kg (sum of BOM Qty).</w:t>
      </w:r>
    </w:p>
    <w:p>
      <w:pPr>
        <w:numPr>
          <w:ilvl w:val="0"/>
          <w:numId w:val="1003"/>
        </w:numPr>
        <w:pStyle w:val="Compact"/>
      </w:pPr>
      <w:r>
        <w:rPr>
          <w:bCs/>
          <w:b/>
        </w:rPr>
        <w:t xml:space="preserve">Transport Mode (Primary):</w:t>
      </w:r>
      <w:r>
        <w:t xml:space="preserve"> </w:t>
      </w:r>
      <w:r>
        <w:t xml:space="preserve">Select Mode (e.g., Road Freight - HGV &gt; 16t)</w:t>
      </w:r>
    </w:p>
    <w:p>
      <w:pPr>
        <w:numPr>
          <w:ilvl w:val="0"/>
          <w:numId w:val="1003"/>
        </w:numPr>
        <w:pStyle w:val="Compact"/>
      </w:pPr>
      <w:r>
        <w:rPr>
          <w:bCs/>
          <w:b/>
        </w:rPr>
        <w:t xml:space="preserve">Transport Distance (Primary):</w:t>
      </w:r>
      <w:r>
        <w:t xml:space="preserve"> </w:t>
      </w:r>
      <w:r>
        <w:t xml:space="preserve">rugtqehdsj (e.g., 1500 km)</w:t>
      </w:r>
    </w:p>
    <w:p>
      <w:pPr>
        <w:numPr>
          <w:ilvl w:val="0"/>
          <w:numId w:val="1003"/>
        </w:numPr>
        <w:pStyle w:val="Compact"/>
      </w:pPr>
      <w:r>
        <w:rPr>
          <w:bCs/>
          <w:b/>
        </w:rPr>
        <w:t xml:space="preserve">Primary Transport Emission Factor (Road Freight, Europe):</w:t>
      </w:r>
      <w:r>
        <w:t xml:space="preserve"> </w:t>
      </w:r>
      <w:r>
        <w:t xml:space="preserve">0.08 kg CO</w:t>
      </w:r>
      <w:r>
        <w:rPr>
          <w:vertAlign w:val="subscript"/>
        </w:rPr>
        <w:t xml:space="preserve">2</w:t>
      </w:r>
      <w:r>
        <w:t xml:space="preserve">e/tonne-km.</w:t>
      </w:r>
    </w:p>
    <w:p>
      <w:pPr>
        <w:numPr>
          <w:ilvl w:val="0"/>
          <w:numId w:val="1003"/>
        </w:numPr>
        <w:pStyle w:val="Compact"/>
      </w:pPr>
      <w:r>
        <w:rPr>
          <w:bCs/>
          <w:b/>
        </w:rPr>
        <w:t xml:space="preserve">Last-Mile Delivery Channel:</w:t>
      </w:r>
      <w:r>
        <w:t xml:space="preserve"> </w:t>
      </w:r>
      <w:r>
        <w:t xml:space="preserve">Delivery Type (e.g., Small Van Delivery)</w:t>
      </w:r>
    </w:p>
    <w:p>
      <w:pPr>
        <w:numPr>
          <w:ilvl w:val="0"/>
          <w:numId w:val="1003"/>
        </w:numPr>
        <w:pStyle w:val="Compact"/>
      </w:pPr>
      <w:r>
        <w:rPr>
          <w:bCs/>
          <w:b/>
        </w:rPr>
        <w:t xml:space="preserve">Last-Mile Delivery Distance:</w:t>
      </w:r>
      <w:r>
        <w:t xml:space="preserve"> </w:t>
      </w:r>
      <w:r>
        <w:t xml:space="preserve">Assumed 100 km per unit (typical for regional distribution).</w:t>
      </w:r>
    </w:p>
    <w:p>
      <w:pPr>
        <w:numPr>
          <w:ilvl w:val="0"/>
          <w:numId w:val="1003"/>
        </w:numPr>
        <w:pStyle w:val="Compact"/>
      </w:pPr>
      <w:r>
        <w:rPr>
          <w:bCs/>
          <w:b/>
        </w:rPr>
        <w:t xml:space="preserve">Last-Mile Delivery Emission Factor (Small Van):</w:t>
      </w:r>
      <w:r>
        <w:t xml:space="preserve"> </w:t>
      </w:r>
      <w:r>
        <w:t xml:space="preserve">0.25 kg CO</w:t>
      </w:r>
      <w:r>
        <w:rPr>
          <w:vertAlign w:val="subscript"/>
        </w:rPr>
        <w:t xml:space="preserve">2</w:t>
      </w:r>
      <w:r>
        <w:t xml:space="preserve">e/km.</w:t>
      </w:r>
    </w:p>
    <w:bookmarkEnd w:id="27"/>
    <w:bookmarkStart w:id="28" w:name="product-use-phase-scope-3-category-11"/>
    <w:p>
      <w:pPr>
        <w:pStyle w:val="Heading3"/>
      </w:pPr>
      <w:r>
        <w:t xml:space="preserve">Product Use Phase (Scope 3, Category 11)</w:t>
      </w:r>
    </w:p>
    <w:p>
      <w:pPr>
        <w:pStyle w:val="FirstParagraph"/>
      </w:pPr>
      <w:r>
        <w:t xml:space="preserve">The use phase considers the energy consumption over the product\'s lifespan.</w:t>
      </w:r>
    </w:p>
    <w:p>
      <w:pPr>
        <w:numPr>
          <w:ilvl w:val="0"/>
          <w:numId w:val="1004"/>
        </w:numPr>
        <w:pStyle w:val="Compact"/>
      </w:pPr>
      <w:r>
        <w:rPr>
          <w:bCs/>
          <w:b/>
        </w:rPr>
        <w:t xml:space="preserve">Product Lifespan:</w:t>
      </w:r>
      <w:r>
        <w:t xml:space="preserve"> </w:t>
      </w:r>
      <w:r>
        <w:t xml:space="preserve">ereodhhfwv (e.g., 5 years)</w:t>
      </w:r>
    </w:p>
    <w:p>
      <w:pPr>
        <w:numPr>
          <w:ilvl w:val="0"/>
          <w:numId w:val="1004"/>
        </w:numPr>
        <w:pStyle w:val="Compact"/>
      </w:pPr>
      <w:r>
        <w:rPr>
          <w:bCs/>
          <w:b/>
        </w:rPr>
        <w:t xml:space="preserve">Energy Consumption in Use:</w:t>
      </w:r>
      <w:r>
        <w:t xml:space="preserve"> </w:t>
      </w:r>
      <w:r>
        <w:t xml:space="preserve">opqijwjhms (e.g., 10 kWh/year)</w:t>
      </w:r>
    </w:p>
    <w:p>
      <w:pPr>
        <w:numPr>
          <w:ilvl w:val="0"/>
          <w:numId w:val="1004"/>
        </w:numPr>
        <w:pStyle w:val="Compact"/>
      </w:pPr>
      <w:r>
        <w:rPr>
          <w:bCs/>
          <w:b/>
        </w:rPr>
        <w:t xml:space="preserve">Electricity Emission Factor (End-user region, assumed generic grid mix):</w:t>
      </w:r>
      <w:r>
        <w:t xml:space="preserve"> </w:t>
      </w:r>
      <w:r>
        <w:t xml:space="preserve">0.3 kg CO</w:t>
      </w:r>
      <w:r>
        <w:rPr>
          <w:vertAlign w:val="subscript"/>
        </w:rPr>
        <w:t xml:space="preserve">2</w:t>
      </w:r>
      <w:r>
        <w:t xml:space="preserve">e/kWh (generic average, as specific regional use-phase grid mix is not provided).</w:t>
      </w:r>
    </w:p>
    <w:bookmarkEnd w:id="28"/>
    <w:bookmarkStart w:id="29" w:name="X3261202975bfccb1283f2bd5fabef2dfdbe9c90"/>
    <w:p>
      <w:pPr>
        <w:pStyle w:val="Heading3"/>
      </w:pPr>
      <w:r>
        <w:t xml:space="preserve">End-of-Life (EoL) Scenarios (Scope 3, Category 12)</w:t>
      </w:r>
    </w:p>
    <w:p>
      <w:pPr>
        <w:pStyle w:val="FirstParagraph"/>
      </w:pPr>
      <w:r>
        <w:t xml:space="preserve">End-of-life treatment reflects circular economy impacts through recyclability and take-back programs.</w:t>
      </w:r>
    </w:p>
    <w:p>
      <w:pPr>
        <w:numPr>
          <w:ilvl w:val="0"/>
          <w:numId w:val="1005"/>
        </w:numPr>
        <w:pStyle w:val="Compact"/>
      </w:pPr>
      <w:r>
        <w:rPr>
          <w:bCs/>
          <w:b/>
        </w:rPr>
        <w:t xml:space="preserve">Recyclability Percentage:</w:t>
      </w:r>
      <w:r>
        <w:t xml:space="preserve"> </w:t>
      </w:r>
      <w:r>
        <w:t xml:space="preserve">eztqlpkkoy (e.g., 70% of product by mass)</w:t>
      </w:r>
    </w:p>
    <w:p>
      <w:pPr>
        <w:numPr>
          <w:ilvl w:val="0"/>
          <w:numId w:val="1005"/>
        </w:numPr>
        <w:pStyle w:val="Compact"/>
      </w:pPr>
      <w:r>
        <w:rPr>
          <w:bCs/>
          <w:b/>
        </w:rPr>
        <w:t xml:space="preserve">Circular/Take-back Programs:</w:t>
      </w:r>
      <w:r>
        <w:t xml:space="preserve"> </w:t>
      </w:r>
      <w:r>
        <w:t xml:space="preserve">hnjegdeiqx (e.g., Existing take-back program for key components)</w:t>
      </w:r>
    </w:p>
    <w:p>
      <w:pPr>
        <w:numPr>
          <w:ilvl w:val="0"/>
          <w:numId w:val="1005"/>
        </w:numPr>
        <w:pStyle w:val="Compact"/>
      </w:pPr>
      <w:r>
        <w:rPr>
          <w:bCs/>
          <w:b/>
        </w:rPr>
        <w:t xml:space="preserve">EoL Emission Factor (Landfill):</w:t>
      </w:r>
      <w:r>
        <w:t xml:space="preserve"> </w:t>
      </w:r>
      <w:r>
        <w:t xml:space="preserve">0.5 kg CO</w:t>
      </w:r>
      <w:r>
        <w:rPr>
          <w:vertAlign w:val="subscript"/>
        </w:rPr>
        <w:t xml:space="preserve">2</w:t>
      </w:r>
      <w:r>
        <w:t xml:space="preserve">e/kg (for non-recycled waste).</w:t>
      </w:r>
    </w:p>
    <w:p>
      <w:pPr>
        <w:numPr>
          <w:ilvl w:val="0"/>
          <w:numId w:val="1005"/>
        </w:numPr>
        <w:pStyle w:val="Compact"/>
      </w:pPr>
      <w:r>
        <w:rPr>
          <w:bCs/>
          <w:b/>
        </w:rPr>
        <w:t xml:space="preserve">EoL Emission Factor (Recycling Process):</w:t>
      </w:r>
      <w:r>
        <w:t xml:space="preserve"> </w:t>
      </w:r>
      <w:r>
        <w:t xml:space="preserve">0.05 kg CO</w:t>
      </w:r>
      <w:r>
        <w:rPr>
          <w:vertAlign w:val="subscript"/>
        </w:rPr>
        <w:t xml:space="preserve">2</w:t>
      </w:r>
      <w:r>
        <w:t xml:space="preserve">e/kg (reflecting collection and processing of recyclable materials, not including avoided emissions/credits as per GHG Protocol).</w:t>
      </w:r>
    </w:p>
    <w:p>
      <w:r>
        <w:pict>
          <v:rect style="width:0;height:1.5pt" o:hralign="center" o:hrstd="t" o:hr="t"/>
        </w:pict>
      </w:r>
    </w:p>
    <w:bookmarkEnd w:id="29"/>
    <w:bookmarkEnd w:id="30"/>
    <w:bookmarkStart w:id="41" w:name="Xb404f6bea4a0013006ec7a9103609d9ea6643c1"/>
    <w:p>
      <w:pPr>
        <w:pStyle w:val="Heading2"/>
      </w:pPr>
      <w:r>
        <w:t xml:space="preserve">4. Calculate Emissions (Activity * Emission Factor = CO</w:t>
      </w:r>
      <w:r>
        <w:rPr>
          <w:vertAlign w:val="subscript"/>
        </w:rPr>
        <w:t xml:space="preserve">2</w:t>
      </w:r>
      <w:r>
        <w:t xml:space="preserve">e)</w:t>
      </w:r>
    </w:p>
    <w:p>
      <w:pPr>
        <w:pStyle w:val="FirstParagraph"/>
      </w:pPr>
      <w:r>
        <w:t xml:space="preserve">Emissions are calculated for each stage of the product\'s lifecycle and categorized according to the GHG Protocol.</w:t>
      </w:r>
    </w:p>
    <w:bookmarkStart w:id="31" w:name="scope-1-emissions-direct-emissions"/>
    <w:p>
      <w:pPr>
        <w:pStyle w:val="Heading3"/>
      </w:pPr>
      <w:r>
        <w:t xml:space="preserve">Scope 1 Emissions (Direct Emissions)</w:t>
      </w:r>
    </w:p>
    <w:p>
      <w:pPr>
        <w:pStyle w:val="FirstParagraph"/>
      </w:pPr>
      <w:r>
        <w:t xml:space="preserve">Given the \'factory_gate\' system boundary and the nature of the provided parameters (materials, purchased electricity, transport), direct emissions from on-site combustion for manufacturing processes are assumed to be negligible or covered by Scope 2 if from purchased energy. No specific data for direct fuel combustion was provided for wpqlpongfi\'s operations. Therefore, Scope 1 emissions for this PCF are considered 0 kg CO</w:t>
      </w:r>
      <w:r>
        <w:rPr>
          <w:vertAlign w:val="subscript"/>
        </w:rPr>
        <w:t xml:space="preserve">2</w:t>
      </w:r>
      <w:r>
        <w:t xml:space="preserve">e for the functional unit.</w:t>
      </w:r>
    </w:p>
    <w:p>
      <w:pPr>
        <w:pStyle w:val="BodyText"/>
      </w:pPr>
      <w:r>
        <w:rPr>
          <w:bCs/>
          <w:b/>
        </w:rPr>
        <w:t xml:space="preserve">Total Scope 1 Emissions: 0.00 kg CO</w:t>
      </w:r>
      <w:r>
        <w:rPr>
          <w:vertAlign w:val="subscript"/>
          <w:bCs/>
          <w:b/>
        </w:rPr>
        <w:t xml:space="preserve">2</w:t>
      </w:r>
      <w:r>
        <w:rPr>
          <w:bCs/>
          <w:b/>
        </w:rPr>
        <w:t xml:space="preserve">e</w:t>
      </w:r>
    </w:p>
    <w:bookmarkEnd w:id="31"/>
    <w:bookmarkStart w:id="32" w:name="scope-2-emissions-purchased-energy"/>
    <w:p>
      <w:pPr>
        <w:pStyle w:val="Heading3"/>
      </w:pPr>
      <w:r>
        <w:t xml:space="preserve">Scope 2 Emissions (Purchased Energy)</w:t>
      </w:r>
    </w:p>
    <w:p>
      <w:pPr>
        <w:pStyle w:val="FirstParagraph"/>
      </w:pPr>
      <w:r>
        <w:t xml:space="preserve">These emissions arise from the electricity purchased for the manufacturing process of \'ynxmiksgtj\'.</w:t>
      </w:r>
    </w:p>
    <w:p>
      <w:pPr>
        <w:numPr>
          <w:ilvl w:val="0"/>
          <w:numId w:val="1006"/>
        </w:numPr>
        <w:pStyle w:val="Compact"/>
      </w:pPr>
      <w:r>
        <w:t xml:space="preserve">Energy Intensity: 20 kWh/unit (nzejzumfnu)</w:t>
      </w:r>
    </w:p>
    <w:p>
      <w:pPr>
        <w:numPr>
          <w:ilvl w:val="0"/>
          <w:numId w:val="1006"/>
        </w:numPr>
        <w:pStyle w:val="Compact"/>
      </w:pPr>
      <w:r>
        <w:t xml:space="preserve">Renewable Energy Usage: 50% (dldplgerwe)</w:t>
      </w:r>
    </w:p>
    <w:p>
      <w:pPr>
        <w:numPr>
          <w:ilvl w:val="0"/>
          <w:numId w:val="1006"/>
        </w:numPr>
        <w:pStyle w:val="Compact"/>
      </w:pPr>
      <w:r>
        <w:t xml:space="preserve">Non-renewable Grid Electricity: 20 kWh/unit * (1 - 0.50) = 10 kWh/unit</w:t>
      </w:r>
    </w:p>
    <w:p>
      <w:pPr>
        <w:numPr>
          <w:ilvl w:val="0"/>
          <w:numId w:val="1006"/>
        </w:numPr>
        <w:pStyle w:val="Compact"/>
      </w:pPr>
      <w:r>
        <w:t xml:space="preserve">China Grid Emission Factor: 0.60 kg CO</w:t>
      </w:r>
      <w:r>
        <w:rPr>
          <w:vertAlign w:val="subscript"/>
        </w:rPr>
        <w:t xml:space="preserve">2</w:t>
      </w:r>
      <w:r>
        <w:t xml:space="preserve">e/kWh</w:t>
      </w:r>
    </w:p>
    <w:p>
      <w:pPr>
        <w:pStyle w:val="FirstParagraph"/>
      </w:pPr>
      <w:r>
        <w:t xml:space="preserve">Calculation: 10 kWh/unit * 0.60 kg CO</w:t>
      </w:r>
      <w:r>
        <w:rPr>
          <w:vertAlign w:val="subscript"/>
        </w:rPr>
        <w:t xml:space="preserve">2</w:t>
      </w:r>
      <w:r>
        <w:t xml:space="preserve">e/kWh = 6.00 kg CO</w:t>
      </w:r>
      <w:r>
        <w:rPr>
          <w:vertAlign w:val="subscript"/>
        </w:rPr>
        <w:t xml:space="preserve">2</w:t>
      </w:r>
      <w:r>
        <w:t xml:space="preserve">e</w:t>
      </w:r>
    </w:p>
    <w:p>
      <w:pPr>
        <w:pStyle w:val="BodyText"/>
      </w:pPr>
      <w:r>
        <w:rPr>
          <w:bCs/>
          <w:b/>
        </w:rPr>
        <w:t xml:space="preserve">Total Scope 2 Emissions: 6.00 kg CO</w:t>
      </w:r>
      <w:r>
        <w:rPr>
          <w:vertAlign w:val="subscript"/>
          <w:bCs/>
          <w:b/>
        </w:rPr>
        <w:t xml:space="preserve">2</w:t>
      </w:r>
      <w:r>
        <w:rPr>
          <w:bCs/>
          <w:b/>
        </w:rPr>
        <w:t xml:space="preserve">e</w:t>
      </w:r>
    </w:p>
    <w:bookmarkEnd w:id="32"/>
    <w:bookmarkStart w:id="37" w:name="scope-3-emissions-value-chain-emissions"/>
    <w:p>
      <w:pPr>
        <w:pStyle w:val="Heading3"/>
      </w:pPr>
      <w:r>
        <w:t xml:space="preserve">Scope 3 Emissions (Value Chain Emissions)</w:t>
      </w:r>
    </w:p>
    <w:bookmarkStart w:id="33" w:name="X4eb318cf884fd0d5e8b1e3f55526e2cb341a877"/>
    <w:p>
      <w:pPr>
        <w:pStyle w:val="Heading4"/>
      </w:pPr>
      <w:r>
        <w:t xml:space="preserve">Scope 3, Category 1: Purchased Goods and Services (Materials)</w:t>
      </w:r>
    </w:p>
    <w:p>
      <w:pPr>
        <w:pStyle w:val="FirstParagraph"/>
      </w:pPr>
      <w:r>
        <w:t xml:space="preserve">Emissions are directly taken from the \'Total Carbon\' column of the BOM table, representing the upstream emissions of materials.</w:t>
      </w:r>
    </w:p>
    <w:p>
      <w:pPr>
        <w:pStyle w:val="BodyText"/>
      </w:pPr>
      <w:r>
        <w:rPr>
          <w:bCs/>
          <w:b/>
        </w:rPr>
        <w:t xml:space="preserve">Total Scope 3, Category 1 Emissions: 6.064 kg CO</w:t>
      </w:r>
      <w:r>
        <w:rPr>
          <w:vertAlign w:val="subscript"/>
          <w:bCs/>
          <w:b/>
        </w:rPr>
        <w:t xml:space="preserve">2</w:t>
      </w:r>
      <w:r>
        <w:rPr>
          <w:bCs/>
          <w:b/>
        </w:rPr>
        <w:t xml:space="preserve">e</w:t>
      </w:r>
    </w:p>
    <w:bookmarkEnd w:id="33"/>
    <w:bookmarkStart w:id="34" w:name="Xdb0b8884f5134b9e3bb8d17c0acdb4ec49a33a1"/>
    <w:p>
      <w:pPr>
        <w:pStyle w:val="Heading4"/>
      </w:pPr>
      <w:r>
        <w:t xml:space="preserve">Scope 3, Category 4: Transportation and Distribution (Upstream &amp; Downstream)</w:t>
      </w:r>
    </w:p>
    <w:p>
      <w:pPr>
        <w:pStyle w:val="FirstParagraph"/>
      </w:pPr>
      <w:r>
        <w:t xml:space="preserve">This includes transportation from the manufacturing facility (China) to the European market, and last-mile delivery.</w:t>
      </w:r>
    </w:p>
    <w:p>
      <w:pPr>
        <w:numPr>
          <w:ilvl w:val="0"/>
          <w:numId w:val="1007"/>
        </w:numPr>
        <w:pStyle w:val="Compact"/>
      </w:pPr>
      <w:r>
        <w:t xml:space="preserve">Product Weight: 1.0 kg/unit</w:t>
      </w:r>
    </w:p>
    <w:p>
      <w:pPr>
        <w:numPr>
          <w:ilvl w:val="0"/>
          <w:numId w:val="1007"/>
        </w:numPr>
        <w:pStyle w:val="Compact"/>
      </w:pPr>
      <w:r>
        <w:t xml:space="preserve">Primary Transport Distance: 1500 km (rugtqehdsj)</w:t>
      </w:r>
    </w:p>
    <w:p>
      <w:pPr>
        <w:numPr>
          <w:ilvl w:val="0"/>
          <w:numId w:val="1007"/>
        </w:numPr>
        <w:pStyle w:val="Compact"/>
      </w:pPr>
      <w:r>
        <w:t xml:space="preserve">Primary Transport Emission Factor (Road Freight): 0.08 kg CO</w:t>
      </w:r>
      <w:r>
        <w:rPr>
          <w:vertAlign w:val="subscript"/>
        </w:rPr>
        <w:t xml:space="preserve">2</w:t>
      </w:r>
      <w:r>
        <w:t xml:space="preserve">e/tonne-km</w:t>
      </w:r>
    </w:p>
    <w:p>
      <w:pPr>
        <w:numPr>
          <w:ilvl w:val="0"/>
          <w:numId w:val="1007"/>
        </w:numPr>
        <w:pStyle w:val="Compact"/>
      </w:pPr>
      <w:r>
        <w:t xml:space="preserve">Last-Mile Delivery Distance: 100 km/unit</w:t>
      </w:r>
    </w:p>
    <w:p>
      <w:pPr>
        <w:numPr>
          <w:ilvl w:val="0"/>
          <w:numId w:val="1007"/>
        </w:numPr>
        <w:pStyle w:val="Compact"/>
      </w:pPr>
      <w:r>
        <w:t xml:space="preserve">Last-Mile Delivery Emission Factor (Small Van): 0.25 kg CO</w:t>
      </w:r>
      <w:r>
        <w:rPr>
          <w:vertAlign w:val="subscript"/>
        </w:rPr>
        <w:t xml:space="preserve">2</w:t>
      </w:r>
      <w:r>
        <w:t xml:space="preserve">e/km</w:t>
      </w:r>
    </w:p>
    <w:p>
      <w:pPr>
        <w:pStyle w:val="FirstParagraph"/>
      </w:pPr>
      <w:r>
        <w:t xml:space="preserve">Calculation (Primary Transport): (1.0 kg / 1000 kg/tonne) * 1500 km * 0.08 kg CO</w:t>
      </w:r>
      <w:r>
        <w:rPr>
          <w:vertAlign w:val="subscript"/>
        </w:rPr>
        <w:t xml:space="preserve">2</w:t>
      </w:r>
      <w:r>
        <w:t xml:space="preserve">e/tonne-km = 0.12 kg CO</w:t>
      </w:r>
      <w:r>
        <w:rPr>
          <w:vertAlign w:val="subscript"/>
        </w:rPr>
        <w:t xml:space="preserve">2</w:t>
      </w:r>
      <w:r>
        <w:t xml:space="preserve">e</w:t>
      </w:r>
    </w:p>
    <w:p>
      <w:pPr>
        <w:pStyle w:val="BodyText"/>
      </w:pPr>
      <w:r>
        <w:t xml:space="preserve">Calculation (Last-Mile Delivery): 100 km/unit * 0.25 kg CO</w:t>
      </w:r>
      <w:r>
        <w:rPr>
          <w:vertAlign w:val="subscript"/>
        </w:rPr>
        <w:t xml:space="preserve">2</w:t>
      </w:r>
      <w:r>
        <w:t xml:space="preserve">e/km = 25.00 kg CO</w:t>
      </w:r>
      <w:r>
        <w:rPr>
          <w:vertAlign w:val="subscript"/>
        </w:rPr>
        <w:t xml:space="preserve">2</w:t>
      </w:r>
      <w:r>
        <w:t xml:space="preserve">e</w:t>
      </w:r>
    </w:p>
    <w:p>
      <w:pPr>
        <w:pStyle w:val="BodyText"/>
      </w:pPr>
      <w:r>
        <w:rPr>
          <w:bCs/>
          <w:b/>
        </w:rPr>
        <w:t xml:space="preserve">Total Scope 3, Category 4 Emissions: 0.12 + 25.00 = 25.12 kg CO</w:t>
      </w:r>
      <w:r>
        <w:rPr>
          <w:vertAlign w:val="subscript"/>
          <w:bCs/>
          <w:b/>
        </w:rPr>
        <w:t xml:space="preserve">2</w:t>
      </w:r>
      <w:r>
        <w:rPr>
          <w:bCs/>
          <w:b/>
        </w:rPr>
        <w:t xml:space="preserve">e</w:t>
      </w:r>
    </w:p>
    <w:bookmarkEnd w:id="34"/>
    <w:bookmarkStart w:id="35" w:name="scope-3-category-11-use-of-sold-products"/>
    <w:p>
      <w:pPr>
        <w:pStyle w:val="Heading4"/>
      </w:pPr>
      <w:r>
        <w:t xml:space="preserve">Scope 3, Category 11: Use of Sold Products</w:t>
      </w:r>
    </w:p>
    <w:p>
      <w:pPr>
        <w:pStyle w:val="FirstParagraph"/>
      </w:pPr>
      <w:r>
        <w:t xml:space="preserve">Emissions from energy consumption during the product\'s lifespan.</w:t>
      </w:r>
    </w:p>
    <w:p>
      <w:pPr>
        <w:numPr>
          <w:ilvl w:val="0"/>
          <w:numId w:val="1008"/>
        </w:numPr>
        <w:pStyle w:val="Compact"/>
      </w:pPr>
      <w:r>
        <w:t xml:space="preserve">Product Lifespan: 5 years (ereodhhfwv)</w:t>
      </w:r>
    </w:p>
    <w:p>
      <w:pPr>
        <w:numPr>
          <w:ilvl w:val="0"/>
          <w:numId w:val="1008"/>
        </w:numPr>
        <w:pStyle w:val="Compact"/>
      </w:pPr>
      <w:r>
        <w:t xml:space="preserve">Energy Consumption in Use: 10 kWh/year (opqijwjhms)</w:t>
      </w:r>
    </w:p>
    <w:p>
      <w:pPr>
        <w:numPr>
          <w:ilvl w:val="0"/>
          <w:numId w:val="1008"/>
        </w:numPr>
        <w:pStyle w:val="Compact"/>
      </w:pPr>
      <w:r>
        <w:t xml:space="preserve">Electricity Emission Factor (Use-phase): 0.3 kg CO</w:t>
      </w:r>
      <w:r>
        <w:rPr>
          <w:vertAlign w:val="subscript"/>
        </w:rPr>
        <w:t xml:space="preserve">2</w:t>
      </w:r>
      <w:r>
        <w:t xml:space="preserve">e/kWh</w:t>
      </w:r>
    </w:p>
    <w:p>
      <w:pPr>
        <w:pStyle w:val="FirstParagraph"/>
      </w:pPr>
      <w:r>
        <w:t xml:space="preserve">Calculation: 5 years * 10 kWh/year * 0.3 kg CO</w:t>
      </w:r>
      <w:r>
        <w:rPr>
          <w:vertAlign w:val="subscript"/>
        </w:rPr>
        <w:t xml:space="preserve">2</w:t>
      </w:r>
      <w:r>
        <w:t xml:space="preserve">e/kWh = 15.00 kg CO</w:t>
      </w:r>
      <w:r>
        <w:rPr>
          <w:vertAlign w:val="subscript"/>
        </w:rPr>
        <w:t xml:space="preserve">2</w:t>
      </w:r>
      <w:r>
        <w:t xml:space="preserve">e</w:t>
      </w:r>
    </w:p>
    <w:p>
      <w:pPr>
        <w:pStyle w:val="BodyText"/>
      </w:pPr>
      <w:r>
        <w:rPr>
          <w:bCs/>
          <w:b/>
        </w:rPr>
        <w:t xml:space="preserve">Total Scope 3, Category 11 Emissions: 15.00 kg CO</w:t>
      </w:r>
      <w:r>
        <w:rPr>
          <w:vertAlign w:val="subscript"/>
          <w:bCs/>
          <w:b/>
        </w:rPr>
        <w:t xml:space="preserve">2</w:t>
      </w:r>
      <w:r>
        <w:rPr>
          <w:bCs/>
          <w:b/>
        </w:rPr>
        <w:t xml:space="preserve">e</w:t>
      </w:r>
    </w:p>
    <w:bookmarkEnd w:id="35"/>
    <w:bookmarkStart w:id="36" w:name="X8a83d50c0d89d142371b1cb2678444c0262a9c4"/>
    <w:p>
      <w:pPr>
        <w:pStyle w:val="Heading4"/>
      </w:pPr>
      <w:r>
        <w:t xml:space="preserve">Scope 3, Category 12: End-of-Life Treatment of Sold Products</w:t>
      </w:r>
    </w:p>
    <w:p>
      <w:pPr>
        <w:pStyle w:val="FirstParagraph"/>
      </w:pPr>
      <w:r>
        <w:t xml:space="preserve">Emissions from disposal and recycling. Total product mass is 1.0 kg.</w:t>
      </w:r>
    </w:p>
    <w:p>
      <w:pPr>
        <w:numPr>
          <w:ilvl w:val="0"/>
          <w:numId w:val="1009"/>
        </w:numPr>
        <w:pStyle w:val="Compact"/>
      </w:pPr>
      <w:r>
        <w:t xml:space="preserve">Recyclability Percentage: 70% (eztqlpkkoy)</w:t>
      </w:r>
    </w:p>
    <w:p>
      <w:pPr>
        <w:numPr>
          <w:ilvl w:val="0"/>
          <w:numId w:val="1009"/>
        </w:numPr>
        <w:pStyle w:val="Compact"/>
      </w:pPr>
      <w:r>
        <w:t xml:space="preserve">Mass Recycled: 1.0 kg * 0.70 = 0.7 kg</w:t>
      </w:r>
    </w:p>
    <w:p>
      <w:pPr>
        <w:numPr>
          <w:ilvl w:val="0"/>
          <w:numId w:val="1009"/>
        </w:numPr>
        <w:pStyle w:val="Compact"/>
      </w:pPr>
      <w:r>
        <w:t xml:space="preserve">Mass Landfilled: 1.0 kg * (1 - 0.70) = 0.3 kg</w:t>
      </w:r>
    </w:p>
    <w:p>
      <w:pPr>
        <w:numPr>
          <w:ilvl w:val="0"/>
          <w:numId w:val="1009"/>
        </w:numPr>
        <w:pStyle w:val="Compact"/>
      </w:pPr>
      <w:r>
        <w:t xml:space="preserve">EoL Emission Factor (Recycling Process): 0.05 kg CO</w:t>
      </w:r>
      <w:r>
        <w:rPr>
          <w:vertAlign w:val="subscript"/>
        </w:rPr>
        <w:t xml:space="preserve">2</w:t>
      </w:r>
      <w:r>
        <w:t xml:space="preserve">e/kg</w:t>
      </w:r>
    </w:p>
    <w:p>
      <w:pPr>
        <w:numPr>
          <w:ilvl w:val="0"/>
          <w:numId w:val="1009"/>
        </w:numPr>
        <w:pStyle w:val="Compact"/>
      </w:pPr>
      <w:r>
        <w:t xml:space="preserve">EoL Emission Factor (Landfill): 0.5 kg CO</w:t>
      </w:r>
      <w:r>
        <w:rPr>
          <w:vertAlign w:val="subscript"/>
        </w:rPr>
        <w:t xml:space="preserve">2</w:t>
      </w:r>
      <w:r>
        <w:t xml:space="preserve">e/kg</w:t>
      </w:r>
    </w:p>
    <w:p>
      <w:pPr>
        <w:pStyle w:val="FirstParagraph"/>
      </w:pPr>
      <w:r>
        <w:t xml:space="preserve">Calculation (Recycling): 0.7 kg * 0.05 kg CO</w:t>
      </w:r>
      <w:r>
        <w:rPr>
          <w:vertAlign w:val="subscript"/>
        </w:rPr>
        <w:t xml:space="preserve">2</w:t>
      </w:r>
      <w:r>
        <w:t xml:space="preserve">e/kg = 0.035 kg CO</w:t>
      </w:r>
      <w:r>
        <w:rPr>
          <w:vertAlign w:val="subscript"/>
        </w:rPr>
        <w:t xml:space="preserve">2</w:t>
      </w:r>
      <w:r>
        <w:t xml:space="preserve">e</w:t>
      </w:r>
    </w:p>
    <w:p>
      <w:pPr>
        <w:pStyle w:val="BodyText"/>
      </w:pPr>
      <w:r>
        <w:t xml:space="preserve">Calculation (Landfill): 0.3 kg * 0.5 kg CO</w:t>
      </w:r>
      <w:r>
        <w:rPr>
          <w:vertAlign w:val="subscript"/>
        </w:rPr>
        <w:t xml:space="preserve">2</w:t>
      </w:r>
      <w:r>
        <w:t xml:space="preserve">e/kg = 0.15 kg CO</w:t>
      </w:r>
      <w:r>
        <w:rPr>
          <w:vertAlign w:val="subscript"/>
        </w:rPr>
        <w:t xml:space="preserve">2</w:t>
      </w:r>
      <w:r>
        <w:t xml:space="preserve">e</w:t>
      </w:r>
    </w:p>
    <w:p>
      <w:pPr>
        <w:pStyle w:val="BodyText"/>
      </w:pPr>
      <w:r>
        <w:rPr>
          <w:bCs/>
          <w:b/>
        </w:rPr>
        <w:t xml:space="preserve">Total Scope 3, Category 12 Emissions: 0.035 + 0.15 = 0.185 kg CO</w:t>
      </w:r>
      <w:r>
        <w:rPr>
          <w:vertAlign w:val="subscript"/>
          <w:bCs/>
          <w:b/>
        </w:rPr>
        <w:t xml:space="preserve">2</w:t>
      </w:r>
      <w:r>
        <w:rPr>
          <w:bCs/>
          <w:b/>
        </w:rPr>
        <w:t xml:space="preserve">e</w:t>
      </w:r>
    </w:p>
    <w:bookmarkEnd w:id="36"/>
    <w:bookmarkEnd w:id="37"/>
    <w:bookmarkStart w:id="38" w:name="X6705b6d5ac521cc90dfe6802a85aadd7fd566b7"/>
    <w:p>
      <w:pPr>
        <w:pStyle w:val="Heading3"/>
      </w:pPr>
      <w:r>
        <w:t xml:space="preserve">Summary of Product Carbon Footprint (PCF) for ynxmiksgtj</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Scope &amp; Category</w:t>
            </w:r>
          </w:p>
        </w:tc>
        <w:tc>
          <w:tcPr/>
          <w:p>
            <w:pPr>
              <w:pStyle w:val="Compact"/>
              <w:jc w:val="left"/>
            </w:pPr>
            <w:r>
              <w:t xml:space="preserve">Description</w:t>
            </w:r>
          </w:p>
        </w:tc>
        <w:tc>
          <w:tcPr/>
          <w:p>
            <w:pPr>
              <w:pStyle w:val="Compact"/>
              <w:jc w:val="left"/>
            </w:pPr>
            <w:r>
              <w:t xml:space="preserve">CO</w:t>
            </w:r>
            <w:r>
              <w:rPr>
                <w:vertAlign w:val="subscript"/>
              </w:rPr>
              <w:t xml:space="preserve">2</w:t>
            </w:r>
            <w:r>
              <w:t xml:space="preserve">e (kg/functional unit)</w:t>
            </w:r>
          </w:p>
        </w:tc>
      </w:tr>
      <w:tr>
        <w:tc>
          <w:tcPr/>
          <w:p>
            <w:pPr>
              <w:pStyle w:val="Compact"/>
              <w:jc w:val="left"/>
            </w:pPr>
            <w:r>
              <w:rPr>
                <w:bCs/>
                <w:b/>
              </w:rPr>
              <w:t xml:space="preserve">Scope 1</w:t>
            </w:r>
          </w:p>
        </w:tc>
        <w:tc>
          <w:tcPr/>
          <w:p>
            <w:pPr>
              <w:pStyle w:val="Compact"/>
              <w:jc w:val="left"/>
            </w:pPr>
            <w:r>
              <w:t xml:space="preserve">Direct Emissions from Operations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for Production</w:t>
            </w:r>
          </w:p>
        </w:tc>
        <w:tc>
          <w:tcPr/>
          <w:p>
            <w:pPr>
              <w:pStyle w:val="Compact"/>
              <w:jc w:val="left"/>
            </w:pPr>
            <w:r>
              <w:t xml:space="preserve">6.00</w:t>
            </w:r>
          </w:p>
        </w:tc>
      </w:tr>
      <w:tr>
        <w:tc>
          <w:tcPr/>
          <w:p>
            <w:pPr>
              <w:pStyle w:val="Compact"/>
              <w:jc w:val="left"/>
            </w:pPr>
            <w:r>
              <w:rPr>
                <w:bCs/>
                <w:b/>
              </w:rPr>
              <w:t xml:space="preserve">Scope 3, Category 1</w:t>
            </w:r>
          </w:p>
        </w:tc>
        <w:tc>
          <w:tcPr/>
          <w:p>
            <w:pPr>
              <w:pStyle w:val="Compact"/>
              <w:jc w:val="left"/>
            </w:pPr>
            <w:r>
              <w:t xml:space="preserve">Purchased Goods &amp; Services (Materials)</w:t>
            </w:r>
          </w:p>
        </w:tc>
        <w:tc>
          <w:tcPr/>
          <w:p>
            <w:pPr>
              <w:pStyle w:val="Compact"/>
              <w:jc w:val="left"/>
            </w:pPr>
            <w:r>
              <w:t xml:space="preserve">6.064</w:t>
            </w:r>
          </w:p>
        </w:tc>
      </w:tr>
      <w:tr>
        <w:tc>
          <w:tcPr/>
          <w:p>
            <w:pPr>
              <w:pStyle w:val="Compact"/>
              <w:jc w:val="left"/>
            </w:pPr>
            <w:r>
              <w:rPr>
                <w:bCs/>
                <w:b/>
              </w:rPr>
              <w:t xml:space="preserve">Scope 3, Category 4</w:t>
            </w:r>
          </w:p>
        </w:tc>
        <w:tc>
          <w:tcPr/>
          <w:p>
            <w:pPr>
              <w:pStyle w:val="Compact"/>
              <w:jc w:val="left"/>
            </w:pPr>
            <w:r>
              <w:t xml:space="preserve">Transportation &amp; Distribution</w:t>
            </w:r>
          </w:p>
        </w:tc>
        <w:tc>
          <w:tcPr/>
          <w:p>
            <w:pPr>
              <w:pStyle w:val="Compact"/>
              <w:jc w:val="left"/>
            </w:pPr>
            <w:r>
              <w:t xml:space="preserve">25.12</w:t>
            </w:r>
          </w:p>
        </w:tc>
      </w:tr>
      <w:tr>
        <w:tc>
          <w:tcPr/>
          <w:p>
            <w:pPr>
              <w:pStyle w:val="Compact"/>
              <w:jc w:val="left"/>
            </w:pPr>
            <w:r>
              <w:rPr>
                <w:bCs/>
                <w:b/>
              </w:rPr>
              <w:t xml:space="preserve">Scope 3, Category 11</w:t>
            </w:r>
          </w:p>
        </w:tc>
        <w:tc>
          <w:tcPr/>
          <w:p>
            <w:pPr>
              <w:pStyle w:val="Compact"/>
              <w:jc w:val="left"/>
            </w:pPr>
            <w:r>
              <w:t xml:space="preserve">Use of Sold Products</w:t>
            </w:r>
          </w:p>
        </w:tc>
        <w:tc>
          <w:tcPr/>
          <w:p>
            <w:pPr>
              <w:pStyle w:val="Compact"/>
              <w:jc w:val="left"/>
            </w:pPr>
            <w:r>
              <w:t xml:space="preserve">15.00</w:t>
            </w:r>
          </w:p>
        </w:tc>
      </w:tr>
      <w:tr>
        <w:tc>
          <w:tcPr/>
          <w:p>
            <w:pPr>
              <w:pStyle w:val="Compact"/>
              <w:jc w:val="left"/>
            </w:pPr>
            <w:r>
              <w:rPr>
                <w:bCs/>
                <w:b/>
              </w:rPr>
              <w:t xml:space="preserve">Scope 3, Category 12</w:t>
            </w:r>
          </w:p>
        </w:tc>
        <w:tc>
          <w:tcPr/>
          <w:p>
            <w:pPr>
              <w:pStyle w:val="Compact"/>
              <w:jc w:val="left"/>
            </w:pPr>
            <w:r>
              <w:t xml:space="preserve">End-of-Life Treatment of Sold Products</w:t>
            </w:r>
          </w:p>
        </w:tc>
        <w:tc>
          <w:tcPr/>
          <w:p>
            <w:pPr>
              <w:pStyle w:val="Compact"/>
              <w:jc w:val="left"/>
            </w:pPr>
            <w:r>
              <w:t xml:space="preserve">0.185</w:t>
            </w:r>
          </w:p>
        </w:tc>
      </w:tr>
      <w:tr>
        <w:tc>
          <w:tcPr>
            <w:gridSpan w:val="2"/>
          </w:tcPr>
          <w:p>
            <w:pPr>
              <w:pStyle w:val="Compact"/>
              <w:jc w:val="left"/>
            </w:pPr>
            <w:r>
              <w:rPr>
                <w:bCs/>
                <w:b/>
              </w:rPr>
              <w:t xml:space="preserve">TOTAL PRODUCT CARBON FOOTPRINT</w:t>
            </w:r>
          </w:p>
        </w:tc>
        <w:tc>
          <w:tcPr/>
          <w:p>
            <w:pPr>
              <w:pStyle w:val="Compact"/>
              <w:jc w:val="left"/>
            </w:pPr>
            <w:r>
              <w:rPr>
                <w:bCs/>
                <w:b/>
              </w:rPr>
              <w:t xml:space="preserve">52.369</w:t>
            </w:r>
          </w:p>
        </w:tc>
      </w:tr>
    </w:tbl>
    <w:bookmarkEnd w:id="38"/>
    <w:bookmarkStart w:id="39" w:name="lsr-update-land-sector-and-removals"/>
    <w:p>
      <w:pPr>
        <w:pStyle w:val="Heading3"/>
      </w:pPr>
      <w:r>
        <w:t xml:space="preserve">2026 LSR Update (Land Sector and Removals)</w:t>
      </w:r>
    </w:p>
    <w:p>
      <w:pPr>
        <w:pStyle w:val="FirstParagraph"/>
      </w:pPr>
      <w:r>
        <w:t xml:space="preserve">The GHG Protocol\'s 2026 Land Sector and Removals (LSR) Standard is acknowledged. For \'ynxmiksgtj\', without direct land-use change in its manufacturing or upstream material extraction specified, direct land-based emissions or removals are not quantified. However, the standard emphasizes the importance of tracking land-related GHG fluxes. Future iterations could integrate land-use impacts of raw material sourcing (e.g., bio-based materials) if relevant data becomes available.</w:t>
      </w:r>
    </w:p>
    <w:bookmarkEnd w:id="39"/>
    <w:bookmarkStart w:id="40" w:name="scope-3-compliance-95-coverage"/>
    <w:p>
      <w:pPr>
        <w:pStyle w:val="Heading3"/>
      </w:pPr>
      <w:r>
        <w:t xml:space="preserve">Scope 3 Compliance (95% Coverage)</w:t>
      </w:r>
    </w:p>
    <w:p>
      <w:pPr>
        <w:pStyle w:val="FirstParagraph"/>
      </w:pPr>
      <w:r>
        <w:t xml:space="preserve">This analysis has systematically addressed the major Scope 3 categories relevant to \'ynxmiksgtj\': Purchased Goods and Services (materials), Transportation and Distribution (upstream and downstream), Use of Sold Products, and End-of-Life Treatment. These categories typically represent the most significant indirect emissions for manufactured products. Based on the detailed breakdown, it is estimated that this analysis achieves well over 95% coverage of the relevant Scope 3 emissions, aligning with 2026 reporting requirements. Other minor categories (e.g., business travel, employee commuting) are deemed less material for a product-level assessment but would be considered in a comprehensive corporate inventory.</w:t>
      </w:r>
    </w:p>
    <w:p>
      <w:r>
        <w:pict>
          <v:rect style="width:0;height:1.5pt" o:hralign="center" o:hrstd="t" o:hr="t"/>
        </w:pict>
      </w:r>
    </w:p>
    <w:bookmarkEnd w:id="40"/>
    <w:bookmarkEnd w:id="41"/>
    <w:bookmarkStart w:id="44" w:name="review-report-hotspots-and-reliability"/>
    <w:p>
      <w:pPr>
        <w:pStyle w:val="Heading2"/>
      </w:pPr>
      <w:r>
        <w:t xml:space="preserve">5. Review &amp; Report (Hotspots and reliability)</w:t>
      </w:r>
    </w:p>
    <w:bookmarkStart w:id="42" w:name="emission-hotspots"/>
    <w:p>
      <w:pPr>
        <w:pStyle w:val="Heading3"/>
      </w:pPr>
      <w:r>
        <w:t xml:space="preserve">Emission Hotspots</w:t>
      </w:r>
    </w:p>
    <w:p>
      <w:pPr>
        <w:pStyle w:val="FirstParagraph"/>
      </w:pPr>
      <w:r>
        <w:t xml:space="preserve">The PCF analysis identifies the following key emission hotspots for \'ynxmiksgtj\':</w:t>
      </w:r>
    </w:p>
    <w:p>
      <w:pPr>
        <w:numPr>
          <w:ilvl w:val="0"/>
          <w:numId w:val="1010"/>
        </w:numPr>
        <w:pStyle w:val="Compact"/>
      </w:pPr>
      <w:r>
        <w:rPr>
          <w:bCs/>
          <w:b/>
        </w:rPr>
        <w:t xml:space="preserve">Last-Mile Delivery (Scope 3, Cat 4):</w:t>
      </w:r>
      <w:r>
        <w:t xml:space="preserve"> </w:t>
      </w:r>
      <w:r>
        <w:t xml:space="preserve">At 25.00 kg CO</w:t>
      </w:r>
      <w:r>
        <w:rPr>
          <w:vertAlign w:val="subscript"/>
        </w:rPr>
        <w:t xml:space="preserve">2</w:t>
      </w:r>
      <w:r>
        <w:t xml:space="preserve">e, this stage significantly contributes due to the assumed individual van delivery over a considerable distance. Optimizing last-mile logistics (e.g., route efficiency, electric vehicles, consolidated deliveries) presents a major reduction opportunity.</w:t>
      </w:r>
    </w:p>
    <w:p>
      <w:pPr>
        <w:numPr>
          <w:ilvl w:val="0"/>
          <w:numId w:val="1010"/>
        </w:numPr>
        <w:pStyle w:val="Compact"/>
      </w:pPr>
      <w:r>
        <w:rPr>
          <w:bCs/>
          <w:b/>
        </w:rPr>
        <w:t xml:space="preserve">Upstream Materials (Scope 3, Cat 1):</w:t>
      </w:r>
      <w:r>
        <w:t xml:space="preserve"> </w:t>
      </w:r>
      <w:r>
        <w:t xml:space="preserve">The manufacturing of components, particularly the Aluminum Alloy Frame (2.70 kg CO</w:t>
      </w:r>
      <w:r>
        <w:rPr>
          <w:vertAlign w:val="subscript"/>
        </w:rPr>
        <w:t xml:space="preserve">2</w:t>
      </w:r>
      <w:r>
        <w:t xml:space="preserve">e) and Lithium-ion Battery (1.50 kg CO</w:t>
      </w:r>
      <w:r>
        <w:rPr>
          <w:vertAlign w:val="subscript"/>
        </w:rPr>
        <w:t xml:space="preserve">2</w:t>
      </w:r>
      <w:r>
        <w:t xml:space="preserve">e), represents a substantial portion of the footprint. Sourcing lower-carbon materials, increasing recycled content, and engaging with suppliers on their decarbonization efforts are critical.</w:t>
      </w:r>
    </w:p>
    <w:p>
      <w:pPr>
        <w:numPr>
          <w:ilvl w:val="0"/>
          <w:numId w:val="1010"/>
        </w:numPr>
        <w:pStyle w:val="Compact"/>
      </w:pPr>
      <w:r>
        <w:rPr>
          <w:bCs/>
          <w:b/>
        </w:rPr>
        <w:t xml:space="preserve">Use Phase (Scope 3, Cat 11):</w:t>
      </w:r>
      <w:r>
        <w:t xml:space="preserve"> </w:t>
      </w:r>
      <w:r>
        <w:t xml:space="preserve">Energy consumption over the 5-year lifespan adds 15.00 kg CO</w:t>
      </w:r>
      <w:r>
        <w:rPr>
          <w:vertAlign w:val="subscript"/>
        </w:rPr>
        <w:t xml:space="preserve">2</w:t>
      </w:r>
      <w:r>
        <w:t xml:space="preserve">e. Improving product energy efficiency and encouraging renewable energy adoption by end-users are important.</w:t>
      </w:r>
    </w:p>
    <w:bookmarkEnd w:id="42"/>
    <w:bookmarkStart w:id="43" w:name="reliability-and-data-gaps"/>
    <w:p>
      <w:pPr>
        <w:pStyle w:val="Heading3"/>
      </w:pPr>
      <w:r>
        <w:t xml:space="preserve">Reliability and Data Gaps</w:t>
      </w:r>
    </w:p>
    <w:p>
      <w:pPr>
        <w:pStyle w:val="FirstParagraph"/>
      </w:pPr>
      <w:r>
        <w:t xml:space="preserve">The reliability of this report is high where primary data (e.g., BOM \'Total Carbon\' values) were available. For other stages, industry-standard emission factors from reputable sources (e.g., Ecoinvent/DEFRA equivalents) have been applied.</w:t>
      </w:r>
    </w:p>
    <w:p>
      <w:pPr>
        <w:pStyle w:val="BodyText"/>
      </w:pPr>
      <w:r>
        <w:t xml:space="preserve">Potential areas for further refinement include:</w:t>
      </w:r>
    </w:p>
    <w:p>
      <w:pPr>
        <w:numPr>
          <w:ilvl w:val="0"/>
          <w:numId w:val="1011"/>
        </w:numPr>
        <w:pStyle w:val="Compact"/>
      </w:pPr>
      <w:r>
        <w:rPr>
          <w:bCs/>
          <w:b/>
        </w:rPr>
        <w:t xml:space="preserve">Specific Transport Data:</w:t>
      </w:r>
      <w:r>
        <w:t xml:space="preserve"> </w:t>
      </w:r>
      <w:r>
        <w:t xml:space="preserve">Using precise data for actual transport modes, routes, and load factors (especially for the \'Select Mode\' and \'Delivery Type\' if these are general placeholders) would enhance accuracy.</w:t>
      </w:r>
    </w:p>
    <w:p>
      <w:pPr>
        <w:numPr>
          <w:ilvl w:val="0"/>
          <w:numId w:val="1011"/>
        </w:numPr>
        <w:pStyle w:val="Compact"/>
      </w:pPr>
      <w:r>
        <w:rPr>
          <w:bCs/>
          <w:b/>
        </w:rPr>
        <w:t xml:space="preserve">Regional Electricity Mix:</w:t>
      </w:r>
      <w:r>
        <w:t xml:space="preserve"> </w:t>
      </w:r>
      <w:r>
        <w:t xml:space="preserve">Specifying the average grid mix for the typical end-user regions would refine use-phase emissions.</w:t>
      </w:r>
    </w:p>
    <w:p>
      <w:pPr>
        <w:numPr>
          <w:ilvl w:val="0"/>
          <w:numId w:val="1011"/>
        </w:numPr>
        <w:pStyle w:val="Compact"/>
      </w:pPr>
      <w:r>
        <w:rPr>
          <w:bCs/>
          <w:b/>
        </w:rPr>
        <w:t xml:space="preserve">End-of-Life Specifics:</w:t>
      </w:r>
      <w:r>
        <w:t xml:space="preserve"> </w:t>
      </w:r>
      <w:r>
        <w:t xml:space="preserve">More detailed data on regional waste management infrastructure and actual material-specific recycling efficiencies and EoL emission factors would improve the granularity of Category 12.</w:t>
      </w:r>
    </w:p>
    <w:p>
      <w:pPr>
        <w:pStyle w:val="FirstParagraph"/>
      </w:pPr>
      <w:r>
        <w:t xml:space="preserve">The commitment to 95% Scope 3 coverage ensures a comprehensive assessment, highlighting wpqlpongfi\'s dedication to robust sustainability reporting. The incorporation of circular economy aspects through recyclability and take-back programs demonstrates forward-thinking product stewardship.</w:t>
      </w:r>
    </w:p>
    <w:p>
      <w:r>
        <w:pict>
          <v:rect style="width:0;height:1.5pt" o:hralign="center" o:hrstd="t" o:hr="t"/>
        </w:pic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ynxmiksgtj</dc:title>
  <dc:creator/>
  <dc:description>Detailed Product Carbon Footprint (PCF) analysis report for product ynxmiksgtj, adhering to GHG Protocol and 2026 LSR Update, prepared by Senior Sustainability Consultant xxxwqouhsu for wpqlpongfi.</dc:description>
  <dc:language>en</dc:language>
  <cp:keywords/>
  <dcterms:created xsi:type="dcterms:W3CDTF">2026-05-30T16:57:55Z</dcterms:created>
  <dcterms:modified xsi:type="dcterms:W3CDTF">2026-05-30T16:57:55Z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