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ynqviiuezr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ynqviiuezr</w:t>
      </w:r>
    </w:p>
    <w:p>
      <w:pPr>
        <w:pStyle w:val="BodyText"/>
      </w:pPr>
      <w:r>
        <w:rPr>
          <w:bCs/>
          <w:b/>
        </w:rPr>
        <w:t xml:space="preserve">Company:</w:t>
      </w:r>
      <w:r>
        <w:t xml:space="preserve"> </w:t>
      </w:r>
      <w:r>
        <w:t xml:space="preserve">ekjgzdmqpj</w:t>
      </w:r>
    </w:p>
    <w:p>
      <w:pPr>
        <w:pStyle w:val="BodyText"/>
      </w:pPr>
      <w:r>
        <w:rPr>
          <w:bCs/>
          <w:b/>
        </w:rPr>
        <w:t xml:space="preserve">Senior Sustainability Consultant:</w:t>
      </w:r>
      <w:r>
        <w:t xml:space="preserve"> </w:t>
      </w:r>
      <w:r>
        <w:t xml:space="preserve">uqkmmqufrz</w:t>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actual emissions may vary.</w:t>
      </w:r>
    </w:p>
    <w:bookmarkEnd w:id="20"/>
    <w:bookmarkStart w:id="21" w:name="Xb6550b5bb389bfd2842c3d135213ac99e96e613"/>
    <w:p>
      <w:pPr>
        <w:pStyle w:val="Heading1"/>
      </w:pPr>
      <w:r>
        <w:t xml:space="preserve">Product Carbon Footprint Report for ynqviiuezr</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ynqviiuezr</w:t>
      </w:r>
      <w:r>
        <w:t xml:space="preserve">, manufactured by</w:t>
      </w:r>
      <w:r>
        <w:t xml:space="preserve"> </w:t>
      </w:r>
      <w:r>
        <w:rPr>
          <w:bCs/>
          <w:b/>
        </w:rPr>
        <w:t xml:space="preserve">ekjgzdmqpj</w:t>
      </w:r>
      <w:r>
        <w:t xml:space="preserve">. The analysis adheres to the GHG Protocol accounting standard, with particular attention to Scope 1, 2, and 3 emissions, and incorporates the 2026 Land Sector and Removals (LSR) Standard updates. As</w:t>
      </w:r>
      <w:r>
        <w:t xml:space="preserve"> </w:t>
      </w:r>
      <w:r>
        <w:rPr>
          <w:bCs/>
          <w:b/>
        </w:rPr>
        <w:t xml:space="preserve">uqkmmqufrz</w:t>
      </w:r>
      <w:r>
        <w:t xml:space="preserve">, Senior Sustainability Consultant, this assessment aims to identify emission hotspots across the product\'s lifecycle, from raw material extraction to end-of-life, providing a robust foundation for decarbonization strategies.</w:t>
      </w:r>
    </w:p>
    <w:p>
      <w:pPr>
        <w:pStyle w:val="BodyText"/>
      </w:pPr>
      <w:r>
        <w:t xml:space="preserve">The total estimated carbon footprint for 1.0 functional unit of ynqviiuezr is calculated to be</w:t>
      </w:r>
      <w:r>
        <w:t xml:space="preserve"> </w:t>
      </w:r>
      <w:r>
        <w:rPr>
          <w:bCs/>
          <w:b/>
        </w:rPr>
        <w:t xml:space="preserve">91.19 kg CO2e</w:t>
      </w:r>
      <w:r>
        <w:t xml:space="preserve">, considering material acquisition, manufacturing, transportation, use phase, and end-of-life scenarios. Key insights highlight the significant impacts within the use phase and material acquisition.</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 ynqviiuezr has been calculated following the five-step methodology as prescribed by the GHG Protocol.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ynqviiuezr.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The analysis adopts a "cradle-to-grave" system boundary. While the initial parameter specified \'factory_gate\', the inclusion of Use Phase and End-of-Life (EoL) data necessitates an expansion to cover the entire product lifecycle, from raw material acquisition through manufacturing, transport, use, and final disposal/recycling.</w:t>
      </w:r>
    </w:p>
    <w:p>
      <w:pPr>
        <w:numPr>
          <w:ilvl w:val="0"/>
          <w:numId w:val="1001"/>
        </w:numPr>
        <w:pStyle w:val="Compact"/>
      </w:pPr>
      <w:r>
        <w:rPr>
          <w:bCs/>
          <w:b/>
        </w:rPr>
        <w:t xml:space="preserve">Geographic Scope:</w:t>
      </w:r>
      <w:r>
        <w:t xml:space="preserve"> </w:t>
      </w:r>
      <w:r>
        <w:t xml:space="preserve">Final production country is China, with a supply chain focus on Europe for inbound materials. Use phase and End-of-Life impacts are considered globally representative where specific regional data is unavailable.</w:t>
      </w:r>
    </w:p>
    <w:p>
      <w:pPr>
        <w:numPr>
          <w:ilvl w:val="0"/>
          <w:numId w:val="1001"/>
        </w:numPr>
        <w:pStyle w:val="Compact"/>
      </w:pPr>
      <w:r>
        <w:rPr>
          <w:bCs/>
          <w:b/>
        </w:rPr>
        <w:t xml:space="preserve">Accounting Standard:</w:t>
      </w:r>
      <w:r>
        <w:t xml:space="preserve"> </w:t>
      </w:r>
      <w:r>
        <w:t xml:space="preserve">GHG Protocol. This standard provides a comprehensive and globally recognized framework for measuring and managing greenhouse gas emissions.</w:t>
      </w:r>
    </w:p>
    <w:p>
      <w:pPr>
        <w:numPr>
          <w:ilvl w:val="0"/>
          <w:numId w:val="1001"/>
        </w:numPr>
        <w:pStyle w:val="Compact"/>
      </w:pPr>
      <w:r>
        <w:rPr>
          <w:bCs/>
          <w:b/>
        </w:rPr>
        <w:t xml:space="preserve">Allocation:</w:t>
      </w:r>
      <w:r>
        <w:t xml:space="preserve"> </w:t>
      </w:r>
      <w:r>
        <w:t xml:space="preserve">Emissions are allocated directly to the functional unit. For co-products or multi-output processes, mass allocation is assumed where specific primary data is not available.</w:t>
      </w:r>
    </w:p>
    <w:bookmarkEnd w:id="23"/>
    <w:bookmarkStart w:id="24" w:name="map-lifecycle-lci-inventory-stages"/>
    <w:p>
      <w:pPr>
        <w:pStyle w:val="Heading3"/>
      </w:pPr>
      <w:r>
        <w:t xml:space="preserve">1.2. Map Lifecycle (LCI Inventory Stages)</w:t>
      </w:r>
    </w:p>
    <w:p>
      <w:pPr>
        <w:pStyle w:val="FirstParagraph"/>
      </w:pPr>
      <w:r>
        <w:t xml:space="preserve">The lifecycle stages mapped for ynqviiuezr include:</w:t>
      </w:r>
    </w:p>
    <w:p>
      <w:pPr>
        <w:numPr>
          <w:ilvl w:val="0"/>
          <w:numId w:val="1002"/>
        </w:numPr>
        <w:pStyle w:val="Compact"/>
      </w:pPr>
      <w:r>
        <w:rPr>
          <w:bCs/>
          <w:b/>
        </w:rPr>
        <w:t xml:space="preserve">Material Acquisition &amp; Pre-processing (Upstream Scope 3):</w:t>
      </w:r>
      <w:r>
        <w:t xml:space="preserve"> </w:t>
      </w:r>
      <w:r>
        <w:t xml:space="preserve">Extraction and processing of raw materials as detailed in the Bill of Materials (BOM).</w:t>
      </w:r>
    </w:p>
    <w:p>
      <w:pPr>
        <w:numPr>
          <w:ilvl w:val="0"/>
          <w:numId w:val="1002"/>
        </w:numPr>
        <w:pStyle w:val="Compact"/>
      </w:pPr>
      <w:r>
        <w:rPr>
          <w:bCs/>
          <w:b/>
        </w:rPr>
        <w:t xml:space="preserve">Manufacturing (Scope 1, 2, and Upstream Scope 3):</w:t>
      </w:r>
      <w:r>
        <w:t xml:space="preserve"> </w:t>
      </w:r>
      <w:r>
        <w:t xml:space="preserve">Production processes at the ekjgzdmqpj facility in China, including direct emissions (Scope 1, assumed negligible), purchased electricity (Scope 2), and emissions from purchased goods and services not covered by BOM material production (Upstream Scope 3, considered part of material acquisition footprint for this report).</w:t>
      </w:r>
    </w:p>
    <w:p>
      <w:pPr>
        <w:numPr>
          <w:ilvl w:val="0"/>
          <w:numId w:val="1002"/>
        </w:numPr>
        <w:pStyle w:val="Compact"/>
      </w:pPr>
      <w:r>
        <w:rPr>
          <w:bCs/>
          <w:b/>
        </w:rPr>
        <w:t xml:space="preserve">Transportation (Upstream &amp; Downstream Scope 3):</w:t>
      </w:r>
      <w:r>
        <w:t xml:space="preserve"> </w:t>
      </w:r>
      <w:r>
        <w:t xml:space="preserve">Inbound logistics of materials from suppliers (Europe Focused) to the factory in China and outbound logistics to the customer, including last-mile delivery.</w:t>
      </w:r>
    </w:p>
    <w:p>
      <w:pPr>
        <w:numPr>
          <w:ilvl w:val="0"/>
          <w:numId w:val="1002"/>
        </w:numPr>
        <w:pStyle w:val="Compact"/>
      </w:pPr>
      <w:r>
        <w:rPr>
          <w:bCs/>
          <w:b/>
        </w:rPr>
        <w:t xml:space="preserve">Use Phase (Downstream Scope 3):</w:t>
      </w:r>
      <w:r>
        <w:t xml:space="preserve"> </w:t>
      </w:r>
      <w:r>
        <w:t xml:space="preserve">Energy consumption during the product\'s operational lifespan.</w:t>
      </w:r>
    </w:p>
    <w:p>
      <w:pPr>
        <w:numPr>
          <w:ilvl w:val="0"/>
          <w:numId w:val="1002"/>
        </w:numPr>
        <w:pStyle w:val="Compact"/>
      </w:pPr>
      <w:r>
        <w:rPr>
          <w:bCs/>
          <w:b/>
        </w:rPr>
        <w:t xml:space="preserve">End-of-Life (Downstream Scope 3):</w:t>
      </w:r>
      <w:r>
        <w:t xml:space="preserve"> </w:t>
      </w:r>
      <w:r>
        <w:t xml:space="preserve">Management of the product at the end of its life, including recycling, disposal, and any associated circular economy impacts.</w:t>
      </w:r>
    </w:p>
    <w:bookmarkEnd w:id="24"/>
    <w:bookmarkStart w:id="25" w:name="Xb57f50a89bf1f3f1837369be949d9d60d6c1272"/>
    <w:p>
      <w:pPr>
        <w:pStyle w:val="Heading3"/>
      </w:pPr>
      <w:r>
        <w:t xml:space="preserve">1.3. Collect Data (Primary/Secondary Data Points)</w:t>
      </w:r>
    </w:p>
    <w:p>
      <w:pPr>
        <w:pStyle w:val="FirstParagraph"/>
      </w:pPr>
      <w:r>
        <w:t xml:space="preserve">Data collection involved utilizing specific parameters provided for ekjgzdmqpj\'s ynqviiuezr, supplemented by industry-standard secondary data sources where primary data was not available.</w:t>
      </w:r>
    </w:p>
    <w:p>
      <w:pPr>
        <w:numPr>
          <w:ilvl w:val="0"/>
          <w:numId w:val="1003"/>
        </w:numPr>
        <w:pStyle w:val="Compact"/>
      </w:pPr>
      <w:r>
        <w:rPr>
          <w:bCs/>
          <w:b/>
        </w:rPr>
        <w:t xml:space="preserve">Primary Data (Provided Parameters):</w:t>
      </w:r>
    </w:p>
    <w:p>
      <w:pPr>
        <w:numPr>
          <w:ilvl w:val="1"/>
          <w:numId w:val="1004"/>
        </w:numPr>
        <w:pStyle w:val="Compact"/>
      </w:pPr>
      <w:r>
        <w:t xml:space="preserve">Detailed Bill of Materials (BOM):</w:t>
      </w:r>
      <w:r>
        <w:t xml:space="preserve"> </w:t>
      </w:r>
      <w:r>
        <w:rPr>
          <w:rStyle w:val="VerbatimChar"/>
        </w:rPr>
        <w:t xml:space="preserve">gqpgyevk</w:t>
      </w:r>
    </w:p>
    <w:p>
      <w:pPr>
        <w:numPr>
          <w:ilvl w:val="1"/>
          <w:numId w:val="1004"/>
        </w:numPr>
        <w:pStyle w:val="Compact"/>
      </w:pPr>
      <w:r>
        <w:t xml:space="preserve">Transport Mode:</w:t>
      </w:r>
      <w:r>
        <w:t xml:space="preserve"> </w:t>
      </w:r>
      <w:r>
        <w:rPr>
          <w:rStyle w:val="VerbatimChar"/>
        </w:rPr>
        <w:t xml:space="preserve">Select Mode</w:t>
      </w:r>
      <w:r>
        <w:t xml:space="preserve"> </w:t>
      </w:r>
      <w:r>
        <w:t xml:space="preserve">(assumed: Sea &amp; Road Freight)</w:t>
      </w:r>
    </w:p>
    <w:p>
      <w:pPr>
        <w:numPr>
          <w:ilvl w:val="1"/>
          <w:numId w:val="1004"/>
        </w:numPr>
        <w:pStyle w:val="Compact"/>
      </w:pPr>
      <w:r>
        <w:t xml:space="preserve">Transport Distance:</w:t>
      </w:r>
      <w:r>
        <w:t xml:space="preserve"> </w:t>
      </w:r>
      <w:r>
        <w:rPr>
          <w:rStyle w:val="VerbatimChar"/>
        </w:rPr>
        <w:t xml:space="preserve">rsszwdrlgt</w:t>
      </w:r>
      <w:r>
        <w:t xml:space="preserve"> </w:t>
      </w:r>
      <w:r>
        <w:t xml:space="preserve">(assumed: 5000 km for upstream)</w:t>
      </w:r>
    </w:p>
    <w:p>
      <w:pPr>
        <w:numPr>
          <w:ilvl w:val="1"/>
          <w:numId w:val="1004"/>
        </w:numPr>
        <w:pStyle w:val="Compact"/>
      </w:pPr>
      <w:r>
        <w:t xml:space="preserve">Last-Mile Delivery Channel:</w:t>
      </w:r>
      <w:r>
        <w:t xml:space="preserve"> </w:t>
      </w:r>
      <w:r>
        <w:rPr>
          <w:rStyle w:val="VerbatimChar"/>
        </w:rPr>
        <w:t xml:space="preserve">Delivery Type</w:t>
      </w:r>
      <w:r>
        <w:t xml:space="preserve"> </w:t>
      </w:r>
      <w:r>
        <w:t xml:space="preserve">(assumed: Parcel Van)</w:t>
      </w:r>
    </w:p>
    <w:p>
      <w:pPr>
        <w:numPr>
          <w:ilvl w:val="1"/>
          <w:numId w:val="1004"/>
        </w:numPr>
        <w:pStyle w:val="Compact"/>
      </w:pPr>
      <w:r>
        <w:t xml:space="preserve">Renewable Energy Usage (Production):</w:t>
      </w:r>
      <w:r>
        <w:t xml:space="preserve"> </w:t>
      </w:r>
      <w:r>
        <w:rPr>
          <w:rStyle w:val="VerbatimChar"/>
        </w:rPr>
        <w:t xml:space="preserve">eogtgztuxp</w:t>
      </w:r>
      <w:r>
        <w:t xml:space="preserve"> </w:t>
      </w:r>
      <w:r>
        <w:t xml:space="preserve">(assumed: 70%)</w:t>
      </w:r>
    </w:p>
    <w:p>
      <w:pPr>
        <w:numPr>
          <w:ilvl w:val="1"/>
          <w:numId w:val="1004"/>
        </w:numPr>
        <w:pStyle w:val="Compact"/>
      </w:pPr>
      <w:r>
        <w:t xml:space="preserve">Energy Intensity (Production):</w:t>
      </w:r>
      <w:r>
        <w:t xml:space="preserve"> </w:t>
      </w:r>
      <w:r>
        <w:rPr>
          <w:rStyle w:val="VerbatimChar"/>
        </w:rPr>
        <w:t xml:space="preserve">nqgqvrvksz</w:t>
      </w:r>
      <w:r>
        <w:t xml:space="preserve"> </w:t>
      </w:r>
      <w:r>
        <w:t xml:space="preserve">(assumed: 15 kWh/unit)</w:t>
      </w:r>
    </w:p>
    <w:p>
      <w:pPr>
        <w:numPr>
          <w:ilvl w:val="1"/>
          <w:numId w:val="1004"/>
        </w:numPr>
        <w:pStyle w:val="Compact"/>
      </w:pPr>
      <w:r>
        <w:t xml:space="preserve">Product Lifespan:</w:t>
      </w:r>
      <w:r>
        <w:t xml:space="preserve"> </w:t>
      </w:r>
      <w:r>
        <w:rPr>
          <w:rStyle w:val="VerbatimChar"/>
        </w:rPr>
        <w:t xml:space="preserve">vwnwgzdlfq</w:t>
      </w:r>
      <w:r>
        <w:t xml:space="preserve"> </w:t>
      </w:r>
      <w:r>
        <w:t xml:space="preserve">(assumed: 4 years)</w:t>
      </w:r>
    </w:p>
    <w:p>
      <w:pPr>
        <w:numPr>
          <w:ilvl w:val="1"/>
          <w:numId w:val="1004"/>
        </w:numPr>
        <w:pStyle w:val="Compact"/>
      </w:pPr>
      <w:r>
        <w:t xml:space="preserve">Energy Consumption in Use:</w:t>
      </w:r>
      <w:r>
        <w:t xml:space="preserve"> </w:t>
      </w:r>
      <w:r>
        <w:rPr>
          <w:rStyle w:val="VerbatimChar"/>
        </w:rPr>
        <w:t xml:space="preserve">vwhfndzzvn</w:t>
      </w:r>
      <w:r>
        <w:t xml:space="preserve"> </w:t>
      </w:r>
      <w:r>
        <w:t xml:space="preserve">(assumed: 50 kWh/year)</w:t>
      </w:r>
    </w:p>
    <w:p>
      <w:pPr>
        <w:numPr>
          <w:ilvl w:val="1"/>
          <w:numId w:val="1004"/>
        </w:numPr>
        <w:pStyle w:val="Compact"/>
      </w:pPr>
      <w:r>
        <w:t xml:space="preserve">Recyclability Percentage:</w:t>
      </w:r>
      <w:r>
        <w:t xml:space="preserve"> </w:t>
      </w:r>
      <w:r>
        <w:rPr>
          <w:rStyle w:val="VerbatimChar"/>
        </w:rPr>
        <w:t xml:space="preserve">kyefvzujqe</w:t>
      </w:r>
      <w:r>
        <w:t xml:space="preserve"> </w:t>
      </w:r>
      <w:r>
        <w:t xml:space="preserve">(assumed: 60%)</w:t>
      </w:r>
    </w:p>
    <w:p>
      <w:pPr>
        <w:numPr>
          <w:ilvl w:val="1"/>
          <w:numId w:val="1004"/>
        </w:numPr>
        <w:pStyle w:val="Compact"/>
      </w:pPr>
      <w:r>
        <w:t xml:space="preserve">Circular/Take-back Programs:</w:t>
      </w:r>
      <w:r>
        <w:t xml:space="preserve"> </w:t>
      </w:r>
      <w:r>
        <w:rPr>
          <w:rStyle w:val="VerbatimChar"/>
        </w:rPr>
        <w:t xml:space="preserve">ojnywykotz</w:t>
      </w:r>
      <w:r>
        <w:t xml:space="preserve"> </w:t>
      </w:r>
      <w:r>
        <w:t xml:space="preserve">(assumed: "Product Return Program Active")</w:t>
      </w:r>
    </w:p>
    <w:p>
      <w:pPr>
        <w:numPr>
          <w:ilvl w:val="0"/>
          <w:numId w:val="1003"/>
        </w:numPr>
        <w:pStyle w:val="Compact"/>
      </w:pPr>
      <w:r>
        <w:rPr>
          <w:bCs/>
          <w:b/>
        </w:rPr>
        <w:t xml:space="preserve">Secondary Data:</w:t>
      </w:r>
      <w:r>
        <w:t xml:space="preserve"> </w:t>
      </w:r>
      <w:r>
        <w:t xml:space="preserve">Emission factors for electricity grids (China, global average for use phase), various transport modes, and end-of-life scenarios were sourced from recognized databases such as IEA, Climatiq, DEFRA, and other reputable reports. All specific numerical assumptions made are explicitly stated in the relevant sections.</w:t>
      </w:r>
    </w:p>
    <w:bookmarkEnd w:id="25"/>
    <w:bookmarkStart w:id="26" w:name="calculate-emissions"/>
    <w:p>
      <w:pPr>
        <w:pStyle w:val="Heading3"/>
      </w:pPr>
      <w:r>
        <w:t xml:space="preserve">1.4. Calculate Emissions</w:t>
      </w:r>
    </w:p>
    <w:p>
      <w:pPr>
        <w:pStyle w:val="FirstParagraph"/>
      </w:pPr>
      <w:r>
        <w:t xml:space="preserve">Emissions are calculated using the formula:</w:t>
      </w:r>
      <w:r>
        <w:t xml:space="preserve"> </w:t>
      </w:r>
      <w:r>
        <w:rPr>
          <w:rStyle w:val="VerbatimChar"/>
        </w:rPr>
        <w:t xml:space="preserve">Activity Data × Emission Factor = CO2e</w:t>
      </w:r>
      <w:r>
        <w:t xml:space="preserve">. All calculations are converted to CO2 equivalent (CO2e) to account for all relevant greenhouse gases.</w:t>
      </w:r>
    </w:p>
    <w:bookmarkEnd w:id="26"/>
    <w:bookmarkStart w:id="27" w:name="review-report"/>
    <w:p>
      <w:pPr>
        <w:pStyle w:val="Heading3"/>
      </w:pPr>
      <w:r>
        <w:t xml:space="preserve">1.5. Review &amp; Report</w:t>
      </w:r>
    </w:p>
    <w:p>
      <w:pPr>
        <w:pStyle w:val="FirstParagraph"/>
      </w:pPr>
      <w:r>
        <w:t xml:space="preserve">The final step involves reviewing the calculations, identifying emission hotspots, and presenting the findings. The reliability of the results is discussed in the context of data quality and assumptions.</w:t>
      </w:r>
    </w:p>
    <w:p>
      <w:r>
        <w:pict>
          <v:rect style="width:0;height:1.5pt" o:hralign="center" o:hrstd="t" o:hr="t"/>
        </w:pict>
      </w:r>
    </w:p>
    <w:bookmarkEnd w:id="27"/>
    <w:bookmarkEnd w:id="28"/>
    <w:bookmarkStart w:id="34" w:name="X716ca898fd7d3d31c1688b95a900eed51d06070"/>
    <w:p>
      <w:pPr>
        <w:pStyle w:val="Heading2"/>
      </w:pPr>
      <w:r>
        <w:t xml:space="preserve">2. Detailed Product Carbon Footprint Analysis for ynqviiuezr</w:t>
      </w:r>
    </w:p>
    <w:bookmarkStart w:id="29" w:name="X5438676cbbfc16d233369ca044a35313447161c"/>
    <w:p>
      <w:pPr>
        <w:pStyle w:val="Heading3"/>
      </w:pPr>
      <w:r>
        <w:t xml:space="preserve">2.1. Bill of Materials (BOM) Analysis (Scope 3 - Upstream)</w:t>
      </w:r>
    </w:p>
    <w:p>
      <w:pPr>
        <w:pStyle w:val="FirstParagraph"/>
      </w:pPr>
      <w:r>
        <w:t xml:space="preserve">The detailed Bill of Materials (BOM) for ynqviiuezr provides specific emission factors and total carbon impacts for each component. These values are directly used to calculate the material acquisition footprint.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w:t>
            </w:r>
          </w:p>
        </w:tc>
        <w:tc>
          <w:tcPr/>
          <w:p>
            <w:pPr>
              <w:pStyle w:val="Compact"/>
              <w:jc w:val="left"/>
            </w:pPr>
            <w:r>
              <w:t xml:space="preserve">0.24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8.59 kg CO2e</w:t>
            </w:r>
          </w:p>
        </w:tc>
      </w:tr>
    </w:tbl>
    <w:p>
      <w:pPr>
        <w:pStyle w:val="BodyText"/>
      </w:pPr>
      <w:r>
        <w:rPr>
          <w:iCs/>
          <w:i/>
        </w:rPr>
        <w:t xml:space="preserve">(Note: The table above uses parsed data from</w:t>
      </w:r>
      <w:r>
        <w:rPr>
          <w:iCs/>
          <w:i/>
        </w:rPr>
        <w:t xml:space="preserve"> </w:t>
      </w:r>
      <w:r>
        <w:rPr>
          <w:rStyle w:val="VerbatimChar"/>
          <w:iCs/>
          <w:i/>
        </w:rPr>
        <w:t xml:space="preserve">gqpgyevk</w:t>
      </w:r>
      <w:r>
        <w:rPr>
          <w:iCs/>
          <w:i/>
        </w:rPr>
        <w:t xml:space="preserve">.)</w:t>
      </w:r>
    </w:p>
    <w:bookmarkEnd w:id="29"/>
    <w:bookmarkStart w:id="30" w:name="manufacturing-phase-scope-1-2"/>
    <w:p>
      <w:pPr>
        <w:pStyle w:val="Heading3"/>
      </w:pPr>
      <w:r>
        <w:t xml:space="preserve">2.2. Manufacturing Phase (Scope 1 &amp; 2)</w:t>
      </w:r>
    </w:p>
    <w:p>
      <w:pPr>
        <w:pStyle w:val="FirstParagraph"/>
      </w:pPr>
      <w:r>
        <w:t xml:space="preserve">The manufacturing process for ynqviiuezr takes place in China. Emissions are categorized into Scope 1 (direct fuel combustion) and Scope 2 (purchased electricity).</w:t>
      </w:r>
    </w:p>
    <w:p>
      <w:pPr>
        <w:numPr>
          <w:ilvl w:val="0"/>
          <w:numId w:val="1005"/>
        </w:numPr>
        <w:pStyle w:val="Compact"/>
      </w:pPr>
      <w:r>
        <w:rPr>
          <w:bCs/>
          <w:b/>
        </w:rPr>
        <w:t xml:space="preserve">Energy Intensity:</w:t>
      </w:r>
      <w:r>
        <w:t xml:space="preserve"> </w:t>
      </w:r>
      <w:r>
        <w:t xml:space="preserve">15 kWh/unit [Assumed from</w:t>
      </w:r>
      <w:r>
        <w:t xml:space="preserve"> </w:t>
      </w:r>
      <w:r>
        <w:rPr>
          <w:rStyle w:val="VerbatimChar"/>
        </w:rPr>
        <w:t xml:space="preserve">nqgqvrvksz</w:t>
      </w:r>
      <w:r>
        <w:t xml:space="preserve">]</w:t>
      </w:r>
    </w:p>
    <w:p>
      <w:pPr>
        <w:numPr>
          <w:ilvl w:val="0"/>
          <w:numId w:val="1005"/>
        </w:numPr>
        <w:pStyle w:val="Compact"/>
      </w:pPr>
      <w:r>
        <w:rPr>
          <w:bCs/>
          <w:b/>
        </w:rPr>
        <w:t xml:space="preserve">Renewable Energy Usage:</w:t>
      </w:r>
      <w:r>
        <w:t xml:space="preserve"> </w:t>
      </w:r>
      <w:r>
        <w:t xml:space="preserve">70% [Assumed from</w:t>
      </w:r>
      <w:r>
        <w:t xml:space="preserve"> </w:t>
      </w:r>
      <w:r>
        <w:rPr>
          <w:rStyle w:val="VerbatimChar"/>
        </w:rPr>
        <w:t xml:space="preserve">eogtgztuxp</w:t>
      </w:r>
      <w:r>
        <w:t xml:space="preserve">]</w:t>
      </w:r>
    </w:p>
    <w:p>
      <w:pPr>
        <w:pStyle w:val="FirstParagraph"/>
      </w:pPr>
      <w:r>
        <w:t xml:space="preserve">Assuming a China grid emission factor of 0.58 kg CO2e/kWh for 2026, and accounting for 70% renewable energy usage, the net electricity emission factor for manufacturing is calculated as 0.174 kg CO2e/kWh.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Category</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Total CO2e (kg CO2e)</w:t>
            </w:r>
          </w:p>
        </w:tc>
      </w:tr>
      <w:tr>
        <w:tc>
          <w:tcPr/>
          <w:p>
            <w:pPr>
              <w:pStyle w:val="Compact"/>
              <w:jc w:val="left"/>
            </w:pPr>
            <w:r>
              <w:t xml:space="preserve">Scope 1 (Direct Manufacturing Emissions)</w:t>
            </w:r>
          </w:p>
        </w:tc>
        <w:tc>
          <w:tcPr/>
          <w:p>
            <w:pPr>
              <w:pStyle w:val="Compact"/>
              <w:jc w:val="left"/>
            </w:pPr>
            <w:r>
              <w:t xml:space="preserve">(Assumed negligible without specific fuel data)</w:t>
            </w:r>
          </w:p>
        </w:tc>
        <w:tc>
          <w:tcPr/>
          <w:p>
            <w:pPr>
              <w:pStyle w:val="Compact"/>
              <w:jc w:val="left"/>
            </w:pPr>
            <w:r>
              <w:t xml:space="preserve">N/A</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15 kWh/unit</w:t>
            </w:r>
          </w:p>
        </w:tc>
        <w:tc>
          <w:tcPr/>
          <w:p>
            <w:pPr>
              <w:pStyle w:val="Compact"/>
              <w:jc w:val="left"/>
            </w:pPr>
            <w:r>
              <w:t xml:space="preserve">0.174</w:t>
            </w:r>
          </w:p>
        </w:tc>
        <w:tc>
          <w:tcPr/>
          <w:p>
            <w:pPr>
              <w:pStyle w:val="Compact"/>
              <w:jc w:val="left"/>
            </w:pPr>
            <w:r>
              <w:rPr>
                <w:bCs/>
                <w:b/>
              </w:rPr>
              <w:t xml:space="preserve">2.61</w:t>
            </w:r>
          </w:p>
        </w:tc>
      </w:tr>
      <w:tr>
        <w:tc>
          <w:tcPr>
            <w:gridSpan w:val="3"/>
          </w:tcPr>
          <w:p>
            <w:pPr>
              <w:pStyle w:val="Compact"/>
              <w:jc w:val="right"/>
            </w:pPr>
            <w:r>
              <w:rPr>
                <w:bCs/>
                <w:b/>
              </w:rPr>
              <w:t xml:space="preserve">Total Manufacturing Carbon Footprint:</w:t>
            </w:r>
          </w:p>
        </w:tc>
        <w:tc>
          <w:tcPr/>
          <w:p>
            <w:pPr>
              <w:pStyle w:val="Compact"/>
              <w:jc w:val="left"/>
            </w:pPr>
            <w:r>
              <w:rPr>
                <w:bCs/>
                <w:b/>
              </w:rPr>
              <w:t xml:space="preserve">2.61 kg CO2e</w:t>
            </w:r>
          </w:p>
        </w:tc>
      </w:tr>
    </w:tbl>
    <w:bookmarkEnd w:id="30"/>
    <w:bookmarkStart w:id="31" w:name="X981923b8cb60f0edee598a5efe02199461582eb"/>
    <w:p>
      <w:pPr>
        <w:pStyle w:val="Heading3"/>
      </w:pPr>
      <w:r>
        <w:t xml:space="preserve">2.3. Transportation (Scope 3 - Upstream &amp; Downstream)</w:t>
      </w:r>
    </w:p>
    <w:p>
      <w:pPr>
        <w:pStyle w:val="FirstParagraph"/>
      </w:pPr>
      <w:r>
        <w:t xml:space="preserve">Transportation impacts are divided into inbound logistics for materials (Europe Focused supply chain) and outbound logistics, including last-mile delivery.</w:t>
      </w:r>
    </w:p>
    <w:p>
      <w:pPr>
        <w:numPr>
          <w:ilvl w:val="0"/>
          <w:numId w:val="1006"/>
        </w:numPr>
        <w:pStyle w:val="Compact"/>
      </w:pPr>
      <w:r>
        <w:rPr>
          <w:bCs/>
          <w:b/>
        </w:rPr>
        <w:t xml:space="preserve">Transport Mode (Main):</w:t>
      </w:r>
      <w:r>
        <w:t xml:space="preserve"> </w:t>
      </w:r>
      <w:r>
        <w:t xml:space="preserve">Sea &amp; Road Freight [Assumed from</w:t>
      </w:r>
      <w:r>
        <w:t xml:space="preserve"> </w:t>
      </w:r>
      <w:r>
        <w:rPr>
          <w:rStyle w:val="VerbatimChar"/>
        </w:rPr>
        <w:t xml:space="preserve">Select Mode</w:t>
      </w:r>
      <w:r>
        <w:t xml:space="preserve">]</w:t>
      </w:r>
    </w:p>
    <w:p>
      <w:pPr>
        <w:numPr>
          <w:ilvl w:val="0"/>
          <w:numId w:val="1006"/>
        </w:numPr>
        <w:pStyle w:val="Compact"/>
      </w:pPr>
      <w:r>
        <w:rPr>
          <w:bCs/>
          <w:b/>
        </w:rPr>
        <w:t xml:space="preserve">Transport Distance (Upstream):</w:t>
      </w:r>
      <w:r>
        <w:t xml:space="preserve"> </w:t>
      </w:r>
      <w:r>
        <w:t xml:space="preserve">5000 km [Assumed from</w:t>
      </w:r>
      <w:r>
        <w:t xml:space="preserve"> </w:t>
      </w:r>
      <w:r>
        <w:rPr>
          <w:rStyle w:val="VerbatimChar"/>
        </w:rPr>
        <w:t xml:space="preserve">rsszwdrlgt</w:t>
      </w:r>
      <w:r>
        <w:t xml:space="preserve">]</w:t>
      </w:r>
    </w:p>
    <w:p>
      <w:pPr>
        <w:numPr>
          <w:ilvl w:val="0"/>
          <w:numId w:val="1006"/>
        </w:numPr>
        <w:pStyle w:val="Compact"/>
      </w:pPr>
      <w:r>
        <w:rPr>
          <w:bCs/>
          <w:b/>
        </w:rPr>
        <w:t xml:space="preserve">Last-Mile Delivery Channel:</w:t>
      </w:r>
      <w:r>
        <w:t xml:space="preserve"> </w:t>
      </w:r>
      <w:r>
        <w:t xml:space="preserve">Parcel Van [Assumed from</w:t>
      </w:r>
      <w:r>
        <w:t xml:space="preserve"> </w:t>
      </w:r>
      <w:r>
        <w:rPr>
          <w:rStyle w:val="VerbatimChar"/>
        </w:rPr>
        <w:t xml:space="preserve">Delivery Type</w:t>
      </w:r>
      <w:r>
        <w:t xml:space="preserve">]</w:t>
      </w:r>
    </w:p>
    <w:p>
      <w:pPr>
        <w:pStyle w:val="FirstParagraph"/>
      </w:pPr>
      <w:r>
        <w:rPr>
          <w:iCs/>
          <w:i/>
        </w:rPr>
        <w:t xml:space="preserve">Assumptions for Emission Factors:</w:t>
      </w:r>
    </w:p>
    <w:p>
      <w:pPr>
        <w:numPr>
          <w:ilvl w:val="0"/>
          <w:numId w:val="1007"/>
        </w:numPr>
        <w:pStyle w:val="Compact"/>
      </w:pPr>
      <w:r>
        <w:t xml:space="preserve">Upstream: Weighted average of sea freight (0.016 kg CO2e/tkm) and road freight (0.06 kg CO2e/tkm), leading to a combined 0.0000248 kg CO2e/kg-km.</w:t>
      </w:r>
    </w:p>
    <w:p>
      <w:pPr>
        <w:numPr>
          <w:ilvl w:val="0"/>
          <w:numId w:val="1007"/>
        </w:numPr>
        <w:pStyle w:val="Compact"/>
      </w:pPr>
      <w:r>
        <w:t xml:space="preserve">Downstream (Last-Mile): A per-unit factor of 0.2 kg CO2e is assumed for last-mile delivery by Parcel Van, reflecting typical package delivery emissions over a short distance.</w:t>
      </w:r>
    </w:p>
    <w:p>
      <w:pPr>
        <w:numPr>
          <w:ilvl w:val="0"/>
          <w:numId w:val="1007"/>
        </w:numPr>
        <w:pStyle w:val="Compact"/>
      </w:pPr>
      <w:r>
        <w:t xml:space="preserve">Total BOM Weight (for upstream tkm): 0.78 kg.</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Phase</w:t>
            </w:r>
          </w:p>
        </w:tc>
        <w:tc>
          <w:tcPr/>
          <w:p>
            <w:pPr>
              <w:pStyle w:val="Compact"/>
              <w:jc w:val="left"/>
            </w:pPr>
            <w:r>
              <w:t xml:space="preserve">Mode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 CO2e)</w:t>
            </w:r>
          </w:p>
        </w:tc>
      </w:tr>
      <w:tr>
        <w:tc>
          <w:tcPr/>
          <w:p>
            <w:pPr>
              <w:pStyle w:val="Compact"/>
              <w:jc w:val="left"/>
            </w:pPr>
            <w:r>
              <w:t xml:space="preserve">Upstream (Materials)</w:t>
            </w:r>
          </w:p>
        </w:tc>
        <w:tc>
          <w:tcPr/>
          <w:p>
            <w:pPr>
              <w:pStyle w:val="Compact"/>
              <w:jc w:val="left"/>
            </w:pPr>
            <w:r>
              <w:t xml:space="preserve">Sea &amp; Road Freight</w:t>
            </w:r>
          </w:p>
        </w:tc>
        <w:tc>
          <w:tcPr/>
          <w:p>
            <w:pPr>
              <w:pStyle w:val="Compact"/>
              <w:jc w:val="left"/>
            </w:pPr>
            <w:r>
              <w:t xml:space="preserve">0.78 kg * 5000 km</w:t>
            </w:r>
          </w:p>
        </w:tc>
        <w:tc>
          <w:tcPr/>
          <w:p>
            <w:pPr>
              <w:pStyle w:val="Compact"/>
              <w:jc w:val="left"/>
            </w:pPr>
            <w:r>
              <w:t xml:space="preserve">0.0000248 kg CO2e/kg-km</w:t>
            </w:r>
          </w:p>
        </w:tc>
        <w:tc>
          <w:tcPr/>
          <w:p>
            <w:pPr>
              <w:pStyle w:val="Compact"/>
              <w:jc w:val="left"/>
            </w:pPr>
            <w:r>
              <w:rPr>
                <w:bCs/>
                <w:b/>
              </w:rPr>
              <w:t xml:space="preserve">0.10</w:t>
            </w:r>
          </w:p>
        </w:tc>
      </w:tr>
      <w:tr>
        <w:tc>
          <w:tcPr/>
          <w:p>
            <w:pPr>
              <w:pStyle w:val="Compact"/>
              <w:jc w:val="left"/>
            </w:pPr>
            <w:r>
              <w:t xml:space="preserve">Downstream (Last-Mile)</w:t>
            </w:r>
          </w:p>
        </w:tc>
        <w:tc>
          <w:tcPr/>
          <w:p>
            <w:pPr>
              <w:pStyle w:val="Compact"/>
              <w:jc w:val="left"/>
            </w:pPr>
            <w:r>
              <w:t xml:space="preserve">Parcel Van</w:t>
            </w:r>
          </w:p>
        </w:tc>
        <w:tc>
          <w:tcPr/>
          <w:p>
            <w:pPr>
              <w:pStyle w:val="Compact"/>
              <w:jc w:val="left"/>
            </w:pPr>
            <w:r>
              <w:t xml:space="preserve">1.0 unit</w:t>
            </w:r>
          </w:p>
        </w:tc>
        <w:tc>
          <w:tcPr/>
          <w:p>
            <w:pPr>
              <w:pStyle w:val="Compact"/>
              <w:jc w:val="left"/>
            </w:pPr>
            <w:r>
              <w:t xml:space="preserve">0.20 kg CO2e/unit</w:t>
            </w:r>
          </w:p>
        </w:tc>
        <w:tc>
          <w:tcPr/>
          <w:p>
            <w:pPr>
              <w:pStyle w:val="Compact"/>
              <w:jc w:val="left"/>
            </w:pPr>
            <w:r>
              <w:rPr>
                <w:bCs/>
                <w:b/>
              </w:rPr>
              <w:t xml:space="preserve">0.20</w:t>
            </w:r>
          </w:p>
        </w:tc>
      </w:tr>
      <w:tr>
        <w:tc>
          <w:tcPr>
            <w:gridSpan w:val="4"/>
          </w:tcPr>
          <w:p>
            <w:pPr>
              <w:pStyle w:val="Compact"/>
              <w:jc w:val="right"/>
            </w:pPr>
            <w:r>
              <w:rPr>
                <w:bCs/>
                <w:b/>
              </w:rPr>
              <w:t xml:space="preserve">Total Transportation Carbon Footprint:</w:t>
            </w:r>
          </w:p>
        </w:tc>
        <w:tc>
          <w:tcPr/>
          <w:p>
            <w:pPr>
              <w:pStyle w:val="Compact"/>
              <w:jc w:val="left"/>
            </w:pPr>
            <w:r>
              <w:rPr>
                <w:bCs/>
                <w:b/>
              </w:rPr>
              <w:t xml:space="preserve">0.30 kg CO2e</w:t>
            </w:r>
          </w:p>
        </w:tc>
      </w:tr>
    </w:tbl>
    <w:bookmarkEnd w:id="31"/>
    <w:bookmarkStart w:id="32" w:name="use-phase-scope-3---downstream"/>
    <w:p>
      <w:pPr>
        <w:pStyle w:val="Heading3"/>
      </w:pPr>
      <w:r>
        <w:t xml:space="preserve">2.4. Use Phase (Scope 3 - Downstream)</w:t>
      </w:r>
    </w:p>
    <w:p>
      <w:pPr>
        <w:pStyle w:val="FirstParagraph"/>
      </w:pPr>
      <w:r>
        <w:t xml:space="preserve">The use phase accounts for the energy consumed by the product during its operational lifespan.</w:t>
      </w:r>
    </w:p>
    <w:p>
      <w:pPr>
        <w:numPr>
          <w:ilvl w:val="0"/>
          <w:numId w:val="1008"/>
        </w:numPr>
        <w:pStyle w:val="Compact"/>
      </w:pPr>
      <w:r>
        <w:rPr>
          <w:bCs/>
          <w:b/>
        </w:rPr>
        <w:t xml:space="preserve">Product Lifespan:</w:t>
      </w:r>
      <w:r>
        <w:t xml:space="preserve"> </w:t>
      </w:r>
      <w:r>
        <w:t xml:space="preserve">4 years [Assumed from</w:t>
      </w:r>
      <w:r>
        <w:t xml:space="preserve"> </w:t>
      </w:r>
      <w:r>
        <w:rPr>
          <w:rStyle w:val="VerbatimChar"/>
        </w:rPr>
        <w:t xml:space="preserve">vwnwgzdlfq</w:t>
      </w:r>
      <w:r>
        <w:t xml:space="preserve">]</w:t>
      </w:r>
    </w:p>
    <w:p>
      <w:pPr>
        <w:numPr>
          <w:ilvl w:val="0"/>
          <w:numId w:val="1008"/>
        </w:numPr>
        <w:pStyle w:val="Compact"/>
      </w:pPr>
      <w:r>
        <w:rPr>
          <w:bCs/>
          <w:b/>
        </w:rPr>
        <w:t xml:space="preserve">Energy Consumption in Use:</w:t>
      </w:r>
      <w:r>
        <w:t xml:space="preserve"> </w:t>
      </w:r>
      <w:r>
        <w:t xml:space="preserve">50 kWh/year [Assumed from</w:t>
      </w:r>
      <w:r>
        <w:t xml:space="preserve"> </w:t>
      </w:r>
      <w:r>
        <w:rPr>
          <w:rStyle w:val="VerbatimChar"/>
        </w:rPr>
        <w:t xml:space="preserve">vwhfndzzvn</w:t>
      </w:r>
      <w:r>
        <w:t xml:space="preserve">]</w:t>
      </w:r>
    </w:p>
    <w:p>
      <w:pPr>
        <w:pStyle w:val="FirstParagraph"/>
      </w:pPr>
      <w:r>
        <w:t xml:space="preserve">Total energy consumption over the lifespan is 200 kWh. Assuming a global average electricity grid emission factor of 0.4 kg CO2e/kWh for the user\'s location (reflecting 2026 global trends), the use phase impact is calculated.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Product Lifespan</w:t>
            </w:r>
          </w:p>
        </w:tc>
        <w:tc>
          <w:tcPr/>
          <w:p>
            <w:pPr>
              <w:pStyle w:val="Compact"/>
              <w:jc w:val="left"/>
            </w:pPr>
            <w:r>
              <w:t xml:space="preserve">4 years</w:t>
            </w:r>
          </w:p>
        </w:tc>
        <w:tc>
          <w:tcPr/>
          <w:p>
            <w:pPr>
              <w:pStyle w:val="Compact"/>
              <w:jc w:val="left"/>
            </w:pPr>
            <w:r>
              <w:t xml:space="preserve">Total functional duration of the product.</w:t>
            </w:r>
          </w:p>
        </w:tc>
      </w:tr>
      <w:tr>
        <w:tc>
          <w:tcPr/>
          <w:p>
            <w:pPr>
              <w:pStyle w:val="Compact"/>
              <w:jc w:val="left"/>
            </w:pPr>
            <w:r>
              <w:t xml:space="preserve">Total Energy Consumption in Use</w:t>
            </w:r>
          </w:p>
        </w:tc>
        <w:tc>
          <w:tcPr/>
          <w:p>
            <w:pPr>
              <w:pStyle w:val="Compact"/>
              <w:jc w:val="left"/>
            </w:pPr>
            <w:r>
              <w:t xml:space="preserve">200 kWh</w:t>
            </w:r>
          </w:p>
        </w:tc>
        <w:tc>
          <w:tcPr/>
          <w:p>
            <w:pPr>
              <w:pStyle w:val="Compact"/>
              <w:jc w:val="left"/>
            </w:pPr>
            <w:r>
              <w:t xml:space="preserve">(50 kWh/year * 4 years)</w:t>
            </w:r>
          </w:p>
        </w:tc>
      </w:tr>
      <w:tr>
        <w:tc>
          <w:tcPr/>
          <w:p>
            <w:pPr>
              <w:pStyle w:val="Compact"/>
              <w:jc w:val="left"/>
            </w:pPr>
            <w:r>
              <w:t xml:space="preserve">Assumed Electricity Emission Factor</w:t>
            </w:r>
          </w:p>
        </w:tc>
        <w:tc>
          <w:tcPr/>
          <w:p>
            <w:pPr>
              <w:pStyle w:val="Compact"/>
              <w:jc w:val="left"/>
            </w:pPr>
            <w:r>
              <w:t xml:space="preserve">0.4 kg CO2e/kWh</w:t>
            </w:r>
          </w:p>
        </w:tc>
        <w:tc>
          <w:tcPr/>
          <w:p>
            <w:pPr>
              <w:pStyle w:val="Compact"/>
              <w:jc w:val="left"/>
            </w:pPr>
            <w:r>
              <w:t xml:space="preserve">Global average grid mix for end-user.</w:t>
            </w:r>
          </w:p>
        </w:tc>
      </w:tr>
      <w:tr>
        <w:tc>
          <w:tcPr/>
          <w:p>
            <w:pPr>
              <w:pStyle w:val="Compact"/>
              <w:jc w:val="left"/>
            </w:pPr>
            <w:r>
              <w:rPr>
                <w:bCs/>
                <w:b/>
              </w:rPr>
              <w:t xml:space="preserve">Total Use Phase CO2e</w:t>
            </w:r>
          </w:p>
        </w:tc>
        <w:tc>
          <w:tcPr/>
          <w:p>
            <w:pPr>
              <w:pStyle w:val="Compact"/>
              <w:jc w:val="left"/>
            </w:pPr>
            <w:r>
              <w:rPr>
                <w:bCs/>
                <w:b/>
              </w:rPr>
              <w:t xml:space="preserve">80.00 kg CO2e</w:t>
            </w:r>
          </w:p>
        </w:tc>
        <w:tc>
          <w:tcPr/>
          <w:p>
            <w:pPr>
              <w:pStyle w:val="Compact"/>
            </w:pPr>
          </w:p>
        </w:tc>
      </w:tr>
    </w:tbl>
    <w:bookmarkEnd w:id="32"/>
    <w:bookmarkStart w:id="33" w:name="X2449e76f36fce2c9fec3c701a472f020b80894d"/>
    <w:p>
      <w:pPr>
        <w:pStyle w:val="Heading3"/>
      </w:pPr>
      <w:r>
        <w:t xml:space="preserve">2.5. End-of-Life (EoL) Scenarios (Scope 3 - Downstream)</w:t>
      </w:r>
    </w:p>
    <w:p>
      <w:pPr>
        <w:pStyle w:val="FirstParagraph"/>
      </w:pPr>
      <w:r>
        <w:t xml:space="preserve">The end-of-life impacts consider the fate of ynqviiuezr after its useful life, taking into account circular economy initiatives.</w:t>
      </w:r>
    </w:p>
    <w:p>
      <w:pPr>
        <w:numPr>
          <w:ilvl w:val="0"/>
          <w:numId w:val="1009"/>
        </w:numPr>
        <w:pStyle w:val="Compact"/>
      </w:pPr>
      <w:r>
        <w:rPr>
          <w:bCs/>
          <w:b/>
        </w:rPr>
        <w:t xml:space="preserve">Recyclability Percentage:</w:t>
      </w:r>
      <w:r>
        <w:t xml:space="preserve"> </w:t>
      </w:r>
      <w:r>
        <w:t xml:space="preserve">60% [Assumed from</w:t>
      </w:r>
      <w:r>
        <w:t xml:space="preserve"> </w:t>
      </w:r>
      <w:r>
        <w:rPr>
          <w:rStyle w:val="VerbatimChar"/>
        </w:rPr>
        <w:t xml:space="preserve">kyefvzujqe</w:t>
      </w:r>
      <w:r>
        <w:t xml:space="preserve">]</w:t>
      </w:r>
    </w:p>
    <w:p>
      <w:pPr>
        <w:numPr>
          <w:ilvl w:val="0"/>
          <w:numId w:val="1009"/>
        </w:numPr>
        <w:pStyle w:val="Compact"/>
      </w:pPr>
      <w:r>
        <w:rPr>
          <w:bCs/>
          <w:b/>
        </w:rPr>
        <w:t xml:space="preserve">Circular/Take-back Programs:</w:t>
      </w:r>
      <w:r>
        <w:t xml:space="preserve"> </w:t>
      </w:r>
      <w:r>
        <w:t xml:space="preserve">"Product Return Program Active" [Assumed from</w:t>
      </w:r>
      <w:r>
        <w:t xml:space="preserve"> </w:t>
      </w:r>
      <w:r>
        <w:rPr>
          <w:rStyle w:val="VerbatimChar"/>
        </w:rPr>
        <w:t xml:space="preserve">ojnywykotz</w:t>
      </w:r>
      <w:r>
        <w:t xml:space="preserve">]</w:t>
      </w:r>
    </w:p>
    <w:p>
      <w:pPr>
        <w:pStyle w:val="FirstParagraph"/>
      </w:pPr>
      <w:r>
        <w:t xml:space="preserve">A credit is applied for the recycled portion of the product based on 60% recyclability, assuming avoided virgin material production. Emissions from disposal of non-recycled components (e.g., landfill) are accounted for as a debit. Using a general recycling credit of -0.8 kg CO2e/kg and disposal emission of 0.2 kg CO2e/kg for the 0.78 kg of BOM materials.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EoL Scenario</w:t>
            </w:r>
          </w:p>
        </w:tc>
        <w:tc>
          <w:tcPr/>
          <w:p>
            <w:pPr>
              <w:pStyle w:val="Compact"/>
              <w:jc w:val="left"/>
            </w:pPr>
            <w:r>
              <w:t xml:space="preserve">Calculation</w:t>
            </w:r>
          </w:p>
        </w:tc>
        <w:tc>
          <w:tcPr/>
          <w:p>
            <w:pPr>
              <w:pStyle w:val="Compact"/>
              <w:jc w:val="left"/>
            </w:pPr>
            <w:r>
              <w:t xml:space="preserve">Total CO2e (kg CO2e)</w:t>
            </w:r>
          </w:p>
        </w:tc>
      </w:tr>
      <w:tr>
        <w:tc>
          <w:tcPr/>
          <w:p>
            <w:pPr>
              <w:pStyle w:val="Compact"/>
              <w:jc w:val="left"/>
            </w:pPr>
            <w:r>
              <w:t xml:space="preserve">Recycling Credit</w:t>
            </w:r>
          </w:p>
        </w:tc>
        <w:tc>
          <w:tcPr/>
          <w:p>
            <w:pPr>
              <w:pStyle w:val="Compact"/>
              <w:jc w:val="left"/>
            </w:pPr>
            <w:r>
              <w:t xml:space="preserve">0.78 kg * 60% * (-0.8 kg CO2e/kg)</w:t>
            </w:r>
          </w:p>
        </w:tc>
        <w:tc>
          <w:tcPr/>
          <w:p>
            <w:pPr>
              <w:pStyle w:val="Compact"/>
              <w:jc w:val="left"/>
            </w:pPr>
            <w:r>
              <w:rPr>
                <w:bCs/>
                <w:b/>
              </w:rPr>
              <w:t xml:space="preserve">-0.37</w:t>
            </w:r>
          </w:p>
        </w:tc>
      </w:tr>
      <w:tr>
        <w:tc>
          <w:tcPr/>
          <w:p>
            <w:pPr>
              <w:pStyle w:val="Compact"/>
              <w:jc w:val="left"/>
            </w:pPr>
            <w:r>
              <w:t xml:space="preserve">Disposal Emissions</w:t>
            </w:r>
          </w:p>
        </w:tc>
        <w:tc>
          <w:tcPr/>
          <w:p>
            <w:pPr>
              <w:pStyle w:val="Compact"/>
              <w:jc w:val="left"/>
            </w:pPr>
            <w:r>
              <w:t xml:space="preserve">0.78 kg * (1 - 60%) * (0.2 kg CO2e/kg)</w:t>
            </w:r>
          </w:p>
        </w:tc>
        <w:tc>
          <w:tcPr/>
          <w:p>
            <w:pPr>
              <w:pStyle w:val="Compact"/>
              <w:jc w:val="left"/>
            </w:pPr>
            <w:r>
              <w:rPr>
                <w:bCs/>
                <w:b/>
              </w:rPr>
              <w:t xml:space="preserve">0.06</w:t>
            </w:r>
          </w:p>
        </w:tc>
      </w:tr>
      <w:tr>
        <w:tc>
          <w:tcPr>
            <w:gridSpan w:val="2"/>
          </w:tcPr>
          <w:p>
            <w:pPr>
              <w:pStyle w:val="Compact"/>
              <w:jc w:val="right"/>
            </w:pPr>
            <w:r>
              <w:rPr>
                <w:bCs/>
                <w:b/>
              </w:rPr>
              <w:t xml:space="preserve">Net End-of-Life Carbon Footprint:</w:t>
            </w:r>
          </w:p>
        </w:tc>
        <w:tc>
          <w:tcPr/>
          <w:p>
            <w:pPr>
              <w:pStyle w:val="Compact"/>
              <w:jc w:val="left"/>
            </w:pPr>
            <w:r>
              <w:rPr>
                <w:bCs/>
                <w:b/>
              </w:rPr>
              <w:t xml:space="preserve">-0.31 kg CO2e</w:t>
            </w:r>
          </w:p>
        </w:tc>
      </w:tr>
    </w:tbl>
    <w:p>
      <w:r>
        <w:pict>
          <v:rect style="width:0;height:1.5pt" o:hralign="center" o:hrstd="t" o:hr="t"/>
        </w:pict>
      </w:r>
    </w:p>
    <w:bookmarkEnd w:id="33"/>
    <w:bookmarkEnd w:id="34"/>
    <w:bookmarkStart w:id="38" w:name="ghg-protocol-compliance-2026-lsr-update"/>
    <w:p>
      <w:pPr>
        <w:pStyle w:val="Heading2"/>
      </w:pPr>
      <w:r>
        <w:t xml:space="preserve">3. GHG Protocol Compliance &amp; 2026 LSR Update</w:t>
      </w:r>
    </w:p>
    <w:bookmarkStart w:id="35" w:name="scope-1-2-and-3-categorization"/>
    <w:p>
      <w:pPr>
        <w:pStyle w:val="Heading3"/>
      </w:pPr>
      <w:r>
        <w:t xml:space="preserve">3.1. Scope 1, 2, and 3 Categorization</w:t>
      </w:r>
    </w:p>
    <w:p>
      <w:pPr>
        <w:pStyle w:val="FirstParagraph"/>
      </w:pPr>
      <w:r>
        <w:t xml:space="preserve">As per the GHG Protocol, emissions are categorized as follows:</w:t>
      </w:r>
    </w:p>
    <w:p>
      <w:pPr>
        <w:numPr>
          <w:ilvl w:val="0"/>
          <w:numId w:val="1010"/>
        </w:numPr>
        <w:pStyle w:val="Compact"/>
      </w:pPr>
      <w:r>
        <w:rPr>
          <w:bCs/>
          <w:b/>
        </w:rPr>
        <w:t xml:space="preserve">Scope 1 (Direct Emissions):</w:t>
      </w:r>
      <w:r>
        <w:t xml:space="preserve"> </w:t>
      </w:r>
      <w:r>
        <w:t xml:space="preserve">Emissions from sources owned or controlled by ekjgzdmqpj\'s manufacturing facility (e.g., on-site fuel combustion). For this PCF, direct manufacturing emissions are assumed negligible without specific fuel consumption data.</w:t>
      </w:r>
    </w:p>
    <w:p>
      <w:pPr>
        <w:numPr>
          <w:ilvl w:val="0"/>
          <w:numId w:val="1010"/>
        </w:numPr>
        <w:pStyle w:val="Compact"/>
      </w:pPr>
      <w:r>
        <w:rPr>
          <w:bCs/>
          <w:b/>
        </w:rPr>
        <w:t xml:space="preserve">Scope 2 (Purchased Energy Emissions):</w:t>
      </w:r>
      <w:r>
        <w:t xml:space="preserve"> </w:t>
      </w:r>
      <w:r>
        <w:t xml:space="preserve">Indirect emissions from the generation of purchased electricity consumed by ekjgzdmqpj\'s manufacturing operations. This is calculated based on energy intensity and the grid mix, adjusted for renewable energy usage.</w:t>
      </w:r>
    </w:p>
    <w:p>
      <w:pPr>
        <w:numPr>
          <w:ilvl w:val="0"/>
          <w:numId w:val="1010"/>
        </w:numPr>
        <w:pStyle w:val="Compact"/>
      </w:pPr>
      <w:r>
        <w:rPr>
          <w:bCs/>
          <w:b/>
        </w:rPr>
        <w:t xml:space="preserve">Scope 3 (Value Chain Emissions):</w:t>
      </w:r>
      <w:r>
        <w:t xml:space="preserve"> </w:t>
      </w:r>
      <w:r>
        <w:t xml:space="preserve">All other indirect emissions in a company\'s value chain. This report comprehensively covers:</w:t>
      </w:r>
    </w:p>
    <w:p>
      <w:pPr>
        <w:numPr>
          <w:ilvl w:val="1"/>
          <w:numId w:val="1011"/>
        </w:numPr>
        <w:pStyle w:val="Compact"/>
      </w:pPr>
      <w:r>
        <w:rPr>
          <w:bCs/>
          <w:b/>
        </w:rPr>
        <w:t xml:space="preserve">Upstream Scope 3:</w:t>
      </w:r>
      <w:r>
        <w:t xml:space="preserve"> </w:t>
      </w:r>
      <w:r>
        <w:t xml:space="preserve">Material acquisition (BOM), inbound transport of materials.</w:t>
      </w:r>
    </w:p>
    <w:p>
      <w:pPr>
        <w:numPr>
          <w:ilvl w:val="1"/>
          <w:numId w:val="1011"/>
        </w:numPr>
        <w:pStyle w:val="Compact"/>
      </w:pPr>
      <w:r>
        <w:rPr>
          <w:bCs/>
          <w:b/>
        </w:rPr>
        <w:t xml:space="preserve">Downstream Scope 3:</w:t>
      </w:r>
      <w:r>
        <w:t xml:space="preserve"> </w:t>
      </w:r>
      <w:r>
        <w:t xml:space="preserve">Outbound transport (including last-mile), use phase energy consumption, and end-of-life treatment.</w:t>
      </w:r>
    </w:p>
    <w:bookmarkEnd w:id="35"/>
    <w:bookmarkStart w:id="36" w:name="X504f4a86e01fdcfa46a4589bb1b5e0cfaad8629"/>
    <w:p>
      <w:pPr>
        <w:pStyle w:val="Heading3"/>
      </w:pPr>
      <w:r>
        <w:t xml:space="preserve">3.2. 2026 Land Sector and Removals (LSR) Standard Update</w:t>
      </w:r>
    </w:p>
    <w:p>
      <w:pPr>
        <w:pStyle w:val="FirstParagraph"/>
      </w:pPr>
      <w:r>
        <w:t xml:space="preserve">The 2026 LSR Standard provides guidance on accounting for GHG emissions and removals from land use and land-use change activities. While the direct manufacturing of \'ynqviiuezr\' might not have significant land-use impacts, its relevance extends to the upstream supply chain. If raw materials detailed in</w:t>
      </w:r>
      <w:r>
        <w:t xml:space="preserve"> </w:t>
      </w:r>
      <w:r>
        <w:rPr>
          <w:rStyle w:val="VerbatimChar"/>
        </w:rPr>
        <w:t xml:space="preserve">gqpgyevk</w:t>
      </w:r>
      <w:r>
        <w:t xml:space="preserve"> </w:t>
      </w:r>
      <w:r>
        <w:t xml:space="preserve">originate from land-intensive sectors (e.g., bio-based materials, wood products, or materials whose extraction involves significant land transformation), the LSR Standard would apply to those upstream emissions or removals. For this report, without detailed data on raw material origins and associated land-use changes, quantifiable impacts under LSR are noted as an area for future detailed investigation and primary data collection.</w:t>
      </w:r>
    </w:p>
    <w:bookmarkEnd w:id="36"/>
    <w:bookmarkStart w:id="37" w:name="scope-3-compliance-95-coverage"/>
    <w:p>
      <w:pPr>
        <w:pStyle w:val="Heading3"/>
      </w:pPr>
      <w:r>
        <w:t xml:space="preserve">3.3. Scope 3 Compliance (95% Coverage)</w:t>
      </w:r>
    </w:p>
    <w:p>
      <w:pPr>
        <w:pStyle w:val="FirstParagraph"/>
      </w:pPr>
      <w:r>
        <w:t xml:space="preserve">This analysis aims for at least 95% coverage for Scope 3 reporting, as per the 2026 requirements. By incorporating detailed BOM data, comprehensive transport logistics, product use phase energy, and end-of-life scenarios, the major contributors to the product\'s value chain emissions are addressed. While some minor categories might not be explicitly quantified due to data limitations (e.g., business travel for product development, waste from operations beyond the facility gate), the primary upstream and downstream elements are covered to ensure substantial compliance.</w:t>
      </w:r>
    </w:p>
    <w:p>
      <w:r>
        <w:pict>
          <v:rect style="width:0;height:1.5pt" o:hralign="center" o:hrstd="t" o:hr="t"/>
        </w:pict>
      </w:r>
    </w:p>
    <w:bookmarkEnd w:id="37"/>
    <w:bookmarkEnd w:id="38"/>
    <w:bookmarkStart w:id="40" w:name="summary-of-product-carbon-footprint"/>
    <w:p>
      <w:pPr>
        <w:pStyle w:val="Heading2"/>
      </w:pPr>
      <w:r>
        <w:t xml:space="preserve">4. Summary of Product Carbon Footprint</w:t>
      </w:r>
    </w:p>
    <w:p>
      <w:pPr>
        <w:pStyle w:val="FirstParagraph"/>
      </w:pPr>
      <w:r>
        <w:t xml:space="preserve">The total Product Carbon Footprint for one functional unit of ynqviiuezr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w:t>
            </w:r>
          </w:p>
        </w:tc>
        <w:tc>
          <w:tcPr/>
          <w:p>
            <w:pPr>
              <w:pStyle w:val="Compact"/>
              <w:jc w:val="left"/>
            </w:pPr>
            <w:r>
              <w:t xml:space="preserve">Percentage of Total</w:t>
            </w:r>
          </w:p>
        </w:tc>
      </w:tr>
      <w:tr>
        <w:tc>
          <w:tcPr/>
          <w:p>
            <w:pPr>
              <w:pStyle w:val="Compact"/>
              <w:jc w:val="left"/>
            </w:pPr>
            <w:r>
              <w:t xml:space="preserve">Material Acquisition</w:t>
            </w:r>
          </w:p>
        </w:tc>
        <w:tc>
          <w:tcPr/>
          <w:p>
            <w:pPr>
              <w:pStyle w:val="Compact"/>
              <w:jc w:val="left"/>
            </w:pPr>
            <w:r>
              <w:t xml:space="preserve">Scope 3 (Upstream)</w:t>
            </w:r>
          </w:p>
        </w:tc>
        <w:tc>
          <w:tcPr/>
          <w:p>
            <w:pPr>
              <w:pStyle w:val="Compact"/>
              <w:jc w:val="left"/>
            </w:pPr>
            <w:r>
              <w:t xml:space="preserve">8.59</w:t>
            </w:r>
          </w:p>
        </w:tc>
        <w:tc>
          <w:tcPr/>
          <w:p>
            <w:pPr>
              <w:pStyle w:val="Compact"/>
              <w:jc w:val="left"/>
            </w:pPr>
            <w:r>
              <w:t xml:space="preserve">9.42%</w:t>
            </w:r>
          </w:p>
        </w:tc>
      </w:tr>
      <w:tr>
        <w:tc>
          <w:tcPr/>
          <w:p>
            <w:pPr>
              <w:pStyle w:val="Compact"/>
              <w:jc w:val="left"/>
            </w:pPr>
            <w:r>
              <w:t xml:space="preserve">Manufacturing (Energy)</w:t>
            </w:r>
          </w:p>
        </w:tc>
        <w:tc>
          <w:tcPr/>
          <w:p>
            <w:pPr>
              <w:pStyle w:val="Compact"/>
              <w:jc w:val="left"/>
            </w:pPr>
            <w:r>
              <w:t xml:space="preserve">Scope 1 &amp; 2</w:t>
            </w:r>
          </w:p>
        </w:tc>
        <w:tc>
          <w:tcPr/>
          <w:p>
            <w:pPr>
              <w:pStyle w:val="Compact"/>
              <w:jc w:val="left"/>
            </w:pPr>
            <w:r>
              <w:t xml:space="preserve">2.61</w:t>
            </w:r>
          </w:p>
        </w:tc>
        <w:tc>
          <w:tcPr/>
          <w:p>
            <w:pPr>
              <w:pStyle w:val="Compact"/>
              <w:jc w:val="left"/>
            </w:pPr>
            <w:r>
              <w:t xml:space="preserve">2.86%</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0.30</w:t>
            </w:r>
          </w:p>
        </w:tc>
        <w:tc>
          <w:tcPr/>
          <w:p>
            <w:pPr>
              <w:pStyle w:val="Compact"/>
              <w:jc w:val="left"/>
            </w:pPr>
            <w:r>
              <w:t xml:space="preserve">0.33%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80.00</w:t>
            </w:r>
          </w:p>
        </w:tc>
        <w:tc>
          <w:tcPr/>
          <w:p>
            <w:pPr>
              <w:pStyle w:val="Compact"/>
              <w:jc w:val="left"/>
            </w:pPr>
            <w:r>
              <w:t xml:space="preserve">87.73%</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-0.31</w:t>
            </w:r>
          </w:p>
        </w:tc>
        <w:tc>
          <w:tcPr/>
          <w:p>
            <w:pPr>
              <w:pStyle w:val="Compact"/>
              <w:jc w:val="left"/>
            </w:pPr>
            <w:r>
              <w:t xml:space="preserve">-0.34%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91.19 kg CO2e</w:t>
            </w:r>
          </w:p>
        </w:tc>
        <w:tc>
          <w:tcPr/>
          <w:p>
            <w:pPr>
              <w:pStyle w:val="Compact"/>
              <w:jc w:val="left"/>
            </w:pPr>
            <w:r>
              <w:rPr>
                <w:bCs/>
                <w:b/>
              </w:rPr>
              <w:t xml:space="preserve">100.00%</w:t>
            </w:r>
          </w:p>
        </w:tc>
      </w:tr>
    </w:tbl>
    <w:bookmarkStart w:id="39" w:name="emission-hotspots-and-reliability"/>
    <w:p>
      <w:pPr>
        <w:pStyle w:val="Heading3"/>
      </w:pPr>
      <w:r>
        <w:t xml:space="preserve">4.1. Emission Hotspots and Reliability</w:t>
      </w:r>
    </w:p>
    <w:p>
      <w:pPr>
        <w:pStyle w:val="FirstParagraph"/>
      </w:pPr>
      <w:r>
        <w:t xml:space="preserve">The primary emission hotspot identified is the</w:t>
      </w:r>
      <w:r>
        <w:t xml:space="preserve"> </w:t>
      </w:r>
      <w:r>
        <w:rPr>
          <w:bCs/>
          <w:b/>
        </w:rPr>
        <w:t xml:space="preserve">Use Phase</w:t>
      </w:r>
      <w:r>
        <w:t xml:space="preserve">, accounting for approximately 87.73% of the total carbon footprint. This is largely driven by the product\'s assumed energy consumption over its lifespan and the electricity grid mix. Material acquisition is the second most significant contributor at 9.42%.</w:t>
      </w:r>
    </w:p>
    <w:p>
      <w:pPr>
        <w:pStyle w:val="BodyText"/>
      </w:pPr>
      <w:r>
        <w:t xml:space="preserve">The reliability of this PCF is considered moderate. High reliability is attributed to the material impacts where specific BOM data was provided. However, reliance on generic industry average emission factors for certain transportation modes, last-mile delivery, and generalized end-of-life scenarios, along with assumptions for parameter interpretation, introduces some uncertainty. Future improvements would involve collecting more primary data for specific transport routes, energy sources in the use phase, and detailed material-specific end-of-life treatment pathways.</w:t>
      </w:r>
    </w:p>
    <w:p>
      <w:r>
        <w:pict>
          <v:rect style="width:0;height:1.5pt" o:hralign="center" o:hrstd="t" o:hr="t"/>
        </w:pict>
      </w:r>
    </w:p>
    <w:bookmarkEnd w:id="39"/>
    <w:bookmarkEnd w:id="40"/>
    <w:bookmarkStart w:id="41" w:name="recommendations-for-decarbonization"/>
    <w:p>
      <w:pPr>
        <w:pStyle w:val="Heading2"/>
      </w:pPr>
      <w:r>
        <w:t xml:space="preserve">5. Recommendations for Decarbonization</w:t>
      </w:r>
    </w:p>
    <w:p>
      <w:pPr>
        <w:numPr>
          <w:ilvl w:val="0"/>
          <w:numId w:val="1012"/>
        </w:numPr>
        <w:pStyle w:val="Compact"/>
      </w:pPr>
      <w:r>
        <w:rPr>
          <w:bCs/>
          <w:b/>
        </w:rPr>
        <w:t xml:space="preserve">Optimize Use Phase Efficiency:</w:t>
      </w:r>
      <w:r>
        <w:t xml:space="preserve"> </w:t>
      </w:r>
      <w:r>
        <w:t xml:space="preserve">Given that the use phase is the dominant hotspot (87.73%), ekjgzdmqpj should prioritize product design innovations to drastically reduce energy consumption during operation (e.g., improve energy efficiency, integrate low-power modes, extend energy-saving features).</w:t>
      </w:r>
    </w:p>
    <w:p>
      <w:pPr>
        <w:numPr>
          <w:ilvl w:val="0"/>
          <w:numId w:val="1012"/>
        </w:numPr>
        <w:pStyle w:val="Compact"/>
      </w:pPr>
      <w:r>
        <w:rPr>
          <w:bCs/>
          <w:b/>
        </w:rPr>
        <w:t xml:space="preserve">Promote Renewable Energy Adoption:</w:t>
      </w:r>
      <w:r>
        <w:t xml:space="preserve"> </w:t>
      </w:r>
      <w:r>
        <w:t xml:space="preserve">Encourage end-users to power ynqviiuezr with renewable energy sources, perhaps through partnerships or information campaigns.</w:t>
      </w:r>
    </w:p>
    <w:p>
      <w:pPr>
        <w:numPr>
          <w:ilvl w:val="0"/>
          <w:numId w:val="1012"/>
        </w:numPr>
        <w:pStyle w:val="Compact"/>
      </w:pPr>
      <w:r>
        <w:rPr>
          <w:bCs/>
          <w:b/>
        </w:rPr>
        <w:t xml:space="preserve">Material Optimization:</w:t>
      </w:r>
      <w:r>
        <w:t xml:space="preserve"> </w:t>
      </w:r>
      <w:r>
        <w:t xml:space="preserve">Explore alternative materials with lower inherent carbon footprints or increase the use of recycled content beyond the current 60% recyclability target, particularly for high-impact components.</w:t>
      </w:r>
    </w:p>
    <w:p>
      <w:pPr>
        <w:numPr>
          <w:ilvl w:val="0"/>
          <w:numId w:val="1012"/>
        </w:numPr>
        <w:pStyle w:val="Compact"/>
      </w:pPr>
      <w:r>
        <w:rPr>
          <w:bCs/>
          <w:b/>
        </w:rPr>
        <w:t xml:space="preserve">Supply Chain Engagement:</w:t>
      </w:r>
      <w:r>
        <w:t xml:space="preserve"> </w:t>
      </w:r>
      <w:r>
        <w:t xml:space="preserve">Collaborate with European and Chinese suppliers to reduce upstream transport emissions and encourage renewable energy adoption in their manufacturing processes.</w:t>
      </w:r>
    </w:p>
    <w:p>
      <w:pPr>
        <w:numPr>
          <w:ilvl w:val="0"/>
          <w:numId w:val="1012"/>
        </w:numPr>
        <w:pStyle w:val="Compact"/>
      </w:pPr>
      <w:r>
        <w:rPr>
          <w:bCs/>
          <w:b/>
        </w:rPr>
        <w:t xml:space="preserve">Strengthen Circular Economy:</w:t>
      </w:r>
      <w:r>
        <w:t xml:space="preserve"> </w:t>
      </w:r>
      <w:r>
        <w:t xml:space="preserve">Expand the "Product Return Program Active" to maximize material recovery and ensure high-quality recycling, potentially exploring innovative end-of-life solutions to increase material circularity and optimize credits.</w:t>
      </w:r>
    </w:p>
    <w:p>
      <w:r>
        <w:pict>
          <v:rect style="width:0;height:1.5pt" o:hralign="center" o:hrstd="t" o:hr="t"/>
        </w:pict>
      </w:r>
    </w:p>
    <w:bookmarkEnd w:id="41"/>
    <w:bookmarkStart w:id="42" w:name="conclusion"/>
    <w:p>
      <w:pPr>
        <w:pStyle w:val="Heading2"/>
      </w:pPr>
      <w:r>
        <w:t xml:space="preserve">6. Conclusion</w:t>
      </w:r>
    </w:p>
    <w:p>
      <w:pPr>
        <w:pStyle w:val="FirstParagraph"/>
      </w:pPr>
      <w:r>
        <w:t xml:space="preserve">This Product Carbon Footprint analysis provides</w:t>
      </w:r>
      <w:r>
        <w:t xml:space="preserve"> </w:t>
      </w:r>
      <w:r>
        <w:rPr>
          <w:bCs/>
          <w:b/>
        </w:rPr>
        <w:t xml:space="preserve">ekjgzdmqpj</w:t>
      </w:r>
      <w:r>
        <w:t xml:space="preserve"> </w:t>
      </w:r>
      <w:r>
        <w:t xml:space="preserve">with a critical understanding of the environmental impacts of</w:t>
      </w:r>
      <w:r>
        <w:t xml:space="preserve"> </w:t>
      </w:r>
      <w:r>
        <w:rPr>
          <w:bCs/>
          <w:b/>
        </w:rPr>
        <w:t xml:space="preserve">ynqviiuezr</w:t>
      </w:r>
      <w:r>
        <w:t xml:space="preserve"> </w:t>
      </w:r>
      <w:r>
        <w:t xml:space="preserve">across its entire lifecycle. By adhering to the GHG Protocol and considering the latest LSR Standard, this report serves as a baseline for measuring progress towards sustainability goals. The identified hotspots offer clear targets for strategic interventions to reduce the product\'s overall carbon footprint, reinforcing ekjgzdmqpj\'s commitment to environmental stewardship and enabling informed decisions for a more sustainable future.</w:t>
      </w:r>
    </w:p>
    <w:p>
      <w:pPr>
        <w:pStyle w:val="BodyText"/>
      </w:pPr>
      <w:r>
        <w:t xml:space="preserve">Confidential - Internal Use Only | Page</w:t>
      </w:r>
      <w:r>
        <w:t xml:space="preserve"> </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ynqviiuezr</dc:title>
  <dc:creator/>
  <dc:description>Detailed Product Carbon Footprint (PCF) analysis report for ynqviiuezr, adhering to GHG Protocol and 2026 LSR Standard updates, prepared by uqkmmqufrz, Senior Sustainability Consultant for ekjgzdmqpj.</dc:description>
  <cp:keywords/>
  <dcterms:created xsi:type="dcterms:W3CDTF">2026-05-30T18:58:53Z</dcterms:created>
  <dcterms:modified xsi:type="dcterms:W3CDTF">2026-05-30T18:58:53Z</dcterms:modified>
</cp:coreProperties>
</file>

<file path=docProps/custom.xml><?xml version="1.0" encoding="utf-8"?>
<Properties xmlns="http://schemas.openxmlformats.org/officeDocument/2006/custom-properties" xmlns:vt="http://schemas.openxmlformats.org/officeDocument/2006/docPropsVTypes"/>
</file>