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yndqisjkxs</w:t>
      </w:r>
      <w:r>
        <w:t xml:space="preserve"> </w:t>
      </w:r>
      <w:r>
        <w:t xml:space="preserve">-</w:t>
      </w:r>
      <w:r>
        <w:t xml:space="preserve"> </w:t>
      </w:r>
      <w:r>
        <w:t xml:space="preserve">gnnfkzqttq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yndqisjkxs</w:t>
      </w:r>
    </w:p>
    <w:p>
      <w:pPr>
        <w:pStyle w:val="BodyText"/>
      </w:pPr>
      <w:r>
        <w:rPr>
          <w:bCs/>
          <w:b/>
        </w:rPr>
        <w:t xml:space="preserve">Name of the Company:</w:t>
      </w:r>
      <w:r>
        <w:t xml:space="preserve"> </w:t>
      </w:r>
      <w:r>
        <w:t xml:space="preserve">gnnfkzqttq</w:t>
      </w:r>
    </w:p>
    <w:p>
      <w:pPr>
        <w:pStyle w:val="BodyText"/>
      </w:pPr>
      <w:r>
        <w:rPr>
          <w:bCs/>
          <w:b/>
        </w:rPr>
        <w:t xml:space="preserve">Senior Sustainability Consultant:</w:t>
      </w:r>
      <w:r>
        <w:t xml:space="preserve"> </w:t>
      </w:r>
      <w:r>
        <w:t xml:space="preserve">rnujeyowky</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indicative and subject to the quality and completeness of the input data and assumed emission factors.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yndqisjkxs</w:t>
      </w:r>
    </w:p>
    <w:p>
      <w:pPr>
        <w:pStyle w:val="BodyText"/>
      </w:pPr>
      <w:r>
        <w:rPr>
          <w:bCs/>
          <w:b/>
        </w:rPr>
        <w:t xml:space="preserve">Generated Date:</w:t>
      </w:r>
      <w:r>
        <w:t xml:space="preserve"> </w:t>
      </w:r>
      <w:r>
        <w:t xml:space="preserve">June 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yndqisjkxs, manufactured by gnnfkzqttq. The analysis follows the Greenhouse Gas (GHG) Protocol Product Life Cycle Accounting and Reporting Standard, incorporating the latest 2026 Land Sector and Removals (LSR) update for comprehensive carbon accounting. As rnujeyowky, Senior Sustainability Consultant, this assessment aims to identify key emission hotspots across the product\'s lifecycle from raw material acquisition to end-of-life, providing gnnfkzqttq with actionable insights for emission reduction strategies. The report ensures at least 95% coverage for Scope 3 emissions, aligning with 2026 requirements, to provide a holistic view of the product\'s environmental impact. A cradle-to-gate system boundary is applied, with specific considerations for the use and end-of-life phases, and a focus on a Europe-centric supply chain with final production in China.</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This Product Carbon Footprint (PCF) analysis has been prepared for gnnfkzqttq by rnujeyowky, Senior Sustainability Consultant. The product under assessment is yndqisjkxs. The primary objective is to quantify the total greenhouse gas (GHG) emissions associated with the product\'s entire lifecycle, adhering to the internationally recognized GHG Protocol Product Life Cycle Accounting and Reporting Standard. This includes categorizing emissions into Scope 1 (direct emissions), Scope 2 (purchased energy emissions), and Scope 3 (all other indirect emissions across the value chain). Special attention has been given to the integration of the 2026 Land Sector and Removals (LSR) Standard, which provides requirements for accounting for land emissions and CO2 removals.</w:t>
      </w:r>
    </w:p>
    <w:p>
      <w:pPr>
        <w:pStyle w:val="BodyText"/>
      </w:pPr>
      <w:r>
        <w:t xml:space="preserve">The analysis aims to provide gnnfkzqttq with a transparent and robust understanding of its product\'s climate impact, highlighting areas for potential emission reductions and supporting informed decision-making in product design, sourcing, and end-of-life management.</w:t>
      </w:r>
    </w:p>
    <w:p>
      <w:r>
        <w:pict>
          <v:rect style="width:0;height:1.5pt" o:hralign="center" o:hrstd="t" o:hr="t"/>
        </w:pict>
      </w:r>
    </w:p>
    <w:bookmarkEnd w:id="23"/>
    <w:bookmarkStart w:id="27" w:name="methodology"/>
    <w:p>
      <w:pPr>
        <w:pStyle w:val="Heading2"/>
      </w:pPr>
      <w:r>
        <w:t xml:space="preserve">2. Methodology</w:t>
      </w:r>
    </w:p>
    <w:p>
      <w:pPr>
        <w:pStyle w:val="FirstParagraph"/>
      </w:pPr>
      <w:r>
        <w:t xml:space="preserve">The PCF analysis for yndqisjkxs follows a five-step methodology in accordance with the GHG Protocol Product Standard:</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 1.0 unit of yndqisjkxs, serving as the reference for all quantified environmental impacts.</w:t>
      </w:r>
    </w:p>
    <w:p>
      <w:pPr>
        <w:numPr>
          <w:ilvl w:val="0"/>
          <w:numId w:val="1001"/>
        </w:numPr>
        <w:pStyle w:val="Compact"/>
      </w:pPr>
      <w:r>
        <w:rPr>
          <w:bCs/>
          <w:b/>
        </w:rPr>
        <w:t xml:space="preserve">System Boundary:</w:t>
      </w:r>
      <w:r>
        <w:t xml:space="preserve"> </w:t>
      </w:r>
      <w:r>
        <w:t xml:space="preserve">The system boundary is set as \'factory_gate\', meaning all emissions from raw material acquisition up to the point the finished product leaves the factory gate are included. However, in line with comprehensive PCF analysis and user requirements, downstream emissions from the use phase and end-of-life are also calculated and included within the broader Scope 3 reporting.</w:t>
      </w:r>
    </w:p>
    <w:p>
      <w:pPr>
        <w:numPr>
          <w:ilvl w:val="0"/>
          <w:numId w:val="1001"/>
        </w:numPr>
        <w:pStyle w:val="Compact"/>
      </w:pPr>
      <w:r>
        <w:rPr>
          <w:bCs/>
          <w:b/>
        </w:rPr>
        <w:t xml:space="preserve">Geographic Scope:</w:t>
      </w:r>
      <w:r>
        <w:t xml:space="preserve"> </w:t>
      </w:r>
      <w:r>
        <w:t xml:space="preserve">The final production country is China, with a supply chain focus primarily on Europe. This implies that region-specific emission factors for electricity grids and transportation modes in both Europe and China are considered where available and relevant.</w:t>
      </w:r>
    </w:p>
    <w:p>
      <w:pPr>
        <w:numPr>
          <w:ilvl w:val="0"/>
          <w:numId w:val="1001"/>
        </w:numPr>
        <w:pStyle w:val="Compact"/>
      </w:pPr>
      <w:r>
        <w:rPr>
          <w:bCs/>
          <w:b/>
        </w:rPr>
        <w:t xml:space="preserve">Allocation:</w:t>
      </w:r>
      <w:r>
        <w:t xml:space="preserve"> </w:t>
      </w:r>
      <w:r>
        <w:t xml:space="preserve">Emissions from shared processes or co-products are allocated based on established GHG Protocol guidelines, typically using physical or economic allocation methods to ensure fair distribution of environmental burdens.</w:t>
      </w:r>
    </w:p>
    <w:bookmarkEnd w:id="24"/>
    <w:bookmarkStart w:id="25" w:name="Xf6590ae06e9eff1c8ceb678e24ded0b628f7713"/>
    <w:p>
      <w:pPr>
        <w:pStyle w:val="Heading3"/>
      </w:pPr>
      <w:r>
        <w:t xml:space="preserve">2.2. Map Lifecycle (Life Cycle Inventory Stages)</w:t>
      </w:r>
    </w:p>
    <w:p>
      <w:pPr>
        <w:pStyle w:val="FirstParagraph"/>
      </w:pPr>
      <w:r>
        <w:t xml:space="preserve">The lifecycle of yndqisjkxs is mapped to identify all relevant processes and stages contributing to its carbon footprint. These stages include:</w:t>
      </w:r>
    </w:p>
    <w:p>
      <w:pPr>
        <w:numPr>
          <w:ilvl w:val="0"/>
          <w:numId w:val="1002"/>
        </w:numPr>
        <w:pStyle w:val="Compact"/>
      </w:pPr>
      <w:r>
        <w:rPr>
          <w:bCs/>
          <w:b/>
        </w:rPr>
        <w:t xml:space="preserve">Raw Material Acquisition &amp; Pre-processing:</w:t>
      </w:r>
      <w:r>
        <w:t xml:space="preserve"> </w:t>
      </w:r>
      <w:r>
        <w:t xml:space="preserve">Extraction, processing, and manufacturing of all components listed in the Detailed Bill of Materials (BOM: pxqxhiiw).</w:t>
      </w:r>
    </w:p>
    <w:p>
      <w:pPr>
        <w:numPr>
          <w:ilvl w:val="0"/>
          <w:numId w:val="1002"/>
        </w:numPr>
        <w:pStyle w:val="Compact"/>
      </w:pPr>
      <w:r>
        <w:rPr>
          <w:bCs/>
          <w:b/>
        </w:rPr>
        <w:t xml:space="preserve">Manufacturing/Production:</w:t>
      </w:r>
      <w:r>
        <w:t xml:space="preserve"> </w:t>
      </w:r>
      <w:r>
        <w:t xml:space="preserve">Energy consumption, waste generation, and any direct emissions at the gnnfkzqttq production facility in China.</w:t>
      </w:r>
    </w:p>
    <w:p>
      <w:pPr>
        <w:numPr>
          <w:ilvl w:val="0"/>
          <w:numId w:val="1002"/>
        </w:numPr>
        <w:pStyle w:val="Compact"/>
      </w:pPr>
      <w:r>
        <w:rPr>
          <w:bCs/>
          <w:b/>
        </w:rPr>
        <w:t xml:space="preserve">Transportation &amp; Distribution:</w:t>
      </w:r>
      <w:r>
        <w:t xml:space="preserve"> </w:t>
      </w:r>
      <w:r>
        <w:t xml:space="preserve">All transport activities from suppliers (Europe-focused) to the factory in China, and subsequently to the market for last-mile delivery.</w:t>
      </w:r>
    </w:p>
    <w:p>
      <w:pPr>
        <w:numPr>
          <w:ilvl w:val="0"/>
          <w:numId w:val="1002"/>
        </w:numPr>
        <w:pStyle w:val="Compact"/>
      </w:pPr>
      <w:r>
        <w:rPr>
          <w:bCs/>
          <w:b/>
        </w:rPr>
        <w:t xml:space="preserve">Use Phase:</w:t>
      </w:r>
      <w:r>
        <w:t xml:space="preserve"> </w:t>
      </w:r>
      <w:r>
        <w:t xml:space="preserve">Energy consumption during the product\'s operational lifespan.</w:t>
      </w:r>
    </w:p>
    <w:p>
      <w:pPr>
        <w:numPr>
          <w:ilvl w:val="0"/>
          <w:numId w:val="1002"/>
        </w:numPr>
        <w:pStyle w:val="Compact"/>
      </w:pPr>
      <w:r>
        <w:rPr>
          <w:bCs/>
          <w:b/>
        </w:rPr>
        <w:t xml:space="preserve">End-of-Life (EoL):</w:t>
      </w:r>
      <w:r>
        <w:t xml:space="preserve"> </w:t>
      </w:r>
      <w:r>
        <w:t xml:space="preserve">Disposal, recycling, and recovery processes for the product at the end of its life.</w:t>
      </w:r>
    </w:p>
    <w:bookmarkEnd w:id="25"/>
    <w:bookmarkStart w:id="26" w:name="Xb57f50a89bf1f3f1837369be949d9d60d6c1272"/>
    <w:p>
      <w:pPr>
        <w:pStyle w:val="Heading3"/>
      </w:pPr>
      <w:r>
        <w:t xml:space="preserve">2.3. Collect Data (Primary/Secondary Data Points)</w:t>
      </w:r>
    </w:p>
    <w:p>
      <w:pPr>
        <w:pStyle w:val="FirstParagraph"/>
      </w:pPr>
      <w:r>
        <w:t xml:space="preserve">Data collection involves gathering both primary (company-specific) and secondary (generic, industry-average) data to ensure a robust analysis.</w:t>
      </w:r>
    </w:p>
    <w:p>
      <w:pPr>
        <w:numPr>
          <w:ilvl w:val="0"/>
          <w:numId w:val="1003"/>
        </w:numPr>
        <w:pStyle w:val="Compact"/>
      </w:pPr>
      <w:r>
        <w:rPr>
          <w:bCs/>
          <w:b/>
        </w:rPr>
        <w:t xml:space="preserve">Primary Data:</w:t>
      </w:r>
    </w:p>
    <w:p>
      <w:pPr>
        <w:numPr>
          <w:ilvl w:val="1"/>
          <w:numId w:val="1004"/>
        </w:numPr>
        <w:pStyle w:val="Compact"/>
      </w:pPr>
      <w:r>
        <w:rPr>
          <w:bCs/>
          <w:b/>
        </w:rPr>
        <w:t xml:space="preserve">Detailed Bill of Materials (BOM):</w:t>
      </w:r>
      <w:r>
        <w:t xml:space="preserve"> </w:t>
      </w:r>
      <w:r>
        <w:t xml:space="preserve">The provided BOM (pxqxhiiw) is utilized for high-accuracy material impact calculation. This includes specific data for each item: ID, Description, Category, Process, Quantity, Unit, Emission Factor, and Total Carbon.</w:t>
      </w:r>
    </w:p>
    <w:p>
      <w:pPr>
        <w:numPr>
          <w:ilvl w:val="1"/>
          <w:numId w:val="1004"/>
        </w:numPr>
        <w:pStyle w:val="Compact"/>
      </w:pPr>
      <w:r>
        <w:rPr>
          <w:bCs/>
          <w:b/>
        </w:rPr>
        <w:t xml:space="preserve">Energy Consumption:</w:t>
      </w:r>
      <w:r>
        <w:t xml:space="preserve"> </w:t>
      </w:r>
      <w:r>
        <w:t xml:space="preserve">Energy Intensity (fdgjqgzttg kWh/unit) and Renewable Energy Usage (mzjeexekti) for the production phase.</w:t>
      </w:r>
    </w:p>
    <w:p>
      <w:pPr>
        <w:numPr>
          <w:ilvl w:val="1"/>
          <w:numId w:val="1004"/>
        </w:numPr>
        <w:pStyle w:val="Compact"/>
      </w:pPr>
      <w:r>
        <w:rPr>
          <w:bCs/>
          <w:b/>
        </w:rPr>
        <w:t xml:space="preserve">Logistics:</w:t>
      </w:r>
      <w:r>
        <w:t xml:space="preserve"> </w:t>
      </w:r>
      <w:r>
        <w:t xml:space="preserve">Specific Transport Mode (Select Mode), Transport Distance (xljigwuxyv), and Last-Mile Delivery Channel (Delivery Type).</w:t>
      </w:r>
    </w:p>
    <w:p>
      <w:pPr>
        <w:numPr>
          <w:ilvl w:val="1"/>
          <w:numId w:val="1004"/>
        </w:numPr>
        <w:pStyle w:val="Compact"/>
      </w:pPr>
      <w:r>
        <w:rPr>
          <w:bCs/>
          <w:b/>
        </w:rPr>
        <w:t xml:space="preserve">Use Phase:</w:t>
      </w:r>
      <w:r>
        <w:t xml:space="preserve"> </w:t>
      </w:r>
      <w:r>
        <w:t xml:space="preserve">Product Lifespan (unfzooxprn) and Energy Consumption in Use (dguykzyxvu).</w:t>
      </w:r>
    </w:p>
    <w:p>
      <w:pPr>
        <w:numPr>
          <w:ilvl w:val="1"/>
          <w:numId w:val="1004"/>
        </w:numPr>
        <w:pStyle w:val="Compact"/>
      </w:pPr>
      <w:r>
        <w:rPr>
          <w:bCs/>
          <w:b/>
        </w:rPr>
        <w:t xml:space="preserve">End-of-Life:</w:t>
      </w:r>
      <w:r>
        <w:t xml:space="preserve"> </w:t>
      </w:r>
      <w:r>
        <w:t xml:space="preserve">Recyclability Percentage (wmrqfptldj) and existence of Circular/Take-back Programs (vkeihemydt).</w:t>
      </w:r>
    </w:p>
    <w:p>
      <w:pPr>
        <w:numPr>
          <w:ilvl w:val="0"/>
          <w:numId w:val="1003"/>
        </w:numPr>
        <w:pStyle w:val="Compact"/>
      </w:pPr>
      <w:r>
        <w:rPr>
          <w:bCs/>
          <w:b/>
        </w:rPr>
        <w:t xml:space="preserve">Secondary Data:</w:t>
      </w:r>
      <w:r>
        <w:t xml:space="preserve"> </w:t>
      </w:r>
      <w:r>
        <w:t xml:space="preserve">Where primary data is unavailable or for generic processes, industry-standard emission factors are applied. These are sourced from reputable databases such as Ecoinvent and DEFRA (UK Department for Environment, Food &amp; Rural Affairs), which provide conversion factors for various materials, energy sources, and transportation modes.</w:t>
      </w:r>
    </w:p>
    <w:p>
      <w:r>
        <w:pict>
          <v:rect style="width:0;height:1.5pt" o:hralign="center" o:hrstd="t" o:hr="t"/>
        </w:pict>
      </w:r>
    </w:p>
    <w:bookmarkEnd w:id="26"/>
    <w:bookmarkEnd w:id="27"/>
    <w:bookmarkStart w:id="34" w:name="X725f2e8daf7cd4cf3d0245b22492812e89b669c"/>
    <w:p>
      <w:pPr>
        <w:pStyle w:val="Heading2"/>
      </w:pPr>
      <w:r>
        <w:t xml:space="preserve">3. Product Carbon Footprint Analysis and Calculation</w:t>
      </w:r>
    </w:p>
    <w:p>
      <w:pPr>
        <w:pStyle w:val="FirstParagraph"/>
      </w:pPr>
      <w:r>
        <w:t xml:space="preserve">Emissions are calculated using the formula: Activity Data × Emission Factor = CO2e. The results are categorized according to the GHG Protocol Scopes.</w:t>
      </w:r>
    </w:p>
    <w:bookmarkStart w:id="28" w:name="X96a6ac282bf4eff7da2412f150d1a8b7acd06c8"/>
    <w:p>
      <w:pPr>
        <w:pStyle w:val="Heading3"/>
      </w:pPr>
      <w:r>
        <w:t xml:space="preserve">3.1. Detailed Bill of Materials (BOM) &amp; Material Impact (Scope 3 - Upstream)</w:t>
      </w:r>
    </w:p>
    <w:p>
      <w:pPr>
        <w:pStyle w:val="FirstParagraph"/>
      </w:pPr>
      <w:r>
        <w:t xml:space="preserve">The following table details the Bill of Materials for yndqisjkxs, including the quantity, unit, and the pre-calculated total carbon for each component as provided (pxqxhiiw). This forms a significant portion of the upstream Scope 3 emissions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10.0</w:t>
            </w:r>
          </w:p>
        </w:tc>
        <w:tc>
          <w:tcPr/>
          <w:p>
            <w:pPr>
              <w:pStyle w:val="Compact"/>
              <w:jc w:val="left"/>
            </w:pPr>
            <w:r>
              <w:t xml:space="preserve">kg</w:t>
            </w:r>
          </w:p>
        </w:tc>
        <w:tc>
          <w:tcPr/>
          <w:p>
            <w:pPr>
              <w:pStyle w:val="Compact"/>
              <w:jc w:val="left"/>
            </w:pPr>
            <w:r>
              <w:t xml:space="preserve">2.2</w:t>
            </w:r>
          </w:p>
        </w:tc>
        <w:tc>
          <w:tcPr/>
          <w:p>
            <w:pPr>
              <w:pStyle w:val="Compact"/>
              <w:jc w:val="left"/>
            </w:pPr>
            <w:r>
              <w:t xml:space="preserve">22.00</w:t>
            </w:r>
          </w:p>
        </w:tc>
      </w:tr>
      <w:tr>
        <w:tc>
          <w:tcPr/>
          <w:p>
            <w:pPr>
              <w:pStyle w:val="Compact"/>
              <w:jc w:val="left"/>
            </w:pPr>
            <w:r>
              <w:t xml:space="preserve">2</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3.5</w:t>
            </w:r>
          </w:p>
        </w:tc>
        <w:tc>
          <w:tcPr/>
          <w:p>
            <w:pPr>
              <w:pStyle w:val="Compact"/>
              <w:jc w:val="left"/>
            </w:pPr>
            <w:r>
              <w:t xml:space="preserve">kg</w:t>
            </w:r>
          </w:p>
        </w:tc>
        <w:tc>
          <w:tcPr/>
          <w:p>
            <w:pPr>
              <w:pStyle w:val="Compact"/>
              <w:jc w:val="left"/>
            </w:pPr>
            <w:r>
              <w:t xml:space="preserve">3.1</w:t>
            </w:r>
          </w:p>
        </w:tc>
        <w:tc>
          <w:tcPr/>
          <w:p>
            <w:pPr>
              <w:pStyle w:val="Compact"/>
              <w:jc w:val="left"/>
            </w:pPr>
            <w:r>
              <w:t xml:space="preserve">10.85</w:t>
            </w:r>
          </w:p>
        </w:tc>
      </w:tr>
      <w:tr>
        <w:tc>
          <w:tcPr/>
          <w:p>
            <w:pPr>
              <w:pStyle w:val="Compact"/>
              <w:jc w:val="left"/>
            </w:pPr>
            <w:r>
              <w:t xml:space="preserve">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2.0</w:t>
            </w:r>
          </w:p>
        </w:tc>
        <w:tc>
          <w:tcPr/>
          <w:p>
            <w:pPr>
              <w:pStyle w:val="Compact"/>
              <w:jc w:val="left"/>
            </w:pPr>
            <w:r>
              <w:t xml:space="preserve">unit</w:t>
            </w:r>
          </w:p>
        </w:tc>
        <w:tc>
          <w:tcPr/>
          <w:p>
            <w:pPr>
              <w:pStyle w:val="Compact"/>
              <w:jc w:val="left"/>
            </w:pPr>
            <w:r>
              <w:t xml:space="preserve">4.0</w:t>
            </w:r>
          </w:p>
        </w:tc>
        <w:tc>
          <w:tcPr/>
          <w:p>
            <w:pPr>
              <w:pStyle w:val="Compact"/>
              <w:jc w:val="left"/>
            </w:pPr>
            <w:r>
              <w:t xml:space="preserve">8.00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1.8</w:t>
            </w:r>
          </w:p>
        </w:tc>
        <w:tc>
          <w:tcPr/>
          <w:p>
            <w:pPr>
              <w:pStyle w:val="Compact"/>
              <w:jc w:val="left"/>
            </w:pPr>
            <w:r>
              <w:t xml:space="preserve">1.44</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0.6</w:t>
            </w:r>
          </w:p>
        </w:tc>
        <w:tc>
          <w:tcPr/>
          <w:p>
            <w:pPr>
              <w:pStyle w:val="Compact"/>
              <w:jc w:val="left"/>
            </w:pPr>
            <w:r>
              <w:t xml:space="preserve">0.30</w:t>
            </w:r>
          </w:p>
        </w:tc>
      </w:tr>
    </w:tbl>
    <w:p>
      <w:pPr>
        <w:pStyle w:val="BodyText"/>
      </w:pPr>
      <w:r>
        <w:rPr>
          <w:bCs/>
          <w:b/>
        </w:rPr>
        <w:t xml:space="preserve">Total Material Impact:</w:t>
      </w:r>
      <w:r>
        <w:t xml:space="preserve"> </w:t>
      </w:r>
      <w:r>
        <w:t xml:space="preserve">57.59 kgCO2e (illustrative sum from placeholder data)</w:t>
      </w:r>
    </w:p>
    <w:bookmarkEnd w:id="28"/>
    <w:bookmarkStart w:id="29" w:name="production-phase-emissions-scope-1-2"/>
    <w:p>
      <w:pPr>
        <w:pStyle w:val="Heading3"/>
      </w:pPr>
      <w:r>
        <w:t xml:space="preserve">3.2. Production Phase Emissions (Scope 1 &amp; 2)</w:t>
      </w:r>
    </w:p>
    <w:p>
      <w:pPr>
        <w:pStyle w:val="FirstParagraph"/>
      </w:pPr>
      <w:r>
        <w:t xml:space="preserve">The production of yndqisjkxs occurs in China. Emissions from this phase include direct emissions (Scope 1) and indirect emissions from purchased electricity (Scope 2).</w:t>
      </w:r>
    </w:p>
    <w:p>
      <w:pPr>
        <w:numPr>
          <w:ilvl w:val="0"/>
          <w:numId w:val="1005"/>
        </w:numPr>
        <w:pStyle w:val="Compact"/>
      </w:pPr>
      <w:r>
        <w:rPr>
          <w:bCs/>
          <w:b/>
        </w:rPr>
        <w:t xml:space="preserve">Energy Intensity:</w:t>
      </w:r>
      <w:r>
        <w:t xml:space="preserve"> </w:t>
      </w:r>
      <w:r>
        <w:t xml:space="preserve">fdgjqgzttg kWh/unit (e.g., assuming 15 kWh/unit for illustrative calculation).</w:t>
      </w:r>
    </w:p>
    <w:p>
      <w:pPr>
        <w:numPr>
          <w:ilvl w:val="0"/>
          <w:numId w:val="1005"/>
        </w:numPr>
        <w:pStyle w:val="Compact"/>
      </w:pPr>
      <w:r>
        <w:rPr>
          <w:bCs/>
          <w:b/>
        </w:rPr>
        <w:t xml:space="preserve">Renewable Energy Usage:</w:t>
      </w:r>
      <w:r>
        <w:t xml:space="preserve"> </w:t>
      </w:r>
      <w:r>
        <w:t xml:space="preserve">mzjeexekti (e.g., assuming 75% renewable energy use).</w:t>
      </w:r>
    </w:p>
    <w:p>
      <w:pPr>
        <w:numPr>
          <w:ilvl w:val="0"/>
          <w:numId w:val="1005"/>
        </w:numPr>
        <w:pStyle w:val="Compact"/>
      </w:pPr>
      <w:r>
        <w:rPr>
          <w:bCs/>
          <w:b/>
        </w:rPr>
        <w:t xml:space="preserve">Assumed Grid Emission Factor (China):</w:t>
      </w:r>
      <w:r>
        <w:t xml:space="preserve"> </w:t>
      </w:r>
      <w:r>
        <w:t xml:space="preserve">For non-renewable electricity, an illustrative factor of 0.6 kgCO2e/kWh is used.</w:t>
      </w:r>
    </w:p>
    <w:p>
      <w:pPr>
        <w:numPr>
          <w:ilvl w:val="0"/>
          <w:numId w:val="1005"/>
        </w:numPr>
        <w:pStyle w:val="Compact"/>
      </w:pPr>
      <w:r>
        <w:rPr>
          <w:bCs/>
          <w:b/>
        </w:rPr>
        <w:t xml:space="preserve">Scope 1 (Direct Emissions):</w:t>
      </w:r>
      <w:r>
        <w:t xml:space="preserve"> </w:t>
      </w:r>
      <w:r>
        <w:t xml:space="preserve">Assuming negligible direct emissions from on-site fuel combustion for manufacturing for this product, or these are embedded in utility (electricity) factors. If any, they would be accounted here. For illustrative purposes, we assume 0.5 kgCO2e from minimal on-site combustion.</w:t>
      </w:r>
    </w:p>
    <w:p>
      <w:pPr>
        <w:numPr>
          <w:ilvl w:val="0"/>
          <w:numId w:val="1005"/>
        </w:numPr>
        <w:pStyle w:val="Compact"/>
      </w:pPr>
      <w:r>
        <w:rPr>
          <w:bCs/>
          <w:b/>
        </w:rPr>
        <w:t xml:space="preserve">Scope 2 (Purchased Electricity Emissions):</w:t>
      </w:r>
    </w:p>
    <w:p>
      <w:pPr>
        <w:numPr>
          <w:ilvl w:val="1"/>
          <w:numId w:val="1006"/>
        </w:numPr>
        <w:pStyle w:val="Compact"/>
      </w:pPr>
      <w:r>
        <w:t xml:space="preserve">Total electricity consumption: 15 kWh/unit</w:t>
      </w:r>
    </w:p>
    <w:p>
      <w:pPr>
        <w:numPr>
          <w:ilvl w:val="1"/>
          <w:numId w:val="1006"/>
        </w:numPr>
        <w:pStyle w:val="Compact"/>
      </w:pPr>
      <w:r>
        <w:t xml:space="preserve">Non-renewable portion: 15 kWh/unit * (1 - 75%) = 3.75 kWh/unit</w:t>
      </w:r>
    </w:p>
    <w:p>
      <w:pPr>
        <w:numPr>
          <w:ilvl w:val="1"/>
          <w:numId w:val="1006"/>
        </w:numPr>
        <w:pStyle w:val="Compact"/>
      </w:pPr>
      <w:r>
        <w:t xml:space="preserve">Scope 2 emissions: 3.75 kWh/unit * 0.6 kgCO2e/kWh = 2.25 kgCO2e/unit</w:t>
      </w:r>
    </w:p>
    <w:p>
      <w:pPr>
        <w:pStyle w:val="FirstParagraph"/>
      </w:pPr>
      <w:r>
        <w:rPr>
          <w:bCs/>
          <w:b/>
        </w:rPr>
        <w:t xml:space="preserve">Total Production Phase Impact:</w:t>
      </w:r>
      <w:r>
        <w:t xml:space="preserve"> </w:t>
      </w:r>
      <w:r>
        <w:t xml:space="preserve">2.75 kgCO2e/unit (0.5 kgCO2e Scope 1 + 2.25 kgCO2e Scope 2, illustrative)</w:t>
      </w:r>
    </w:p>
    <w:bookmarkEnd w:id="29"/>
    <w:bookmarkStart w:id="30" w:name="X6c4f808c7688b9ec750eae0a465de76d60bc49f"/>
    <w:p>
      <w:pPr>
        <w:pStyle w:val="Heading3"/>
      </w:pPr>
      <w:r>
        <w:t xml:space="preserve">3.3. Logistics &amp; Supply Chain Emissions (Scope 3 - Upstream &amp; Downstream)</w:t>
      </w:r>
    </w:p>
    <w:p>
      <w:pPr>
        <w:pStyle w:val="FirstParagraph"/>
      </w:pPr>
      <w:r>
        <w:t xml:space="preserve">Transportation plays a critical role in the product\'s overall footprint, encompassing upstream logistics (Category 4: Transportation and distribution, upstream) and downstream distribution.</w:t>
      </w:r>
    </w:p>
    <w:p>
      <w:pPr>
        <w:numPr>
          <w:ilvl w:val="0"/>
          <w:numId w:val="1007"/>
        </w:numPr>
        <w:pStyle w:val="Compact"/>
      </w:pPr>
      <w:r>
        <w:rPr>
          <w:bCs/>
          <w:b/>
        </w:rPr>
        <w:t xml:space="preserve">Upstream Transport (Europe to China):</w:t>
      </w:r>
    </w:p>
    <w:p>
      <w:pPr>
        <w:numPr>
          <w:ilvl w:val="1"/>
          <w:numId w:val="1008"/>
        </w:numPr>
        <w:pStyle w:val="Compact"/>
      </w:pPr>
      <w:r>
        <w:rPr>
          <w:bCs/>
          <w:b/>
        </w:rPr>
        <w:t xml:space="preserve">Transport Mode:</w:t>
      </w:r>
      <w:r>
        <w:t xml:space="preserve"> </w:t>
      </w:r>
      <w:r>
        <w:t xml:space="preserve">Select Mode (e.g., assumed to be primarily Ocean Freight for bulk components from Europe to China).</w:t>
      </w:r>
    </w:p>
    <w:p>
      <w:pPr>
        <w:numPr>
          <w:ilvl w:val="1"/>
          <w:numId w:val="1008"/>
        </w:numPr>
        <w:pStyle w:val="Compact"/>
      </w:pPr>
      <w:r>
        <w:rPr>
          <w:bCs/>
          <w:b/>
        </w:rPr>
        <w:t xml:space="preserve">Transport Distance:</w:t>
      </w:r>
      <w:r>
        <w:t xml:space="preserve"> </w:t>
      </w:r>
      <w:r>
        <w:t xml:space="preserve">xljigwuxyv (e.g., assumed 10,000 km for ocean freight).</w:t>
      </w:r>
    </w:p>
    <w:p>
      <w:pPr>
        <w:numPr>
          <w:ilvl w:val="1"/>
          <w:numId w:val="1008"/>
        </w:numPr>
        <w:pStyle w:val="Compact"/>
      </w:pPr>
      <w:r>
        <w:rPr>
          <w:bCs/>
          <w:b/>
        </w:rPr>
        <w:t xml:space="preserve">Assumed Emission Factor (Ocean Freight):</w:t>
      </w:r>
      <w:r>
        <w:t xml:space="preserve"> </w:t>
      </w:r>
      <w:r>
        <w:t xml:space="preserve">Illustrative 0.01 kgCO2e/tonne-km.</w:t>
      </w:r>
    </w:p>
    <w:p>
      <w:pPr>
        <w:numPr>
          <w:ilvl w:val="1"/>
          <w:numId w:val="1008"/>
        </w:numPr>
        <w:pStyle w:val="Compact"/>
      </w:pPr>
      <w:r>
        <w:rPr>
          <w:bCs/>
          <w:b/>
        </w:rPr>
        <w:t xml:space="preserve">Estimated Upstream Freight Weight:</w:t>
      </w:r>
      <w:r>
        <w:t xml:space="preserve"> </w:t>
      </w:r>
      <w:r>
        <w:t xml:space="preserve">Assuming 15 kg/unit for all components requiring international shipping.</w:t>
      </w:r>
    </w:p>
    <w:p>
      <w:pPr>
        <w:numPr>
          <w:ilvl w:val="1"/>
          <w:numId w:val="1008"/>
        </w:numPr>
        <w:pStyle w:val="Compact"/>
      </w:pPr>
      <w:r>
        <w:rPr>
          <w:bCs/>
          <w:b/>
        </w:rPr>
        <w:t xml:space="preserve">Upstream Transport Emissions:</w:t>
      </w:r>
      <w:r>
        <w:t xml:space="preserve"> </w:t>
      </w:r>
      <w:r>
        <w:t xml:space="preserve">15 kg/unit * (10000 km / 1000) * 0.01 kgCO2e/tonne-km = 1.50 kgCO2e/unit.</w:t>
      </w:r>
    </w:p>
    <w:p>
      <w:pPr>
        <w:numPr>
          <w:ilvl w:val="0"/>
          <w:numId w:val="1007"/>
        </w:numPr>
        <w:pStyle w:val="Compact"/>
      </w:pPr>
      <w:r>
        <w:rPr>
          <w:bCs/>
          <w:b/>
        </w:rPr>
        <w:t xml:space="preserve">Downstream Last-Mile Delivery (within Europe):</w:t>
      </w:r>
    </w:p>
    <w:p>
      <w:pPr>
        <w:numPr>
          <w:ilvl w:val="1"/>
          <w:numId w:val="1009"/>
        </w:numPr>
        <w:pStyle w:val="Compact"/>
      </w:pPr>
      <w:r>
        <w:rPr>
          <w:bCs/>
          <w:b/>
        </w:rPr>
        <w:t xml:space="preserve">Last-Mile Delivery Channel:</w:t>
      </w:r>
      <w:r>
        <w:t xml:space="preserve"> </w:t>
      </w:r>
      <w:r>
        <w:t xml:space="preserve">Delivery Type (e.g., assumed Small Parcel Carrier, Diesel Van).</w:t>
      </w:r>
    </w:p>
    <w:p>
      <w:pPr>
        <w:numPr>
          <w:ilvl w:val="1"/>
          <w:numId w:val="1009"/>
        </w:numPr>
        <w:pStyle w:val="Compact"/>
      </w:pPr>
      <w:r>
        <w:rPr>
          <w:bCs/>
          <w:b/>
        </w:rPr>
        <w:t xml:space="preserve">Assumed Distance (Average Last Mile):</w:t>
      </w:r>
      <w:r>
        <w:t xml:space="preserve"> </w:t>
      </w:r>
      <w:r>
        <w:t xml:space="preserve">Illustrative 500 km.</w:t>
      </w:r>
    </w:p>
    <w:p>
      <w:pPr>
        <w:numPr>
          <w:ilvl w:val="1"/>
          <w:numId w:val="1009"/>
        </w:numPr>
        <w:pStyle w:val="Compact"/>
      </w:pPr>
      <w:r>
        <w:rPr>
          <w:bCs/>
          <w:b/>
        </w:rPr>
        <w:t xml:space="preserve">Assumed Emission Factor (Diesel Van, shared):</w:t>
      </w:r>
      <w:r>
        <w:t xml:space="preserve"> </w:t>
      </w:r>
      <w:r>
        <w:t xml:space="preserve">Illustrative 0.05 kgCO2e/unit-km.</w:t>
      </w:r>
    </w:p>
    <w:p>
      <w:pPr>
        <w:numPr>
          <w:ilvl w:val="1"/>
          <w:numId w:val="1009"/>
        </w:numPr>
        <w:pStyle w:val="Compact"/>
      </w:pPr>
      <w:r>
        <w:rPr>
          <w:bCs/>
          <w:b/>
        </w:rPr>
        <w:t xml:space="preserve">Last-Mile Delivery Emissions:</w:t>
      </w:r>
      <w:r>
        <w:t xml:space="preserve"> </w:t>
      </w:r>
      <w:r>
        <w:t xml:space="preserve">500 km * 0.05 kgCO2e/unit-km = 25.00 kgCO2e/unit.</w:t>
      </w:r>
    </w:p>
    <w:p>
      <w:pPr>
        <w:pStyle w:val="FirstParagraph"/>
      </w:pPr>
      <w:r>
        <w:rPr>
          <w:bCs/>
          <w:b/>
        </w:rPr>
        <w:t xml:space="preserve">Total Logistics &amp; Supply Chain Impact:</w:t>
      </w:r>
      <w:r>
        <w:t xml:space="preserve"> </w:t>
      </w:r>
      <w:r>
        <w:t xml:space="preserve">26.50 kgCO2e/unit (illustrative)</w:t>
      </w:r>
    </w:p>
    <w:bookmarkEnd w:id="30"/>
    <w:bookmarkStart w:id="31" w:name="use-phase-emissions-scope-3---downstream"/>
    <w:p>
      <w:pPr>
        <w:pStyle w:val="Heading3"/>
      </w:pPr>
      <w:r>
        <w:t xml:space="preserve">3.4. Use Phase Emissions (Scope 3 - Downstream)</w:t>
      </w:r>
    </w:p>
    <w:p>
      <w:pPr>
        <w:pStyle w:val="FirstParagraph"/>
      </w:pPr>
      <w:r>
        <w:t xml:space="preserve">The use phase accounts for emissions generated during the product\'s functional lifespan (Category 11: Use of sold products).</w:t>
      </w:r>
    </w:p>
    <w:p>
      <w:pPr>
        <w:numPr>
          <w:ilvl w:val="0"/>
          <w:numId w:val="1010"/>
        </w:numPr>
        <w:pStyle w:val="Compact"/>
      </w:pPr>
      <w:r>
        <w:rPr>
          <w:bCs/>
          <w:b/>
        </w:rPr>
        <w:t xml:space="preserve">Product Lifespan:</w:t>
      </w:r>
      <w:r>
        <w:t xml:space="preserve"> </w:t>
      </w:r>
      <w:r>
        <w:t xml:space="preserve">unfzooxprn (e.g., assumed 5 years).</w:t>
      </w:r>
    </w:p>
    <w:p>
      <w:pPr>
        <w:numPr>
          <w:ilvl w:val="0"/>
          <w:numId w:val="1010"/>
        </w:numPr>
        <w:pStyle w:val="Compact"/>
      </w:pPr>
      <w:r>
        <w:rPr>
          <w:bCs/>
          <w:b/>
        </w:rPr>
        <w:t xml:space="preserve">Energy Consumption in Use:</w:t>
      </w:r>
      <w:r>
        <w:t xml:space="preserve"> </w:t>
      </w:r>
      <w:r>
        <w:t xml:space="preserve">dguykzyxvu (e.g., assumed 50 kWh/year).</w:t>
      </w:r>
    </w:p>
    <w:p>
      <w:pPr>
        <w:numPr>
          <w:ilvl w:val="0"/>
          <w:numId w:val="1010"/>
        </w:numPr>
        <w:pStyle w:val="Compact"/>
      </w:pPr>
      <w:r>
        <w:rPr>
          <w:bCs/>
          <w:b/>
        </w:rPr>
        <w:t xml:space="preserve">Assumed Electricity Mix Emission Factor (Europe average for user):</w:t>
      </w:r>
      <w:r>
        <w:t xml:space="preserve"> </w:t>
      </w:r>
      <w:r>
        <w:t xml:space="preserve">Illustrative 0.3 kgCO2e/kWh.</w:t>
      </w:r>
    </w:p>
    <w:p>
      <w:pPr>
        <w:numPr>
          <w:ilvl w:val="0"/>
          <w:numId w:val="1010"/>
        </w:numPr>
        <w:pStyle w:val="Compact"/>
      </w:pPr>
      <w:r>
        <w:rPr>
          <w:bCs/>
          <w:b/>
        </w:rPr>
        <w:t xml:space="preserve">Use Phase Emissions:</w:t>
      </w:r>
      <w:r>
        <w:t xml:space="preserve"> </w:t>
      </w:r>
      <w:r>
        <w:t xml:space="preserve">5 years * 50 kWh/year * 0.3 kgCO2e/kWh = 75.00 kgCO2e/unit.</w:t>
      </w:r>
    </w:p>
    <w:p>
      <w:pPr>
        <w:pStyle w:val="FirstParagraph"/>
      </w:pPr>
      <w:r>
        <w:rPr>
          <w:bCs/>
          <w:b/>
        </w:rPr>
        <w:t xml:space="preserve">Total Use Phase Impact:</w:t>
      </w:r>
      <w:r>
        <w:t xml:space="preserve"> </w:t>
      </w:r>
      <w:r>
        <w:t xml:space="preserve">75.00 kgCO2e/unit (illustrative)</w:t>
      </w:r>
    </w:p>
    <w:bookmarkEnd w:id="31"/>
    <w:bookmarkStart w:id="32" w:name="X1aa2e0ba27a367fe6ebd45938cd81821bc62840"/>
    <w:p>
      <w:pPr>
        <w:pStyle w:val="Heading3"/>
      </w:pPr>
      <w:r>
        <w:t xml:space="preserve">3.5. End-of-Life (EoL) Emissions &amp; Circularity (Scope 3 - Downstream, LSR Update)</w:t>
      </w:r>
    </w:p>
    <w:p>
      <w:pPr>
        <w:pStyle w:val="FirstParagraph"/>
      </w:pPr>
      <w:r>
        <w:t xml:space="preserve">End-of-life scenarios (Category 12: End-of-life treatment of sold products) incorporate recyclability and circular economy impacts. The 2026 LSR Standard is considered for any potential carbon removals related to biogenic materials or advanced recycling processes that might sequester carbon.</w:t>
      </w:r>
    </w:p>
    <w:p>
      <w:pPr>
        <w:numPr>
          <w:ilvl w:val="0"/>
          <w:numId w:val="1011"/>
        </w:numPr>
        <w:pStyle w:val="Compact"/>
      </w:pPr>
      <w:r>
        <w:rPr>
          <w:bCs/>
          <w:b/>
        </w:rPr>
        <w:t xml:space="preserve">Recyclability Percentage:</w:t>
      </w:r>
      <w:r>
        <w:t xml:space="preserve"> </w:t>
      </w:r>
      <w:r>
        <w:t xml:space="preserve">wmrqfptldj (e.g., assumed 80%).</w:t>
      </w:r>
    </w:p>
    <w:p>
      <w:pPr>
        <w:numPr>
          <w:ilvl w:val="0"/>
          <w:numId w:val="1011"/>
        </w:numPr>
        <w:pStyle w:val="Compact"/>
      </w:pPr>
      <w:r>
        <w:rPr>
          <w:bCs/>
          <w:b/>
        </w:rPr>
        <w:t xml:space="preserve">Circular/Take-back Programs:</w:t>
      </w:r>
      <w:r>
        <w:t xml:space="preserve"> </w:t>
      </w:r>
      <w:r>
        <w:t xml:space="preserve">vkeihemydt (e.g., Company-led take-back program for key components implemented).</w:t>
      </w:r>
    </w:p>
    <w:p>
      <w:pPr>
        <w:numPr>
          <w:ilvl w:val="0"/>
          <w:numId w:val="1011"/>
        </w:numPr>
        <w:pStyle w:val="Compact"/>
      </w:pPr>
      <w:r>
        <w:rPr>
          <w:bCs/>
          <w:b/>
        </w:rPr>
        <w:t xml:space="preserve">Assumed EoL Emission Factor (for non-recycled waste, e.g., incineration/landfill):</w:t>
      </w:r>
      <w:r>
        <w:t xml:space="preserve"> </w:t>
      </w:r>
      <w:r>
        <w:t xml:space="preserve">Illustrative 0.8 kgCO2e/kg for remaining 20% waste. Assuming product weight 15kg.</w:t>
      </w:r>
    </w:p>
    <w:p>
      <w:pPr>
        <w:numPr>
          <w:ilvl w:val="0"/>
          <w:numId w:val="1011"/>
        </w:numPr>
        <w:pStyle w:val="Compact"/>
      </w:pPr>
      <w:r>
        <w:rPr>
          <w:bCs/>
          <w:b/>
        </w:rPr>
        <w:t xml:space="preserve">Waste Emissions:</w:t>
      </w:r>
      <w:r>
        <w:t xml:space="preserve"> </w:t>
      </w:r>
      <w:r>
        <w:t xml:space="preserve">15 kg * (1 - 80%) * 0.8 kgCO2e/kg = 2.40 kgCO2e/unit.</w:t>
      </w:r>
    </w:p>
    <w:p>
      <w:pPr>
        <w:numPr>
          <w:ilvl w:val="0"/>
          <w:numId w:val="1011"/>
        </w:numPr>
        <w:pStyle w:val="Compact"/>
      </w:pPr>
      <w:r>
        <w:rPr>
          <w:bCs/>
          <w:b/>
        </w:rPr>
        <w:t xml:space="preserve">Recycling Benefit/Credit (LSR considerations):</w:t>
      </w:r>
      <w:r>
        <w:t xml:space="preserve"> </w:t>
      </w:r>
      <w:r>
        <w:t xml:space="preserve">For the 80% recycled material, a credit or avoidance factor can be applied if it displaces virgin material production. For illustrative purposes, we assume a net benefit of -0.5 kgCO2e/kg for recycled content.</w:t>
      </w:r>
    </w:p>
    <w:p>
      <w:pPr>
        <w:numPr>
          <w:ilvl w:val="0"/>
          <w:numId w:val="1011"/>
        </w:numPr>
        <w:pStyle w:val="Compact"/>
      </w:pPr>
      <w:r>
        <w:rPr>
          <w:bCs/>
          <w:b/>
        </w:rPr>
        <w:t xml:space="preserve">Recycling Benefit:</w:t>
      </w:r>
      <w:r>
        <w:t xml:space="preserve"> </w:t>
      </w:r>
      <w:r>
        <w:t xml:space="preserve">15 kg * 80% * (-0.5 kgCO2e/kg) = -6.00 kgCO2e/unit.</w:t>
      </w:r>
    </w:p>
    <w:p>
      <w:pPr>
        <w:numPr>
          <w:ilvl w:val="0"/>
          <w:numId w:val="1011"/>
        </w:numPr>
        <w:pStyle w:val="Compact"/>
      </w:pPr>
      <w:r>
        <w:rPr>
          <w:bCs/>
          <w:b/>
        </w:rPr>
        <w:t xml:space="preserve">Impact of Circular Programs:</w:t>
      </w:r>
      <w:r>
        <w:t xml:space="preserve"> </w:t>
      </w:r>
      <w:r>
        <w:t xml:space="preserve">The take-back program for key components (vkeihemydt) will further enhance material recovery and potential carbon savings, though exact quantification requires more detailed program data. This aligns with the LSR standard by promoting material loops that can reduce reliance on emission-intensive virgin resources.</w:t>
      </w:r>
    </w:p>
    <w:p>
      <w:pPr>
        <w:pStyle w:val="FirstParagraph"/>
      </w:pPr>
      <w:r>
        <w:rPr>
          <w:bCs/>
          <w:b/>
        </w:rPr>
        <w:t xml:space="preserve">Total End-of-Life Impact:</w:t>
      </w:r>
      <w:r>
        <w:t xml:space="preserve"> </w:t>
      </w:r>
      <w:r>
        <w:t xml:space="preserve">-3.60 kgCO2e/unit (2.40 kgCO2e waste + -6.00 kgCO2e recycling benefit, illustrative)</w:t>
      </w:r>
    </w:p>
    <w:bookmarkEnd w:id="32"/>
    <w:bookmarkStart w:id="33" w:name="X7bac449f0ac3c4cbebf9dbc6cf01971a878d249"/>
    <w:p>
      <w:pPr>
        <w:pStyle w:val="Heading3"/>
      </w:pPr>
      <w:r>
        <w:t xml:space="preserve">3.6. 2026 Land Sector and Removals (LSR) Update Considerations</w:t>
      </w:r>
    </w:p>
    <w:p>
      <w:pPr>
        <w:pStyle w:val="FirstParagraph"/>
      </w:pPr>
      <w:r>
        <w:t xml:space="preserve">The GHG Protocol\'s Land Sector and Removals (LSR) Standard, effective January 1, 2027, provides requirements for companies to quantify, report, and track land emissions, CO₂ removals, and other relevant metrics. While yndqisjkxs itself is likely a manufactured product, this update is critical for gnnfkzqttq\'s broader corporate inventory, especially if its supply chain involves agricultural products or has land-use change impacts (e.g., for packaging materials, bioplastics). For this product-level analysis, direct application of LSR would typically relate to biogenic carbon in materials (e.g., wood, cotton) or carbon sequestration in specific manufacturing processes or EoL scenarios. In this PCF, the recycling benefits for materials, if they include biogenic content with verifiable carbon sequestration, would be aligned with LSR principles by recognizing carbon removals or avoided emissions.</w:t>
      </w:r>
    </w:p>
    <w:p>
      <w:pPr>
        <w:pStyle w:val="BodyText"/>
      </w:pPr>
      <w:r>
        <w:rPr>
          <w:bCs/>
          <w:b/>
        </w:rPr>
        <w:t xml:space="preserve">Note on 2026 Requirements for Scope 3 Coverage:</w:t>
      </w:r>
      <w:r>
        <w:t xml:space="preserve"> </w:t>
      </w:r>
      <w:r>
        <w:t xml:space="preserve">The report ensures a comprehensive assessment of Scope 3 categories including purchased goods and services, transportation, use of sold products, and end-of-life treatment. By detailing these categories, the analysis aims to achieve at least 95% coverage for Scope 3 reporting, as per the stated 2026 requirements.</w:t>
      </w:r>
    </w:p>
    <w:p>
      <w:r>
        <w:pict>
          <v:rect style="width:0;height:1.5pt" o:hralign="center" o:hrstd="t" o:hr="t"/>
        </w:pict>
      </w:r>
    </w:p>
    <w:bookmarkEnd w:id="33"/>
    <w:bookmarkEnd w:id="34"/>
    <w:bookmarkStart w:id="35" w:name="summary-of-pcf-results"/>
    <w:p>
      <w:pPr>
        <w:pStyle w:val="Heading2"/>
      </w:pPr>
      <w:r>
        <w:t xml:space="preserve">4. Summary of PCF Results</w:t>
      </w:r>
    </w:p>
    <w:p>
      <w:pPr>
        <w:pStyle w:val="FirstParagraph"/>
      </w:pPr>
      <w:r>
        <w:t xml:space="preserve">The estimated Product Carbon Footprint for one unit of yndqisjkxs, expressed in kgCO2e, is summarized below based on the illustrative calculations and provided parameters. This summary aggregates emissions by GHG Protocol Scope and lifecycle phase.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Phase</w:t>
            </w:r>
          </w:p>
        </w:tc>
        <w:tc>
          <w:tcPr/>
          <w:p>
            <w:pPr>
              <w:pStyle w:val="Compact"/>
              <w:jc w:val="left"/>
            </w:pPr>
            <w:r>
              <w:t xml:space="preserve">GHG Protocol Scope</w:t>
            </w:r>
          </w:p>
        </w:tc>
        <w:tc>
          <w:tcPr/>
          <w:p>
            <w:pPr>
              <w:pStyle w:val="Compact"/>
              <w:jc w:val="left"/>
            </w:pPr>
            <w:r>
              <w:t xml:space="preserve">Illustrative Emissions (kgCO2e/unit)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57.59</w:t>
            </w:r>
          </w:p>
        </w:tc>
      </w:tr>
      <w:tr>
        <w:tc>
          <w:tcPr/>
          <w:p>
            <w:pPr>
              <w:pStyle w:val="Compact"/>
              <w:jc w:val="left"/>
            </w:pPr>
            <w:r>
              <w:t xml:space="preserve">Production (Direct)</w:t>
            </w:r>
          </w:p>
        </w:tc>
        <w:tc>
          <w:tcPr/>
          <w:p>
            <w:pPr>
              <w:pStyle w:val="Compact"/>
              <w:jc w:val="left"/>
            </w:pPr>
            <w:r>
              <w:t xml:space="preserve">Scope 1</w:t>
            </w:r>
          </w:p>
        </w:tc>
        <w:tc>
          <w:tcPr/>
          <w:p>
            <w:pPr>
              <w:pStyle w:val="Compact"/>
              <w:jc w:val="left"/>
            </w:pPr>
            <w:r>
              <w:t xml:space="preserve">0.50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2.25</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1.50</w:t>
            </w:r>
          </w:p>
        </w:tc>
      </w:tr>
      <w:tr>
        <w:tc>
          <w:tcPr/>
          <w:p>
            <w:pPr>
              <w:pStyle w:val="Compact"/>
              <w:jc w:val="left"/>
            </w:pPr>
            <w:r>
              <w:t xml:space="preserve">Downstream Transportation (Last-Mile)</w:t>
            </w:r>
          </w:p>
        </w:tc>
        <w:tc>
          <w:tcPr/>
          <w:p>
            <w:pPr>
              <w:pStyle w:val="Compact"/>
              <w:jc w:val="left"/>
            </w:pPr>
            <w:r>
              <w:t xml:space="preserve">Scope 3 (Category 4/9)</w:t>
            </w:r>
          </w:p>
        </w:tc>
        <w:tc>
          <w:tcPr/>
          <w:p>
            <w:pPr>
              <w:pStyle w:val="Compact"/>
              <w:jc w:val="left"/>
            </w:pPr>
            <w:r>
              <w:t xml:space="preserve">25.00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75.00</w:t>
            </w:r>
          </w:p>
        </w:tc>
      </w:tr>
      <w:tr>
        <w:tc>
          <w:tcPr/>
          <w:p>
            <w:pPr>
              <w:pStyle w:val="Compact"/>
              <w:jc w:val="left"/>
            </w:pPr>
            <w:r>
              <w:t xml:space="preserve">End-of-Life Treatment (Net)</w:t>
            </w:r>
          </w:p>
        </w:tc>
        <w:tc>
          <w:tcPr/>
          <w:p>
            <w:pPr>
              <w:pStyle w:val="Compact"/>
              <w:jc w:val="left"/>
            </w:pPr>
            <w:r>
              <w:t xml:space="preserve">Scope 3 (Category 12)</w:t>
            </w:r>
          </w:p>
        </w:tc>
        <w:tc>
          <w:tcPr/>
          <w:p>
            <w:pPr>
              <w:pStyle w:val="Compact"/>
              <w:jc w:val="left"/>
            </w:pPr>
            <w:r>
              <w:t xml:space="preserve">-3.60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158.24 kgCO2e/unit</w:t>
            </w:r>
          </w:p>
        </w:tc>
      </w:tr>
    </w:tbl>
    <w:p>
      <w:pPr>
        <w:pStyle w:val="BodyText"/>
      </w:pPr>
      <w:r>
        <w:rPr>
          <w:iCs/>
          <w:i/>
        </w:rPr>
        <w:t xml:space="preserve">Note: All emission values are illustrative, based on assumed emission factors and placeholder data provided in the prompt. Actual values would require precise, verified data.</w:t>
      </w:r>
    </w:p>
    <w:p>
      <w:r>
        <w:pict>
          <v:rect style="width:0;height:1.5pt" o:hralign="center" o:hrstd="t" o:hr="t"/>
        </w:pict>
      </w:r>
    </w:p>
    <w:bookmarkEnd w:id="35"/>
    <w:bookmarkStart w:id="38" w:name="X69bf116dc66f3958cb5b2148687ba2e660c163d"/>
    <w:p>
      <w:pPr>
        <w:pStyle w:val="Heading2"/>
      </w:pPr>
      <w:r>
        <w:t xml:space="preserve">5. Review &amp; Report: Hotspots and Recommendations</w:t>
      </w:r>
    </w:p>
    <w:bookmarkStart w:id="36" w:name="hotspot-identification"/>
    <w:p>
      <w:pPr>
        <w:pStyle w:val="Heading3"/>
      </w:pPr>
      <w:r>
        <w:t xml:space="preserve">5.1. Hotspot Identification</w:t>
      </w:r>
    </w:p>
    <w:p>
      <w:pPr>
        <w:pStyle w:val="FirstParagraph"/>
      </w:pPr>
      <w:r>
        <w:t xml:space="preserve">Based on the illustrative analysis, the primary emission hotspots for yndqisjkxs are:</w:t>
      </w:r>
    </w:p>
    <w:p>
      <w:pPr>
        <w:numPr>
          <w:ilvl w:val="0"/>
          <w:numId w:val="1012"/>
        </w:numPr>
        <w:pStyle w:val="Compact"/>
      </w:pPr>
      <w:r>
        <w:rPr>
          <w:bCs/>
          <w:b/>
        </w:rPr>
        <w:t xml:space="preserve">Use Phase:</w:t>
      </w:r>
      <w:r>
        <w:t xml:space="preserve"> </w:t>
      </w:r>
      <w:r>
        <w:t xml:space="preserve">With 75.00 kgCO2e/unit, the energy consumption during the product\'s lifespan is the single largest contributor to the PCF. This highlights the significant impact of electricity grids and user behavior.</w:t>
      </w:r>
    </w:p>
    <w:p>
      <w:pPr>
        <w:numPr>
          <w:ilvl w:val="0"/>
          <w:numId w:val="1012"/>
        </w:numPr>
        <w:pStyle w:val="Compact"/>
      </w:pPr>
      <w:r>
        <w:rPr>
          <w:bCs/>
          <w:b/>
        </w:rPr>
        <w:t xml:space="preserve">Material Acquisition &amp; Pre-processing:</w:t>
      </w:r>
      <w:r>
        <w:t xml:space="preserve"> </w:t>
      </w:r>
      <w:r>
        <w:t xml:space="preserve">The materials outlined in the BOM contribute 57.59 kgCO2e/unit, indicating that material selection and supplier practices are critical.</w:t>
      </w:r>
    </w:p>
    <w:p>
      <w:pPr>
        <w:numPr>
          <w:ilvl w:val="0"/>
          <w:numId w:val="1012"/>
        </w:numPr>
        <w:pStyle w:val="Compact"/>
      </w:pPr>
      <w:r>
        <w:rPr>
          <w:bCs/>
          <w:b/>
        </w:rPr>
        <w:t xml:space="preserve">Downstream Transportation:</w:t>
      </w:r>
      <w:r>
        <w:t xml:space="preserve"> </w:t>
      </w:r>
      <w:r>
        <w:t xml:space="preserve">Last-mile delivery (25.00 kgCO2e/unit) presents a notable hotspot, underscoring the challenges in distributing products efficiently to end-users.</w:t>
      </w:r>
    </w:p>
    <w:bookmarkEnd w:id="36"/>
    <w:bookmarkStart w:id="37" w:name="recommendations-for-gnnfkzqttq"/>
    <w:p>
      <w:pPr>
        <w:pStyle w:val="Heading3"/>
      </w:pPr>
      <w:r>
        <w:t xml:space="preserve">5.2. Recommendations for gnnfkzqttq</w:t>
      </w:r>
    </w:p>
    <w:p>
      <w:pPr>
        <w:pStyle w:val="FirstParagraph"/>
      </w:pPr>
      <w:r>
        <w:t xml:space="preserve">To reduce the carbon footprint of yndqisjkxs and align with broader sustainability goals, the following recommendations are provided:</w:t>
      </w:r>
    </w:p>
    <w:p>
      <w:pPr>
        <w:numPr>
          <w:ilvl w:val="0"/>
          <w:numId w:val="1013"/>
        </w:numPr>
        <w:pStyle w:val="Compact"/>
      </w:pPr>
      <w:r>
        <w:rPr>
          <w:bCs/>
          <w:b/>
        </w:rPr>
        <w:t xml:space="preserve">Optimize Use Phase Efficiency:</w:t>
      </w:r>
    </w:p>
    <w:p>
      <w:pPr>
        <w:numPr>
          <w:ilvl w:val="1"/>
          <w:numId w:val="1014"/>
        </w:numPr>
        <w:pStyle w:val="Compact"/>
      </w:pPr>
      <w:r>
        <w:t xml:space="preserve">Explore opportunities to reduce the product\'s energy consumption during its lifespan (dguykzyxvu) through design improvements, more efficient components, or standby modes.</w:t>
      </w:r>
    </w:p>
    <w:p>
      <w:pPr>
        <w:numPr>
          <w:ilvl w:val="1"/>
          <w:numId w:val="1014"/>
        </w:numPr>
        <w:pStyle w:val="Compact"/>
      </w:pPr>
      <w:r>
        <w:t xml:space="preserve">Investigate the potential for encouraging renewable energy usage among end-users or providing carbon-neutral energy offsets for the product\'s use phase.</w:t>
      </w:r>
    </w:p>
    <w:p>
      <w:pPr>
        <w:numPr>
          <w:ilvl w:val="0"/>
          <w:numId w:val="1013"/>
        </w:numPr>
        <w:pStyle w:val="Compact"/>
      </w:pPr>
      <w:r>
        <w:rPr>
          <w:bCs/>
          <w:b/>
        </w:rPr>
        <w:t xml:space="preserve">Enhance Material Sustainability:</w:t>
      </w:r>
    </w:p>
    <w:p>
      <w:pPr>
        <w:numPr>
          <w:ilvl w:val="1"/>
          <w:numId w:val="1015"/>
        </w:numPr>
        <w:pStyle w:val="Compact"/>
      </w:pPr>
      <w:r>
        <w:t xml:space="preserve">Engage with suppliers to source lower-carbon alternatives for high-impact materials identified in the BOM (pxqxhiiw).</w:t>
      </w:r>
    </w:p>
    <w:p>
      <w:pPr>
        <w:numPr>
          <w:ilvl w:val="1"/>
          <w:numId w:val="1015"/>
        </w:numPr>
        <w:pStyle w:val="Compact"/>
      </w:pPr>
      <w:r>
        <w:t xml:space="preserve">Increase the proportion of recycled content in materials and explore bio-based or renewable materials where feasible, ensuring compliance with LSR standards for biogenic carbon accounting.</w:t>
      </w:r>
    </w:p>
    <w:p>
      <w:pPr>
        <w:numPr>
          <w:ilvl w:val="1"/>
          <w:numId w:val="1015"/>
        </w:numPr>
        <w:pStyle w:val="Compact"/>
      </w:pPr>
      <w:r>
        <w:t xml:space="preserve">Conduct further detailed LCA studies on individual high-impact components to identify precise reduction levers.</w:t>
      </w:r>
    </w:p>
    <w:p>
      <w:pPr>
        <w:numPr>
          <w:ilvl w:val="0"/>
          <w:numId w:val="1013"/>
        </w:numPr>
        <w:pStyle w:val="Compact"/>
      </w:pPr>
      <w:r>
        <w:rPr>
          <w:bCs/>
          <w:b/>
        </w:rPr>
        <w:t xml:space="preserve">Decarbonize Logistics:</w:t>
      </w:r>
    </w:p>
    <w:p>
      <w:pPr>
        <w:numPr>
          <w:ilvl w:val="1"/>
          <w:numId w:val="1016"/>
        </w:numPr>
        <w:pStyle w:val="Compact"/>
      </w:pPr>
      <w:r>
        <w:t xml:space="preserve">Optimize transportation routes and consolidate shipments to reduce distance (xljigwuxyv) and frequency.</w:t>
      </w:r>
    </w:p>
    <w:p>
      <w:pPr>
        <w:numPr>
          <w:ilvl w:val="1"/>
          <w:numId w:val="1016"/>
        </w:numPr>
        <w:pStyle w:val="Compact"/>
      </w:pPr>
      <w:r>
        <w:t xml:space="preserve">Explore alternative, lower-emission transport modes (Select Mode) for both upstream and downstream logistics, such as rail or electric vehicles for last-mile delivery (Delivery Type), especially in Europe.</w:t>
      </w:r>
    </w:p>
    <w:p>
      <w:pPr>
        <w:numPr>
          <w:ilvl w:val="1"/>
          <w:numId w:val="1016"/>
        </w:numPr>
        <w:pStyle w:val="Compact"/>
      </w:pPr>
      <w:r>
        <w:t xml:space="preserve">Collaborate with logistics partners who utilize renewable fuels or more efficient fleets.</w:t>
      </w:r>
    </w:p>
    <w:p>
      <w:pPr>
        <w:numPr>
          <w:ilvl w:val="0"/>
          <w:numId w:val="1013"/>
        </w:numPr>
        <w:pStyle w:val="Compact"/>
      </w:pPr>
      <w:r>
        <w:rPr>
          <w:bCs/>
          <w:b/>
        </w:rPr>
        <w:t xml:space="preserve">Strengthen Circularity Initiatives:</w:t>
      </w:r>
    </w:p>
    <w:p>
      <w:pPr>
        <w:numPr>
          <w:ilvl w:val="1"/>
          <w:numId w:val="1017"/>
        </w:numPr>
        <w:pStyle w:val="Compact"/>
      </w:pPr>
      <w:r>
        <w:t xml:space="preserve">Expand and promote the existing Circular/Take-back Programs (vkeihemydt) to ensure higher collection rates and effective material recovery.</w:t>
      </w:r>
    </w:p>
    <w:p>
      <w:pPr>
        <w:numPr>
          <w:ilvl w:val="1"/>
          <w:numId w:val="1017"/>
        </w:numPr>
        <w:pStyle w:val="Compact"/>
      </w:pPr>
      <w:r>
        <w:t xml:space="preserve">Invest in design-for-disassembly and modularity to facilitate easier recycling and reuse of components, further increasing the Recyclability Percentage (wmrqfptldj) and maximizing LSR-compliant carbon benefits.</w:t>
      </w:r>
    </w:p>
    <w:p>
      <w:pPr>
        <w:numPr>
          <w:ilvl w:val="0"/>
          <w:numId w:val="1013"/>
        </w:numPr>
        <w:pStyle w:val="Compact"/>
      </w:pPr>
      <w:r>
        <w:rPr>
          <w:bCs/>
          <w:b/>
        </w:rPr>
        <w:t xml:space="preserve">Improve Production Energy Mix:</w:t>
      </w:r>
    </w:p>
    <w:p>
      <w:pPr>
        <w:numPr>
          <w:ilvl w:val="1"/>
          <w:numId w:val="1018"/>
        </w:numPr>
        <w:pStyle w:val="Compact"/>
      </w:pPr>
      <w:r>
        <w:t xml:space="preserve">Continue to increase renewable energy usage (mzjeexekti) at the production facility in China, potentially exploring on-site generation or purchasing certified renewable energy credits.</w:t>
      </w:r>
    </w:p>
    <w:p>
      <w:pPr>
        <w:numPr>
          <w:ilvl w:val="1"/>
          <w:numId w:val="1018"/>
        </w:numPr>
        <w:pStyle w:val="Compact"/>
      </w:pPr>
      <w:r>
        <w:t xml:space="preserve">Monitor and reduce overall energy intensity (fdgjqgzttg kWh/unit) through process optimization and equipment upgrades.</w:t>
      </w:r>
    </w:p>
    <w:p>
      <w:r>
        <w:pict>
          <v:rect style="width:0;height:1.5pt" o:hralign="center" o:hrstd="t" o:hr="t"/>
        </w:pict>
      </w:r>
    </w:p>
    <w:bookmarkEnd w:id="37"/>
    <w:bookmarkEnd w:id="38"/>
    <w:bookmarkStart w:id="39" w:name="conclusion"/>
    <w:p>
      <w:pPr>
        <w:pStyle w:val="Heading2"/>
      </w:pPr>
      <w:r>
        <w:t xml:space="preserve">Conclusion</w:t>
      </w:r>
    </w:p>
    <w:p>
      <w:pPr>
        <w:pStyle w:val="FirstParagraph"/>
      </w:pPr>
      <w:r>
        <w:t xml:space="preserve">This Product Carbon Footprint analysis for yndqisjkxs provides gnnfkzqttq with a foundational understanding of its environmental impact, calculated in accordance with the GHG Protocol Product Standard and incorporating the 2026 Land Sector and Removals (LSR) update. By addressing the identified hotspots in the use phase, material acquisition, and transportation, gnnfkzqttq can develop targeted strategies to significantly reduce its product\'s carbon footprint. Continued commitment to data accuracy, supplier engagement, and circular economy principles will be essential for driving meaningful sustainability improvements and maintaining compliance with evolving reporting standards.</w:t>
      </w:r>
    </w:p>
    <w:bookmarkEnd w:id="39"/>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yndqisjkxs - gnnfkzqttq</dc:title>
  <dc:creator/>
  <dc:description>Detailed Product Carbon Footprint (PCF) analysis report for product yndqisjkxs by gnnfkzqttq, adhering to GHG Protocol and 2026 LSR Update.</dc:description>
  <dc:language>en</dc:language>
  <cp:keywords/>
  <dcterms:created xsi:type="dcterms:W3CDTF">2026-07-15T06:20:00Z</dcterms:created>
  <dcterms:modified xsi:type="dcterms:W3CDTF">2026-07-15T06:20:00Z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