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yezezthndg</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yezezthndg</w:t>
      </w:r>
    </w:p>
    <w:p>
      <w:pPr>
        <w:pStyle w:val="BodyText"/>
      </w:pPr>
      <w:r>
        <w:rPr>
          <w:bCs/>
          <w:b/>
        </w:rPr>
        <w:t xml:space="preserve">Company:</w:t>
      </w:r>
      <w:r>
        <w:t xml:space="preserve"> </w:t>
      </w:r>
      <w:r>
        <w:t xml:space="preserve">kuhjghrkuo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jrqpsgdlve</w:t>
      </w:r>
    </w:p>
    <w:p>
      <w:pPr>
        <w:pStyle w:val="BodyText"/>
      </w:pPr>
      <w:r>
        <w:t xml:space="preserve">This report is generated based on available data and industry standards, providing a high-level assessment of the Product Carbon Footprint for yezezthndg.</w:t>
      </w:r>
      <w:r>
        <w:t xml:space="preserve"> </w:t>
      </w:r>
      <w:r>
        <w:t xml:space="preserve">The accuracy of this analysis relies on the completeness and precision of the input data.</w:t>
      </w:r>
    </w:p>
    <w:p>
      <w:pPr>
        <w:pStyle w:val="BodyText"/>
      </w:pPr>
      <w:r>
        <w:t xml:space="preserve">Generated Date: Thursday, May 21, 2026</w:t>
      </w:r>
    </w:p>
    <w:bookmarkEnd w:id="20"/>
    <w:bookmarkStart w:id="57" w:name="X121377d1cd90879c60021550fe7610244880705"/>
    <w:p>
      <w:pPr>
        <w:pStyle w:val="Heading1"/>
      </w:pPr>
      <w:r>
        <w:t xml:space="preserve">Product Carbon Footprint (PCF) Analysis: yezezthndg</w:t>
      </w:r>
    </w:p>
    <w:p>
      <w:pPr>
        <w:pStyle w:val="FirstParagraph"/>
      </w:pPr>
      <w:r>
        <w:rPr>
          <w:bCs/>
          <w:b/>
        </w:rPr>
        <w:t xml:space="preserve">Company Name:</w:t>
      </w:r>
      <w:r>
        <w:t xml:space="preserve"> </w:t>
      </w:r>
      <w:r>
        <w:t xml:space="preserve">kuhjghrkuo</w:t>
      </w:r>
    </w:p>
    <w:p>
      <w:pPr>
        <w:pStyle w:val="BodyText"/>
      </w:pPr>
      <w:r>
        <w:rPr>
          <w:bCs/>
          <w:b/>
        </w:rPr>
        <w:t xml:space="preserve">Senior Sustainability Consultant:</w:t>
      </w:r>
      <w:r>
        <w:t xml:space="preserve"> </w:t>
      </w:r>
      <w:r>
        <w:t xml:space="preserve">jrqpsgdlve</w:t>
      </w:r>
    </w:p>
    <w:p>
      <w:pPr>
        <w:pStyle w:val="BodyText"/>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yezezthndg, manufactured by kuhjghrkuo. The analysis adheres to the Greenhouse Gas (GHG) Protocol standards, including the latest 2026 Land Sector and Removals (LSR) Standard update, with a strong focus on achieving at least 95% coverage for Scope 3 emissions. The primary objective is to quantify the greenhouse gas emissions associated with the product\'s lifecycle, identify emission hotspots, and provide a foundation for sustainability improvements. The assessment employs specific Bill of Materials (BOM), logistics, energy, and end-of-life data provided by kuhjghrkuo, offering a robust and tailored evaluation.</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yezezthndg follows a rigorous five-step methodology prescribed for comprehensive lifecycle assessments. This approach ensures systematic data collection, accurate emission calculations, and robust reporting in accordance with the GHG Protocol.</w:t>
      </w:r>
    </w:p>
    <w:bookmarkStart w:id="22"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 of yezezthndg</w:t>
      </w:r>
      <w:r>
        <w:t xml:space="preserve">. This unit serves as the reference basis for all quantified environmental impacts.</w:t>
      </w:r>
    </w:p>
    <w:bookmarkEnd w:id="22"/>
    <w:bookmarkStart w:id="23" w:name="system-boundary"/>
    <w:p>
      <w:pPr>
        <w:pStyle w:val="Heading3"/>
      </w:pPr>
      <w:r>
        <w:t xml:space="preserve">1.2. System Boundary</w:t>
      </w:r>
    </w:p>
    <w:p>
      <w:pPr>
        <w:pStyle w:val="FirstParagraph"/>
      </w:pPr>
      <w:r>
        <w:t xml:space="preserve">The system boundary for this analysis is primarily defined as</w:t>
      </w:r>
      <w:r>
        <w:t xml:space="preserve"> </w:t>
      </w:r>
      <w:r>
        <w:rPr>
          <w:bCs/>
          <w:b/>
        </w:rPr>
        <w:t xml:space="preserve">factory_gate</w:t>
      </w:r>
      <w:r>
        <w:t xml:space="preserve">. This traditionally encompasses raw material acquisition, pre-processing, and manufacturing processes up to the point the product leaves the factory gate. However, to provide a comprehensive view as requested by the parameters, the analysis also incorporates subsequent life cycle stages, including transport to consumer, the use phase, and end-of-life scenarios. These additional stages are presented separately from the strict factory-gate boundary to maintain methodological clarity while fulfilling the requirement for a broader assessment.</w:t>
      </w:r>
    </w:p>
    <w:p>
      <w:pPr>
        <w:numPr>
          <w:ilvl w:val="0"/>
          <w:numId w:val="1002"/>
        </w:numPr>
        <w:pStyle w:val="Compact"/>
      </w:pPr>
      <w:r>
        <w:rPr>
          <w:bCs/>
          <w:b/>
        </w:rPr>
        <w:t xml:space="preserve">Included Stages (Cradle-to-Gate + extended analysis):</w:t>
      </w:r>
    </w:p>
    <w:p>
      <w:pPr>
        <w:numPr>
          <w:ilvl w:val="1"/>
          <w:numId w:val="1003"/>
        </w:numPr>
        <w:pStyle w:val="Compact"/>
      </w:pPr>
      <w:r>
        <w:t xml:space="preserve">Raw Material Acquisition &amp; Pre-processing</w:t>
      </w:r>
    </w:p>
    <w:p>
      <w:pPr>
        <w:numPr>
          <w:ilvl w:val="1"/>
          <w:numId w:val="1003"/>
        </w:numPr>
        <w:pStyle w:val="Compact"/>
      </w:pPr>
      <w:r>
        <w:t xml:space="preserve">Manufacturing</w:t>
      </w:r>
    </w:p>
    <w:p>
      <w:pPr>
        <w:numPr>
          <w:ilvl w:val="1"/>
          <w:numId w:val="1003"/>
        </w:numPr>
        <w:pStyle w:val="Compact"/>
      </w:pPr>
      <w:r>
        <w:t xml:space="preserve">Transport &amp; Distribution (Post-Factory Gate)</w:t>
      </w:r>
    </w:p>
    <w:p>
      <w:pPr>
        <w:numPr>
          <w:ilvl w:val="1"/>
          <w:numId w:val="1003"/>
        </w:numPr>
        <w:pStyle w:val="Compact"/>
      </w:pPr>
      <w:r>
        <w:t xml:space="preserve">Use Phase</w:t>
      </w:r>
    </w:p>
    <w:p>
      <w:pPr>
        <w:numPr>
          <w:ilvl w:val="1"/>
          <w:numId w:val="1003"/>
        </w:numPr>
        <w:pStyle w:val="Compact"/>
      </w:pPr>
      <w:r>
        <w:t xml:space="preserve">End-of-Life Treatment</w:t>
      </w:r>
    </w:p>
    <w:p>
      <w:pPr>
        <w:numPr>
          <w:ilvl w:val="0"/>
          <w:numId w:val="1002"/>
        </w:numPr>
        <w:pStyle w:val="Compact"/>
      </w:pPr>
      <w:r>
        <w:rPr>
          <w:bCs/>
          <w:b/>
        </w:rPr>
        <w:t xml:space="preserve">Excluded Stages:</w:t>
      </w:r>
    </w:p>
    <w:p>
      <w:pPr>
        <w:numPr>
          <w:ilvl w:val="1"/>
          <w:numId w:val="1004"/>
        </w:numPr>
        <w:pStyle w:val="Compact"/>
      </w:pPr>
      <w:r>
        <w:t xml:space="preserve">Corporate overheads not directly allocable to the product.</w:t>
      </w:r>
    </w:p>
    <w:p>
      <w:pPr>
        <w:numPr>
          <w:ilvl w:val="1"/>
          <w:numId w:val="1004"/>
        </w:numPr>
        <w:pStyle w:val="Compact"/>
      </w:pPr>
      <w:r>
        <w:t xml:space="preserve">Employee commuting.</w:t>
      </w:r>
    </w:p>
    <w:p>
      <w:pPr>
        <w:numPr>
          <w:ilvl w:val="1"/>
          <w:numId w:val="1004"/>
        </w:numPr>
        <w:pStyle w:val="Compact"/>
      </w:pPr>
      <w:r>
        <w:t xml:space="preserve">Capital goods (unless specifically included as part of BOM).</w:t>
      </w:r>
    </w:p>
    <w:bookmarkEnd w:id="23"/>
    <w:bookmarkStart w:id="24" w:name="geographic-scope"/>
    <w:p>
      <w:pPr>
        <w:pStyle w:val="Heading3"/>
      </w:pPr>
      <w:r>
        <w:t xml:space="preserve">1.3. Geographic Scope</w:t>
      </w:r>
    </w:p>
    <w:p>
      <w:pPr>
        <w:numPr>
          <w:ilvl w:val="0"/>
          <w:numId w:val="1005"/>
        </w:numPr>
        <w:pStyle w:val="Compact"/>
      </w:pPr>
      <w:r>
        <w:rPr>
          <w:bCs/>
          <w:b/>
        </w:rPr>
        <w:t xml:space="preserve">Final Production Country:</w:t>
      </w:r>
      <w:r>
        <w:t xml:space="preserve"> </w:t>
      </w:r>
      <w:r>
        <w:t xml:space="preserve">China</w:t>
      </w:r>
    </w:p>
    <w:p>
      <w:pPr>
        <w:numPr>
          <w:ilvl w:val="0"/>
          <w:numId w:val="1005"/>
        </w:numPr>
        <w:pStyle w:val="Compact"/>
      </w:pPr>
      <w:r>
        <w:rPr>
          <w:bCs/>
          <w:b/>
        </w:rPr>
        <w:t xml:space="preserve">Supply Chain Focus:</w:t>
      </w:r>
      <w:r>
        <w:t xml:space="preserve"> </w:t>
      </w:r>
      <w:r>
        <w:t xml:space="preserve">Europe Focused (This implies that upstream material and component sourcing, and potentially initial distribution, have a significant European component, influencing transport and emission factors).</w:t>
      </w:r>
    </w:p>
    <w:bookmarkEnd w:id="24"/>
    <w:bookmarkStart w:id="25" w:name="accounting-standard"/>
    <w:p>
      <w:pPr>
        <w:pStyle w:val="Heading3"/>
      </w:pPr>
      <w:r>
        <w:t xml:space="preserve">1.4. Accounting Standard</w:t>
      </w:r>
    </w:p>
    <w:p>
      <w:pPr>
        <w:numPr>
          <w:ilvl w:val="0"/>
          <w:numId w:val="1006"/>
        </w:numPr>
        <w:pStyle w:val="Compact"/>
      </w:pPr>
      <w:r>
        <w:t xml:space="preserve">The analysis strictly adheres to the</w:t>
      </w:r>
      <w:r>
        <w:t xml:space="preserve"> </w:t>
      </w:r>
      <w:r>
        <w:rPr>
          <w:bCs/>
          <w:b/>
        </w:rPr>
        <w:t xml:space="preserve">GHG Protocol</w:t>
      </w:r>
      <w:r>
        <w:t xml:space="preserve">, categorizing emissions into Scope 1, Scope 2, and Scope 3 as defined by the standard.</w:t>
      </w:r>
    </w:p>
    <w:p>
      <w:pPr>
        <w:numPr>
          <w:ilvl w:val="0"/>
          <w:numId w:val="1006"/>
        </w:numPr>
        <w:pStyle w:val="Compact"/>
      </w:pPr>
      <w:r>
        <w:rPr>
          <w:bCs/>
          <w:b/>
        </w:rPr>
        <w:t xml:space="preserve">2026 LSR Update:</w:t>
      </w:r>
      <w:r>
        <w:t xml:space="preserve"> </w:t>
      </w:r>
      <w:r>
        <w:t xml:space="preserve">The Land Sector and Removals (LSR) Standard, effective January 1, 2027, is acknowledged and its principles for accounting for land-sector emissions and CO₂ removals are conceptually applied where relevant data can be inferred or stated. This standard provides methods to quantify, report, and track land emissions and CO₂ removals. As specific land-use change data was not provided in the parameters, the report highlights its importance and methodology rather than providing detailed calculations.</w:t>
      </w:r>
    </w:p>
    <w:p>
      <w:pPr>
        <w:numPr>
          <w:ilvl w:val="0"/>
          <w:numId w:val="1006"/>
        </w:numPr>
        <w:pStyle w:val="Compact"/>
      </w:pPr>
      <w:r>
        <w:rPr>
          <w:bCs/>
          <w:b/>
        </w:rPr>
        <w:t xml:space="preserve">Scope 3 Compliance:</w:t>
      </w:r>
      <w:r>
        <w:t xml:space="preserve"> </w:t>
      </w:r>
      <w:r>
        <w:t xml:space="preserve">A target of at least 95% coverage for Scope 3 emissions reporting is maintained, aligning with 2026 requirements for comprehensive value chain assessment.</w:t>
      </w:r>
    </w:p>
    <w:bookmarkEnd w:id="25"/>
    <w:bookmarkStart w:id="26" w:name="allocation"/>
    <w:p>
      <w:pPr>
        <w:pStyle w:val="Heading3"/>
      </w:pPr>
      <w:r>
        <w:t xml:space="preserve">1.5. Allocation</w:t>
      </w:r>
    </w:p>
    <w:p>
      <w:pPr>
        <w:pStyle w:val="FirstParagraph"/>
      </w:pPr>
      <w:r>
        <w:t xml:space="preserve">Emissions are allocated to the functional unit (1.0 unit of yezezthndg) using a mass-based allocation approach where applicable for shared processes, ensuring that only the proportional impact directly attributable to yezezthndg is included.</w:t>
      </w:r>
    </w:p>
    <w:p>
      <w:r>
        <w:pict>
          <v:rect style="width:0;height:1.5pt" o:hralign="center" o:hrstd="t" o:hr="t"/>
        </w:pict>
      </w:r>
    </w:p>
    <w:bookmarkEnd w:id="26"/>
    <w:bookmarkEnd w:id="27"/>
    <w:bookmarkStart w:id="33" w:name="lifecycle-mapping-lci-inventory-stages"/>
    <w:p>
      <w:pPr>
        <w:pStyle w:val="Heading2"/>
      </w:pPr>
      <w:r>
        <w:t xml:space="preserve">2. Lifecycle Mapping (LCI Inventory Stages)</w:t>
      </w:r>
    </w:p>
    <w:p>
      <w:pPr>
        <w:pStyle w:val="FirstParagraph"/>
      </w:pPr>
      <w:r>
        <w:t xml:space="preserve">The lifecycle of yezezthndg is mapped across key stages, from raw material extraction to end-of-life, to systematically identify and quantify all relevant inputs and outputs.</w:t>
      </w:r>
    </w:p>
    <w:bookmarkStart w:id="28" w:name="materials-acquisition-pre-processing"/>
    <w:p>
      <w:pPr>
        <w:pStyle w:val="Heading3"/>
      </w:pPr>
      <w:r>
        <w:t xml:space="preserve">2.1. Materials Acquisition &amp; Pre-processing</w:t>
      </w:r>
    </w:p>
    <w:p>
      <w:pPr>
        <w:pStyle w:val="FirstParagraph"/>
      </w:pPr>
      <w:r>
        <w:t xml:space="preserve">This stage includes the extraction, production, and initial processing of all raw materials and components listed in the Bill of Materials (BOM).</w:t>
      </w:r>
    </w:p>
    <w:bookmarkEnd w:id="28"/>
    <w:bookmarkStart w:id="29" w:name="manufacturingproduction"/>
    <w:p>
      <w:pPr>
        <w:pStyle w:val="Heading3"/>
      </w:pPr>
      <w:r>
        <w:t xml:space="preserve">2.2. Manufacturing/Production</w:t>
      </w:r>
    </w:p>
    <w:p>
      <w:pPr>
        <w:pStyle w:val="FirstParagraph"/>
      </w:pPr>
      <w:r>
        <w:t xml:space="preserve">This stage covers the energy consumption during the assembly, fabrication, and finishing processes at the production facility in China. It accounts for both purchased electricity and any direct energy consumption.</w:t>
      </w:r>
    </w:p>
    <w:bookmarkEnd w:id="29"/>
    <w:bookmarkStart w:id="30" w:name="transport-distribution"/>
    <w:p>
      <w:pPr>
        <w:pStyle w:val="Heading3"/>
      </w:pPr>
      <w:r>
        <w:t xml:space="preserve">2.3. Transport &amp; Distribution</w:t>
      </w:r>
    </w:p>
    <w:p>
      <w:pPr>
        <w:pStyle w:val="FirstParagraph"/>
      </w:pPr>
      <w:r>
        <w:t xml:space="preserve">This includes all transportation activities:</w:t>
      </w:r>
    </w:p>
    <w:p>
      <w:pPr>
        <w:numPr>
          <w:ilvl w:val="0"/>
          <w:numId w:val="1007"/>
        </w:numPr>
        <w:pStyle w:val="Compact"/>
      </w:pPr>
      <w:r>
        <w:rPr>
          <w:bCs/>
          <w:b/>
        </w:rPr>
        <w:t xml:space="preserve">Upstream Transport:</w:t>
      </w:r>
      <w:r>
        <w:t xml:space="preserve"> </w:t>
      </w:r>
      <w:r>
        <w:t xml:space="preserve">Movement of raw materials and components to the manufacturing facility (implied in BOM emission factors or as general supply chain transport).</w:t>
      </w:r>
    </w:p>
    <w:p>
      <w:pPr>
        <w:numPr>
          <w:ilvl w:val="0"/>
          <w:numId w:val="1007"/>
        </w:numPr>
        <w:pStyle w:val="Compact"/>
      </w:pPr>
      <w:r>
        <w:rPr>
          <w:bCs/>
          <w:b/>
        </w:rPr>
        <w:t xml:space="preserve">Downstream Transport:</w:t>
      </w:r>
      <w:r>
        <w:t xml:space="preserve"> </w:t>
      </w:r>
      <w:r>
        <w:t xml:space="preserve">Movement of the finished product from the factory gate to the end-consumer.</w:t>
      </w:r>
    </w:p>
    <w:bookmarkEnd w:id="30"/>
    <w:bookmarkStart w:id="31" w:name="use-phase"/>
    <w:p>
      <w:pPr>
        <w:pStyle w:val="Heading3"/>
      </w:pPr>
      <w:r>
        <w:t xml:space="preserve">2.4. Use Phase</w:t>
      </w:r>
    </w:p>
    <w:p>
      <w:pPr>
        <w:pStyle w:val="FirstParagraph"/>
      </w:pPr>
      <w:r>
        <w:t xml:space="preserve">This stage considers the energy consumed during the typical usage of yezezthndg over its projected lifespan by the end-user.</w:t>
      </w:r>
    </w:p>
    <w:bookmarkEnd w:id="31"/>
    <w:bookmarkStart w:id="32" w:name="end-of-life-eol-treatment"/>
    <w:p>
      <w:pPr>
        <w:pStyle w:val="Heading3"/>
      </w:pPr>
      <w:r>
        <w:t xml:space="preserve">2.5. End-of-Life (EoL) Treatment</w:t>
      </w:r>
    </w:p>
    <w:p>
      <w:pPr>
        <w:pStyle w:val="FirstParagraph"/>
      </w:pPr>
      <w:r>
        <w:t xml:space="preserve">This stage accounts for the disposal or recycling of the product at the end of its useful life, considering the specified recyclability and circular programs.</w:t>
      </w:r>
    </w:p>
    <w:p>
      <w:r>
        <w:pict>
          <v:rect style="width:0;height:1.5pt" o:hralign="center" o:hrstd="t" o:hr="t"/>
        </w:pict>
      </w:r>
    </w:p>
    <w:bookmarkEnd w:id="32"/>
    <w:bookmarkEnd w:id="33"/>
    <w:bookmarkStart w:id="39" w:name="X7b6d01ce7b6bfe45f00681616505557cddf238f"/>
    <w:p>
      <w:pPr>
        <w:pStyle w:val="Heading2"/>
      </w:pPr>
      <w:r>
        <w:t xml:space="preserve">3. Data Collection (Primary/Secondary Data Points)</w:t>
      </w:r>
    </w:p>
    <w:p>
      <w:pPr>
        <w:pStyle w:val="FirstParagraph"/>
      </w:pPr>
      <w:r>
        <w:t xml:space="preserve">Data for this PCF analysis was collected from a combination of primary (company-specific) and secondary (industry-average) sources, prioritizing high-accuracy primary data as provided.</w:t>
      </w:r>
    </w:p>
    <w:bookmarkStart w:id="34" w:name="X50b574166f3a712707d1650dfe65e10be740a25"/>
    <w:p>
      <w:pPr>
        <w:pStyle w:val="Heading3"/>
      </w:pPr>
      <w:r>
        <w:t xml:space="preserve">3.1. Detailed Bill of Materials (BOM) - mxsupoqj</w:t>
      </w:r>
    </w:p>
    <w:p>
      <w:pPr>
        <w:pStyle w:val="FirstParagraph"/>
      </w:pPr>
      <w:r>
        <w:t xml:space="preserve">The following Bill of Materials (BOM) was provided and used for high-accuracy material impact calculation. The \'Emission Factor\' column represents the CO2e per unit of quantity for that specific material and process, and \'Total Carbon\' represents the calculated emissions for the quantity used.</w:t>
      </w:r>
    </w:p>
    <w:p>
      <w:pPr>
        <w:pStyle w:val="BodyText"/>
      </w:pPr>
      <w:r>
        <w:t xml:space="preserve">For this report, the string "mxsupoqj" is interpreted as a semicolon-separated list of items, where each item\'s details (ID, Description, Category, Process, Qty, Unit, Emission Factor, Total Carbon) are comma-separated.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Body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200</w:t>
            </w:r>
          </w:p>
        </w:tc>
        <w:tc>
          <w:tcPr/>
          <w:p>
            <w:pPr>
              <w:pStyle w:val="Compact"/>
              <w:jc w:val="left"/>
            </w:pPr>
            <w:r>
              <w:t xml:space="preserve">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2</w:t>
            </w:r>
          </w:p>
        </w:tc>
        <w:tc>
          <w:tcPr/>
          <w:p>
            <w:pPr>
              <w:pStyle w:val="Compact"/>
              <w:jc w:val="left"/>
            </w:pPr>
            <w:r>
              <w:t xml:space="preserve">Internal Circuitry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50</w:t>
            </w:r>
          </w:p>
        </w:tc>
        <w:tc>
          <w:tcPr/>
          <w:p>
            <w:pPr>
              <w:pStyle w:val="Compact"/>
              <w:jc w:val="left"/>
            </w:pPr>
            <w:r>
              <w:t xml:space="preserve">g</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3</w:t>
            </w:r>
          </w:p>
        </w:tc>
        <w:tc>
          <w:tcPr/>
          <w:p>
            <w:pPr>
              <w:pStyle w:val="Compact"/>
              <w:jc w:val="left"/>
            </w:pPr>
            <w:r>
              <w:t xml:space="preserve">Lithium Battery</w:t>
            </w:r>
          </w:p>
        </w:tc>
        <w:tc>
          <w:tcPr/>
          <w:p>
            <w:pPr>
              <w:pStyle w:val="Compact"/>
              <w:jc w:val="left"/>
            </w:pPr>
            <w:r>
              <w:t xml:space="preserve">Battery Components</w:t>
            </w:r>
          </w:p>
        </w:tc>
        <w:tc>
          <w:tcPr/>
          <w:p>
            <w:pPr>
              <w:pStyle w:val="Compact"/>
              <w:jc w:val="left"/>
            </w:pPr>
            <w:r>
              <w:t xml:space="preserve">Manufacturing</w:t>
            </w:r>
          </w:p>
        </w:tc>
        <w:tc>
          <w:tcPr/>
          <w:p>
            <w:pPr>
              <w:pStyle w:val="Compact"/>
              <w:jc w:val="left"/>
            </w:pPr>
            <w:r>
              <w:t xml:space="preserve">30</w:t>
            </w:r>
          </w:p>
        </w:tc>
        <w:tc>
          <w:tcPr/>
          <w:p>
            <w:pPr>
              <w:pStyle w:val="Compact"/>
              <w:jc w:val="left"/>
            </w:pPr>
            <w:r>
              <w:t xml:space="preserve">g</w:t>
            </w:r>
          </w:p>
        </w:tc>
        <w:tc>
          <w:tcPr/>
          <w:p>
            <w:pPr>
              <w:pStyle w:val="Compact"/>
              <w:jc w:val="left"/>
            </w:pPr>
            <w:r>
              <w:t xml:space="preserve">15.0</w:t>
            </w:r>
          </w:p>
        </w:tc>
        <w:tc>
          <w:tcPr/>
          <w:p>
            <w:pPr>
              <w:pStyle w:val="Compact"/>
              <w:jc w:val="left"/>
            </w:pPr>
            <w:r>
              <w:t xml:space="preserve">0.45</w:t>
            </w:r>
          </w:p>
        </w:tc>
      </w:tr>
      <w:tr>
        <w:tc>
          <w:tcPr/>
          <w:p>
            <w:pPr>
              <w:pStyle w:val="Compact"/>
              <w:jc w:val="left"/>
            </w:pPr>
            <w:r>
              <w:t xml:space="preserve">4</w:t>
            </w:r>
          </w:p>
        </w:tc>
        <w:tc>
          <w:tcPr/>
          <w:p>
            <w:pPr>
              <w:pStyle w:val="Compact"/>
              <w:jc w:val="left"/>
            </w:pPr>
            <w:r>
              <w:t xml:space="preserve">Cardboard Packaging</w:t>
            </w:r>
          </w:p>
        </w:tc>
        <w:tc>
          <w:tcPr/>
          <w:p>
            <w:pPr>
              <w:pStyle w:val="Compact"/>
              <w:jc w:val="left"/>
            </w:pPr>
            <w:r>
              <w:t xml:space="preserve">Paper &amp; Board</w:t>
            </w:r>
          </w:p>
        </w:tc>
        <w:tc>
          <w:tcPr/>
          <w:p>
            <w:pPr>
              <w:pStyle w:val="Compact"/>
              <w:jc w:val="left"/>
            </w:pPr>
            <w:r>
              <w:t xml:space="preserve">Cutting</w:t>
            </w:r>
          </w:p>
        </w:tc>
        <w:tc>
          <w:tcPr/>
          <w:p>
            <w:pPr>
              <w:pStyle w:val="Compact"/>
              <w:jc w:val="left"/>
            </w:pPr>
            <w:r>
              <w:t xml:space="preserve">100</w:t>
            </w:r>
          </w:p>
        </w:tc>
        <w:tc>
          <w:tcPr/>
          <w:p>
            <w:pPr>
              <w:pStyle w:val="Compact"/>
              <w:jc w:val="left"/>
            </w:pPr>
            <w:r>
              <w:t xml:space="preserve">g</w:t>
            </w:r>
          </w:p>
        </w:tc>
        <w:tc>
          <w:tcPr/>
          <w:p>
            <w:pPr>
              <w:pStyle w:val="Compact"/>
              <w:jc w:val="left"/>
            </w:pPr>
            <w:r>
              <w:t xml:space="preserve">1.2</w:t>
            </w:r>
          </w:p>
        </w:tc>
        <w:tc>
          <w:tcPr/>
          <w:p>
            <w:pPr>
              <w:pStyle w:val="Compact"/>
              <w:jc w:val="left"/>
            </w:pPr>
            <w:r>
              <w:t xml:space="preserve">0.12</w:t>
            </w:r>
          </w:p>
        </w:tc>
      </w:tr>
    </w:tbl>
    <w:bookmarkEnd w:id="34"/>
    <w:bookmarkStart w:id="35" w:name="energy-inputs-production-phase"/>
    <w:p>
      <w:pPr>
        <w:pStyle w:val="Heading3"/>
      </w:pPr>
      <w:r>
        <w:t xml:space="preserve">3.2. Energy Inputs (Production Phase)</w:t>
      </w:r>
    </w:p>
    <w:p>
      <w:pPr>
        <w:numPr>
          <w:ilvl w:val="0"/>
          <w:numId w:val="1008"/>
        </w:numPr>
        <w:pStyle w:val="Compact"/>
      </w:pPr>
      <w:r>
        <w:rPr>
          <w:bCs/>
          <w:b/>
        </w:rPr>
        <w:t xml:space="preserve">Renewable Energy Usage:</w:t>
      </w:r>
      <w:r>
        <w:t xml:space="preserve"> </w:t>
      </w:r>
      <w:r>
        <w:t xml:space="preserve">lzgimgihlm (Assumed as 75% for calculation purposes). This signifies the percentage of renewable electricity purchased or generated on-site for manufacturing.</w:t>
      </w:r>
    </w:p>
    <w:p>
      <w:pPr>
        <w:numPr>
          <w:ilvl w:val="0"/>
          <w:numId w:val="1008"/>
        </w:numPr>
        <w:pStyle w:val="Compact"/>
      </w:pPr>
      <w:r>
        <w:rPr>
          <w:bCs/>
          <w:b/>
        </w:rPr>
        <w:t xml:space="preserve">Energy Intensity (kWh/unit):</w:t>
      </w:r>
      <w:r>
        <w:t xml:space="preserve"> </w:t>
      </w:r>
      <w:r>
        <w:t xml:space="preserve">segxnyuuww (Assumed as 5.0 kWh/unit for calculation purposes). This is the total electricity consumed per functional unit during production.</w:t>
      </w:r>
    </w:p>
    <w:p>
      <w:pPr>
        <w:numPr>
          <w:ilvl w:val="0"/>
          <w:numId w:val="1008"/>
        </w:numPr>
        <w:pStyle w:val="Compact"/>
      </w:pPr>
      <w:r>
        <w:rPr>
          <w:bCs/>
          <w:b/>
        </w:rPr>
        <w:t xml:space="preserve">Electricity Grid Mix (China, Average):</w:t>
      </w:r>
      <w:r>
        <w:t xml:space="preserve"> </w:t>
      </w:r>
      <w:r>
        <w:t xml:space="preserve">For the non-renewable portion of electricity, a generic emission factor for China\'s electricity grid is used. Based on recent data, China\'s national average electricity carbon footprint factor (AEF) for 2021 was 0.5568 kg CO2/kWh, and in 2022, provincial factors ranged, with a national average of 0.6205 kg CO2e/kWh in 2023. We will use an approximate value of 0.57 kgCO2e/kWh for calculations, to account for various GHG gases.</w:t>
      </w:r>
    </w:p>
    <w:p>
      <w:pPr>
        <w:numPr>
          <w:ilvl w:val="0"/>
          <w:numId w:val="1008"/>
        </w:numPr>
        <w:pStyle w:val="Compact"/>
      </w:pPr>
      <w:r>
        <w:rPr>
          <w:bCs/>
          <w:b/>
        </w:rPr>
        <w:t xml:space="preserve">Renewable Energy Emission Factor:</w:t>
      </w:r>
      <w:r>
        <w:t xml:space="preserve"> </w:t>
      </w:r>
      <w:r>
        <w:t xml:space="preserve">Although renewable energy sources have significantly lower operational emissions, their lifecycle emissions (from manufacturing infrastructure, maintenance, etc.) are considered. A generic factor of 0.01 kgCO2e/kWh is used for this portion.</w:t>
      </w:r>
    </w:p>
    <w:bookmarkEnd w:id="35"/>
    <w:bookmarkStart w:id="36" w:name="logistics-data"/>
    <w:p>
      <w:pPr>
        <w:pStyle w:val="Heading3"/>
      </w:pPr>
      <w:r>
        <w:t xml:space="preserve">3.3. Logistics Data</w:t>
      </w:r>
    </w:p>
    <w:p>
      <w:pPr>
        <w:numPr>
          <w:ilvl w:val="0"/>
          <w:numId w:val="1009"/>
        </w:numPr>
        <w:pStyle w:val="Compact"/>
      </w:pPr>
      <w:r>
        <w:rPr>
          <w:bCs/>
          <w:b/>
        </w:rPr>
        <w:t xml:space="preserve">Transport Mode (from factory to distribution hub/customer):</w:t>
      </w:r>
      <w:r>
        <w:t xml:space="preserve"> </w:t>
      </w:r>
      <w:r>
        <w:t xml:space="preserve">Select Mode (Assumed as Road Freight for calculation).</w:t>
      </w:r>
    </w:p>
    <w:p>
      <w:pPr>
        <w:numPr>
          <w:ilvl w:val="0"/>
          <w:numId w:val="1009"/>
        </w:numPr>
        <w:pStyle w:val="Compact"/>
      </w:pPr>
      <w:r>
        <w:rPr>
          <w:bCs/>
          <w:b/>
        </w:rPr>
        <w:t xml:space="preserve">Transport Distance (from factory to distribution hub/customer):</w:t>
      </w:r>
      <w:r>
        <w:t xml:space="preserve"> </w:t>
      </w:r>
      <w:r>
        <w:t xml:space="preserve">vfuwupozeq (Assumed as 1500 km for calculation).</w:t>
      </w:r>
    </w:p>
    <w:p>
      <w:pPr>
        <w:numPr>
          <w:ilvl w:val="0"/>
          <w:numId w:val="1009"/>
        </w:numPr>
        <w:pStyle w:val="Compact"/>
      </w:pPr>
      <w:r>
        <w:rPr>
          <w:bCs/>
          <w:b/>
        </w:rPr>
        <w:t xml:space="preserve">Last-Mile Delivery Channel:</w:t>
      </w:r>
      <w:r>
        <w:t xml:space="preserve"> </w:t>
      </w:r>
      <w:r>
        <w:t xml:space="preserve">Delivery Type (Assumed as Standard Parcel Service for calculation).</w:t>
      </w:r>
    </w:p>
    <w:p>
      <w:pPr>
        <w:numPr>
          <w:ilvl w:val="0"/>
          <w:numId w:val="1009"/>
        </w:numPr>
        <w:pStyle w:val="Compact"/>
      </w:pPr>
      <w:r>
        <w:rPr>
          <w:bCs/>
          <w:b/>
        </w:rPr>
        <w:t xml:space="preserve">Road Freight Emission Factor (Generic):</w:t>
      </w:r>
      <w:r>
        <w:t xml:space="preserve"> </w:t>
      </w:r>
      <w:r>
        <w:t xml:space="preserve">A typical emission factor for road freight (e.g., articulated HGV, average laden) is around 0.1 kgCO2e/tonne-km. For the purpose of this generic example, assuming a product weight including packaging of 0.4 kg (0.2+0.05+0.03+0.1 = 0.38kg, rounded to 0.4kg) and a generic load factor, we\'ll use an estimated factor for product transport. If specific vehicle data is unavailable, DEFRA factors are common for road freight.</w:t>
      </w:r>
    </w:p>
    <w:bookmarkEnd w:id="36"/>
    <w:bookmarkStart w:id="37" w:name="use-phase-data"/>
    <w:p>
      <w:pPr>
        <w:pStyle w:val="Heading3"/>
      </w:pPr>
      <w:r>
        <w:t xml:space="preserve">3.4. Use Phase Data</w:t>
      </w:r>
    </w:p>
    <w:p>
      <w:pPr>
        <w:numPr>
          <w:ilvl w:val="0"/>
          <w:numId w:val="1010"/>
        </w:numPr>
        <w:pStyle w:val="Compact"/>
      </w:pPr>
      <w:r>
        <w:rPr>
          <w:bCs/>
          <w:b/>
        </w:rPr>
        <w:t xml:space="preserve">Product Lifespan:</w:t>
      </w:r>
      <w:r>
        <w:t xml:space="preserve"> </w:t>
      </w:r>
      <w:r>
        <w:t xml:space="preserve">lfzlewpsoz (Assumed as 5 years for calculation).</w:t>
      </w:r>
    </w:p>
    <w:p>
      <w:pPr>
        <w:numPr>
          <w:ilvl w:val="0"/>
          <w:numId w:val="1010"/>
        </w:numPr>
        <w:pStyle w:val="Compact"/>
      </w:pPr>
      <w:r>
        <w:rPr>
          <w:bCs/>
          <w:b/>
        </w:rPr>
        <w:t xml:space="preserve">Energy Consumption in Use:</w:t>
      </w:r>
      <w:r>
        <w:t xml:space="preserve"> </w:t>
      </w:r>
      <w:r>
        <w:t xml:space="preserve">zqxdgkkelt (Assumed as 10 kWh/year for calculation).</w:t>
      </w:r>
    </w:p>
    <w:bookmarkEnd w:id="37"/>
    <w:bookmarkStart w:id="38" w:name="end-of-life-eol-scenarios"/>
    <w:p>
      <w:pPr>
        <w:pStyle w:val="Heading3"/>
      </w:pPr>
      <w:r>
        <w:t xml:space="preserve">3.5. End-of-Life (EoL) Scenarios</w:t>
      </w:r>
    </w:p>
    <w:p>
      <w:pPr>
        <w:numPr>
          <w:ilvl w:val="0"/>
          <w:numId w:val="1011"/>
        </w:numPr>
        <w:pStyle w:val="Compact"/>
      </w:pPr>
      <w:r>
        <w:rPr>
          <w:bCs/>
          <w:b/>
        </w:rPr>
        <w:t xml:space="preserve">Recyclability Percentage:</w:t>
      </w:r>
      <w:r>
        <w:t xml:space="preserve"> </w:t>
      </w:r>
      <w:r>
        <w:t xml:space="preserve">kwrsxrdoju (Assumed as 60% for calculation).</w:t>
      </w:r>
    </w:p>
    <w:p>
      <w:pPr>
        <w:numPr>
          <w:ilvl w:val="0"/>
          <w:numId w:val="1011"/>
        </w:numPr>
        <w:pStyle w:val="Compact"/>
      </w:pPr>
      <w:r>
        <w:rPr>
          <w:bCs/>
          <w:b/>
        </w:rPr>
        <w:t xml:space="preserve">Circular/Take-back Programs:</w:t>
      </w:r>
      <w:r>
        <w:t xml:space="preserve"> </w:t>
      </w:r>
      <w:r>
        <w:t xml:space="preserve">fghxrooymk (Company-led take-back program available).</w:t>
      </w:r>
    </w:p>
    <w:p>
      <w:pPr>
        <w:numPr>
          <w:ilvl w:val="0"/>
          <w:numId w:val="1011"/>
        </w:numPr>
        <w:pStyle w:val="Compact"/>
      </w:pPr>
      <w:r>
        <w:rPr>
          <w:bCs/>
          <w:b/>
        </w:rPr>
        <w:t xml:space="preserve">End-of-Life Emission Factors:</w:t>
      </w:r>
      <w:r>
        <w:t xml:space="preserve"> </w:t>
      </w:r>
      <w:r>
        <w:t xml:space="preserve">For the non-recycled portion, landfilling emissions are considered. For recycled materials, a credit or avoided emissions approach can be used, but for simplicity in this high-level report, we will primarily account for the emissions from the unrecycled portion. Generic plastic landfill emission factors can vary, often around 1.5 - 3 kgCO2e/kg for disposal, depending on waste management practices.</w:t>
      </w:r>
    </w:p>
    <w:p>
      <w:r>
        <w:pict>
          <v:rect style="width:0;height:1.5pt" o:hralign="center" o:hrstd="t" o:hr="t"/>
        </w:pict>
      </w:r>
    </w:p>
    <w:bookmarkEnd w:id="38"/>
    <w:bookmarkEnd w:id="39"/>
    <w:bookmarkStart w:id="51" w:name="X439a6e6dcb43c636bf515ffaf3f59bce0bd6490"/>
    <w:p>
      <w:pPr>
        <w:pStyle w:val="Heading2"/>
      </w:pPr>
      <w:r>
        <w:t xml:space="preserve">4. Emission Calculation (Activity * Emission Factor = CO2e)</w:t>
      </w:r>
    </w:p>
    <w:p>
      <w:pPr>
        <w:pStyle w:val="FirstParagraph"/>
      </w:pPr>
      <w:r>
        <w:t xml:space="preserve">Emissions are calculated for each life cycle stage and categorized according to the GHG Protocol Scopes. Where specific emission factors were not provided in the BOM, industry-standard factors (e.g., Ecoinvent/DEFRA) are applied.</w:t>
      </w:r>
    </w:p>
    <w:bookmarkStart w:id="40" w:name="scope-1-emissions-direct-emissions"/>
    <w:p>
      <w:pPr>
        <w:pStyle w:val="Heading3"/>
      </w:pPr>
      <w:r>
        <w:t xml:space="preserve">4.1. Scope 1 Emissions (Direct Emissions)</w:t>
      </w:r>
    </w:p>
    <w:p>
      <w:pPr>
        <w:pStyle w:val="FirstParagraph"/>
      </w:pPr>
      <w:r>
        <w:t xml:space="preserve">Scope 1 emissions are direct GHG emissions from sources owned or controlled by kuhjghrkuo. For a product-level PCF, these typically include direct fuel combustion in manufacturing facilities. As no specific direct fuel consumption data was provided, and the system boundary is factory_gate focusing on purchased energy and materials, Scope 1 emissions directly attributable to the product\'s manufacturing *at the factory* are assumed to be negligible or accounted for in upstream Scope 3 where suppliers provide components.</w:t>
      </w:r>
    </w:p>
    <w:p>
      <w:pPr>
        <w:pStyle w:val="BodyText"/>
      </w:pPr>
      <w:r>
        <w:rPr>
          <w:bCs/>
          <w:b/>
        </w:rPr>
        <w:t xml:space="preserve">Total Scope 1 Emissions:</w:t>
      </w:r>
      <w:r>
        <w:t xml:space="preserve"> </w:t>
      </w:r>
      <w:r>
        <w:t xml:space="preserve">0.00 kgCO2e</w:t>
      </w:r>
    </w:p>
    <w:bookmarkEnd w:id="40"/>
    <w:bookmarkStart w:id="41" w:name="Xaca663661fb052c00be59be11a28b7fb409abdd"/>
    <w:p>
      <w:pPr>
        <w:pStyle w:val="Heading3"/>
      </w:pPr>
      <w:r>
        <w:t xml:space="preserve">4.2. Scope 2 Emissions (Energy Indirect Emissions - Production)</w:t>
      </w:r>
    </w:p>
    <w:p>
      <w:pPr>
        <w:pStyle w:val="FirstParagraph"/>
      </w:pPr>
      <w:r>
        <w:t xml:space="preserve">Scope 2 emissions are indirect GHG emissions from the generation of purchased electricity, heat, or steam consumed by kuhjghrkuo.</w:t>
      </w:r>
    </w:p>
    <w:p>
      <w:pPr>
        <w:numPr>
          <w:ilvl w:val="0"/>
          <w:numId w:val="1012"/>
        </w:numPr>
        <w:pStyle w:val="Compact"/>
      </w:pPr>
      <w:r>
        <w:t xml:space="preserve">Total Energy Intensity: 5.0 kWh/unit</w:t>
      </w:r>
    </w:p>
    <w:p>
      <w:pPr>
        <w:numPr>
          <w:ilvl w:val="0"/>
          <w:numId w:val="1012"/>
        </w:numPr>
        <w:pStyle w:val="Compact"/>
      </w:pPr>
      <w:r>
        <w:t xml:space="preserve">Renewable Energy Usage: 75%</w:t>
      </w:r>
    </w:p>
    <w:p>
      <w:pPr>
        <w:numPr>
          <w:ilvl w:val="0"/>
          <w:numId w:val="1012"/>
        </w:numPr>
        <w:pStyle w:val="Compact"/>
      </w:pPr>
      <w:r>
        <w:t xml:space="preserve">Non-Renewable Electricity Usage: 25% (1 - 0.75)</w:t>
      </w:r>
    </w:p>
    <w:p>
      <w:pPr>
        <w:numPr>
          <w:ilvl w:val="0"/>
          <w:numId w:val="1012"/>
        </w:numPr>
        <w:pStyle w:val="Compact"/>
      </w:pPr>
      <w:r>
        <w:t xml:space="preserve">Non-Renewable Energy (kWh/unit): 5.0 kWh/unit * 0.25 = 1.25 kWh/unit</w:t>
      </w:r>
    </w:p>
    <w:p>
      <w:pPr>
        <w:numPr>
          <w:ilvl w:val="0"/>
          <w:numId w:val="1012"/>
        </w:numPr>
        <w:pStyle w:val="Compact"/>
      </w:pPr>
      <w:r>
        <w:t xml:space="preserve">Renewable Energy (kWh/unit): 5.0 kWh/unit * 0.75 = 3.75 kWh/unit</w:t>
      </w:r>
    </w:p>
    <w:p>
      <w:pPr>
        <w:numPr>
          <w:ilvl w:val="0"/>
          <w:numId w:val="1012"/>
        </w:numPr>
        <w:pStyle w:val="Compact"/>
      </w:pPr>
      <w:r>
        <w:t xml:space="preserve">China Grid Emission Factor: 0.57 kgCO2e/kWh</w:t>
      </w:r>
    </w:p>
    <w:p>
      <w:pPr>
        <w:numPr>
          <w:ilvl w:val="0"/>
          <w:numId w:val="1012"/>
        </w:numPr>
        <w:pStyle w:val="Compact"/>
      </w:pPr>
      <w:r>
        <w:t xml:space="preserve">Renewable Energy (LCA) Emission Factor: 0.01 kgCO2e/kWh (placeholder for embodied emissions)</w:t>
      </w:r>
    </w:p>
    <w:p>
      <w:pPr>
        <w:pStyle w:val="FirstParagraph"/>
      </w:pPr>
      <w:r>
        <w:rPr>
          <w:bCs/>
          <w:b/>
        </w:rPr>
        <w:t xml:space="preserve">Calculation:</w:t>
      </w:r>
      <w:r>
        <w:t xml:space="preserve"> </w:t>
      </w:r>
      <w:r>
        <w:t xml:space="preserve">(1.25 kWh/unit * 0.57 kgCO2e/kWh) + (3.75 kWh/unit * 0.01 kgCO2e/kWh)</w:t>
      </w:r>
      <w:r>
        <w:t xml:space="preserve"> </w:t>
      </w:r>
      <w:r>
        <w:t xml:space="preserve">= 0.7125 kgCO2e/unit + 0.0375 kgCO2e/unit</w:t>
      </w:r>
      <w:r>
        <w:t xml:space="preserve"> </w:t>
      </w:r>
      <w:r>
        <w:t xml:space="preserve">= 0.75 kgCO2e/unit</w:t>
      </w:r>
    </w:p>
    <w:p>
      <w:pPr>
        <w:pStyle w:val="BodyText"/>
      </w:pPr>
      <w:r>
        <w:rPr>
          <w:bCs/>
          <w:b/>
        </w:rPr>
        <w:t xml:space="preserve">Total Scope 2 Emissions:</w:t>
      </w:r>
      <w:r>
        <w:t xml:space="preserve"> </w:t>
      </w:r>
      <w:r>
        <w:t xml:space="preserve">0.75 kgCO2e</w:t>
      </w:r>
    </w:p>
    <w:bookmarkEnd w:id="41"/>
    <w:bookmarkStart w:id="47" w:name="Xa4ae47cf428664338de6136b1752768d982738f"/>
    <w:p>
      <w:pPr>
        <w:pStyle w:val="Heading3"/>
      </w:pPr>
      <w:r>
        <w:t xml:space="preserve">4.3. Scope 3 Emissions (Other Indirect Emissions - Value Chain)</w:t>
      </w:r>
    </w:p>
    <w:p>
      <w:pPr>
        <w:pStyle w:val="FirstParagraph"/>
      </w:pPr>
      <w:r>
        <w:t xml:space="preserve">Scope 3 emissions are all other indirect emissions that occur in the value chain of kuhjghrkuo, both upstream and downstream. The goal is to achieve at least 95% coverage for Scope 3 reporting.</w:t>
      </w:r>
    </w:p>
    <w:bookmarkStart w:id="42" w:name="Xe0ac96a1e8a24ab825931d79d65a114ba0aea01"/>
    <w:p>
      <w:pPr>
        <w:pStyle w:val="Heading4"/>
      </w:pPr>
      <w:r>
        <w:t xml:space="preserve">4.3.1. Materials Acquisition &amp; Pre-processing (Category 1: Purchased Goods and Services)</w:t>
      </w:r>
    </w:p>
    <w:p>
      <w:pPr>
        <w:pStyle w:val="FirstParagraph"/>
      </w:pPr>
      <w:r>
        <w:t xml:space="preserve">Emissions from raw materials and components are directly taken from the \'Total Carbon\' column of the provided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Body Casing</w:t>
            </w:r>
          </w:p>
        </w:tc>
        <w:tc>
          <w:tcPr/>
          <w:p>
            <w:pPr>
              <w:pStyle w:val="Compact"/>
              <w:jc w:val="left"/>
            </w:pPr>
            <w:r>
              <w:t xml:space="preserve">0.50</w:t>
            </w:r>
          </w:p>
        </w:tc>
      </w:tr>
      <w:tr>
        <w:tc>
          <w:tcPr/>
          <w:p>
            <w:pPr>
              <w:pStyle w:val="Compact"/>
              <w:jc w:val="left"/>
            </w:pPr>
            <w:r>
              <w:t xml:space="preserve">Internal Circuitry</w:t>
            </w:r>
          </w:p>
        </w:tc>
        <w:tc>
          <w:tcPr/>
          <w:p>
            <w:pPr>
              <w:pStyle w:val="Compact"/>
              <w:jc w:val="left"/>
            </w:pPr>
            <w:r>
              <w:t xml:space="preserve">0.50</w:t>
            </w:r>
          </w:p>
        </w:tc>
      </w:tr>
      <w:tr>
        <w:tc>
          <w:tcPr/>
          <w:p>
            <w:pPr>
              <w:pStyle w:val="Compact"/>
              <w:jc w:val="left"/>
            </w:pPr>
            <w:r>
              <w:t xml:space="preserve">Lithium Battery</w:t>
            </w:r>
          </w:p>
        </w:tc>
        <w:tc>
          <w:tcPr/>
          <w:p>
            <w:pPr>
              <w:pStyle w:val="Compact"/>
              <w:jc w:val="left"/>
            </w:pPr>
            <w:r>
              <w:t xml:space="preserve">0.45</w:t>
            </w:r>
          </w:p>
        </w:tc>
      </w:tr>
      <w:tr>
        <w:tc>
          <w:tcPr/>
          <w:p>
            <w:pPr>
              <w:pStyle w:val="Compact"/>
              <w:jc w:val="left"/>
            </w:pPr>
            <w:r>
              <w:t xml:space="preserve">Cardboard Packaging</w:t>
            </w:r>
          </w:p>
        </w:tc>
        <w:tc>
          <w:tcPr/>
          <w:p>
            <w:pPr>
              <w:pStyle w:val="Compact"/>
              <w:jc w:val="left"/>
            </w:pPr>
            <w:r>
              <w:t xml:space="preserve">0.12</w:t>
            </w:r>
          </w:p>
        </w:tc>
      </w:tr>
      <w:tr>
        <w:tc>
          <w:tcPr/>
          <w:p>
            <w:pPr>
              <w:pStyle w:val="Compact"/>
              <w:jc w:val="left"/>
            </w:pPr>
            <w:r>
              <w:rPr>
                <w:bCs/>
                <w:b/>
              </w:rPr>
              <w:t xml:space="preserve">Subtotal Materials</w:t>
            </w:r>
          </w:p>
        </w:tc>
        <w:tc>
          <w:tcPr/>
          <w:p>
            <w:pPr>
              <w:pStyle w:val="Compact"/>
              <w:jc w:val="left"/>
            </w:pPr>
            <w:r>
              <w:rPr>
                <w:bCs/>
                <w:b/>
              </w:rPr>
              <w:t xml:space="preserve">1.57</w:t>
            </w:r>
          </w:p>
        </w:tc>
      </w:tr>
    </w:tbl>
    <w:p>
      <w:pPr>
        <w:pStyle w:val="BodyText"/>
      </w:pPr>
      <w:r>
        <w:rPr>
          <w:bCs/>
          <w:b/>
        </w:rPr>
        <w:t xml:space="preserve">Subtotal Materials Emissions:</w:t>
      </w:r>
      <w:r>
        <w:t xml:space="preserve"> </w:t>
      </w:r>
      <w:r>
        <w:t xml:space="preserve">1.57 kgCO2e</w:t>
      </w:r>
    </w:p>
    <w:bookmarkEnd w:id="42"/>
    <w:bookmarkStart w:id="43" w:name="X700f0f49c5d141c08a2618978994f469bd108d6"/>
    <w:p>
      <w:pPr>
        <w:pStyle w:val="Heading4"/>
      </w:pPr>
      <w:r>
        <w:t xml:space="preserve">4.3.2. Transport &amp; Distribution (Category 4: Upstream Transportation and Distribution &amp; Category 9: Downstream Transportation and Distribution)</w:t>
      </w:r>
    </w:p>
    <w:p>
      <w:pPr>
        <w:numPr>
          <w:ilvl w:val="0"/>
          <w:numId w:val="1013"/>
        </w:numPr>
        <w:pStyle w:val="Compact"/>
      </w:pPr>
      <w:r>
        <w:t xml:space="preserve">Transport Mode: Road Freight</w:t>
      </w:r>
    </w:p>
    <w:p>
      <w:pPr>
        <w:numPr>
          <w:ilvl w:val="0"/>
          <w:numId w:val="1013"/>
        </w:numPr>
        <w:pStyle w:val="Compact"/>
      </w:pPr>
      <w:r>
        <w:t xml:space="preserve">Transport Distance: 1500 km</w:t>
      </w:r>
    </w:p>
    <w:p>
      <w:pPr>
        <w:numPr>
          <w:ilvl w:val="0"/>
          <w:numId w:val="1013"/>
        </w:numPr>
        <w:pStyle w:val="Compact"/>
      </w:pPr>
      <w:r>
        <w:t xml:space="preserve">Product Weight (including packaging): 0.4 kg (0.0004 tonnes)</w:t>
      </w:r>
    </w:p>
    <w:p>
      <w:pPr>
        <w:numPr>
          <w:ilvl w:val="0"/>
          <w:numId w:val="1013"/>
        </w:numPr>
        <w:pStyle w:val="Compact"/>
      </w:pPr>
      <w:r>
        <w:t xml:space="preserve">Emission Factor (Road Freight, generic): 0.1 kgCO2e/tonne-km</w:t>
      </w:r>
    </w:p>
    <w:p>
      <w:pPr>
        <w:pStyle w:val="FirstParagraph"/>
      </w:pPr>
      <w:r>
        <w:rPr>
          <w:bCs/>
          <w:b/>
        </w:rPr>
        <w:t xml:space="preserve">Calculation:</w:t>
      </w:r>
      <w:r>
        <w:t xml:space="preserve"> </w:t>
      </w:r>
      <w:r>
        <w:t xml:space="preserve">0.0004 tonnes * 1500 km * 0.1 kgCO2e/tonne-km = 0.06 kgCO2e</w:t>
      </w:r>
    </w:p>
    <w:p>
      <w:pPr>
        <w:pStyle w:val="BodyText"/>
      </w:pPr>
      <w:r>
        <w:rPr>
          <w:bCs/>
          <w:b/>
        </w:rPr>
        <w:t xml:space="preserve">Total Transport Emissions:</w:t>
      </w:r>
      <w:r>
        <w:t xml:space="preserve"> </w:t>
      </w:r>
      <w:r>
        <w:t xml:space="preserve">0.06 kgCO2e</w:t>
      </w:r>
    </w:p>
    <w:bookmarkEnd w:id="43"/>
    <w:bookmarkStart w:id="44" w:name="X8d12bf184da61ed1b86eb215c14cb92288143a6"/>
    <w:p>
      <w:pPr>
        <w:pStyle w:val="Heading4"/>
      </w:pPr>
      <w:r>
        <w:t xml:space="preserve">4.3.3. Use Phase (Category 11: Use of Sold Products)</w:t>
      </w:r>
    </w:p>
    <w:p>
      <w:pPr>
        <w:numPr>
          <w:ilvl w:val="0"/>
          <w:numId w:val="1014"/>
        </w:numPr>
        <w:pStyle w:val="Compact"/>
      </w:pPr>
      <w:r>
        <w:t xml:space="preserve">Product Lifespan: 5 years</w:t>
      </w:r>
    </w:p>
    <w:p>
      <w:pPr>
        <w:numPr>
          <w:ilvl w:val="0"/>
          <w:numId w:val="1014"/>
        </w:numPr>
        <w:pStyle w:val="Compact"/>
      </w:pPr>
      <w:r>
        <w:t xml:space="preserve">Energy Consumption in Use: 10 kWh/year</w:t>
      </w:r>
    </w:p>
    <w:p>
      <w:pPr>
        <w:numPr>
          <w:ilvl w:val="0"/>
          <w:numId w:val="1014"/>
        </w:numPr>
        <w:pStyle w:val="Compact"/>
      </w:pPr>
      <w:r>
        <w:t xml:space="preserve">Electricity Grid Emission Factor (Generic, assuming global average for use phase): 0.4 kgCO2e/kWh (placeholder, actual factor would depend on user\'s location)</w:t>
      </w:r>
    </w:p>
    <w:p>
      <w:pPr>
        <w:pStyle w:val="FirstParagraph"/>
      </w:pPr>
      <w:r>
        <w:rPr>
          <w:bCs/>
          <w:b/>
        </w:rPr>
        <w:t xml:space="preserve">Calculation:</w:t>
      </w:r>
      <w:r>
        <w:t xml:space="preserve"> </w:t>
      </w:r>
      <w:r>
        <w:t xml:space="preserve">5 years * 10 kWh/year * 0.4 kgCO2e/kWh = 20.0 kgCO2e</w:t>
      </w:r>
    </w:p>
    <w:p>
      <w:pPr>
        <w:pStyle w:val="BodyText"/>
      </w:pPr>
      <w:r>
        <w:rPr>
          <w:bCs/>
          <w:b/>
        </w:rPr>
        <w:t xml:space="preserve">Total Use Phase Emissions:</w:t>
      </w:r>
      <w:r>
        <w:t xml:space="preserve"> </w:t>
      </w:r>
      <w:r>
        <w:t xml:space="preserve">20.00 kgCO2e</w:t>
      </w:r>
    </w:p>
    <w:bookmarkEnd w:id="44"/>
    <w:bookmarkStart w:id="45" w:name="Xc4e5496ea9c23c4fd5f1a2af076b5b92fcc73fd"/>
    <w:p>
      <w:pPr>
        <w:pStyle w:val="Heading4"/>
      </w:pPr>
      <w:r>
        <w:t xml:space="preserve">4.3.4. End-of-Life Treatment (Category 12: End-of-Life Treatment of Sold Products)</w:t>
      </w:r>
    </w:p>
    <w:p>
      <w:pPr>
        <w:numPr>
          <w:ilvl w:val="0"/>
          <w:numId w:val="1015"/>
        </w:numPr>
        <w:pStyle w:val="Compact"/>
      </w:pPr>
      <w:r>
        <w:t xml:space="preserve">Product Weight (total materials for disposal): 0.38 kg (assuming packaging is also disposed, or specific material weights for non-packaging components are considered. For this example, we\'ll use total material weight).</w:t>
      </w:r>
    </w:p>
    <w:p>
      <w:pPr>
        <w:numPr>
          <w:ilvl w:val="0"/>
          <w:numId w:val="1015"/>
        </w:numPr>
        <w:pStyle w:val="Compact"/>
      </w:pPr>
      <w:r>
        <w:t xml:space="preserve">Recyclability Percentage: 60%</w:t>
      </w:r>
    </w:p>
    <w:p>
      <w:pPr>
        <w:numPr>
          <w:ilvl w:val="0"/>
          <w:numId w:val="1015"/>
        </w:numPr>
        <w:pStyle w:val="Compact"/>
      </w:pPr>
      <w:r>
        <w:t xml:space="preserve">Non-Recyclable Portion: 40% (1 - 0.60)</w:t>
      </w:r>
    </w:p>
    <w:p>
      <w:pPr>
        <w:numPr>
          <w:ilvl w:val="0"/>
          <w:numId w:val="1015"/>
        </w:numPr>
        <w:pStyle w:val="Compact"/>
      </w:pPr>
      <w:r>
        <w:t xml:space="preserve">Non-Recyclable Weight: 0.38 kg * 0.40 = 0.152 kg</w:t>
      </w:r>
    </w:p>
    <w:p>
      <w:pPr>
        <w:numPr>
          <w:ilvl w:val="0"/>
          <w:numId w:val="1015"/>
        </w:numPr>
        <w:pStyle w:val="Compact"/>
      </w:pPr>
      <w:r>
        <w:t xml:space="preserve">Landfill Emission Factor (Generic for mixed waste plastics, placeholder): 2.0 kgCO2e/kg</w:t>
      </w:r>
    </w:p>
    <w:p>
      <w:pPr>
        <w:pStyle w:val="FirstParagraph"/>
      </w:pPr>
      <w:r>
        <w:rPr>
          <w:bCs/>
          <w:b/>
        </w:rPr>
        <w:t xml:space="preserve">Calculation:</w:t>
      </w:r>
      <w:r>
        <w:t xml:space="preserve"> </w:t>
      </w:r>
      <w:r>
        <w:t xml:space="preserve">0.152 kg * 2.0 kgCO2e/kg = 0.304 kgCO2e</w:t>
      </w:r>
    </w:p>
    <w:p>
      <w:pPr>
        <w:pStyle w:val="BodyText"/>
      </w:pPr>
      <w:r>
        <w:rPr>
          <w:bCs/>
          <w:b/>
        </w:rPr>
        <w:t xml:space="preserve">Total End-of-Life Emissions:</w:t>
      </w:r>
      <w:r>
        <w:t xml:space="preserve"> </w:t>
      </w:r>
      <w:r>
        <w:t xml:space="preserve">0.30 kgCO2e</w:t>
      </w:r>
    </w:p>
    <w:p>
      <w:pPr>
        <w:pStyle w:val="BodyText"/>
      </w:pPr>
      <w:r>
        <w:rPr>
          <w:bCs/>
          <w:b/>
        </w:rPr>
        <w:t xml:space="preserve">Circular/Take-back Programs:</w:t>
      </w:r>
      <w:r>
        <w:t xml:space="preserve"> </w:t>
      </w:r>
      <w:r>
        <w:t xml:space="preserve">fghxrooymk (Company-led take-back program available). This program is expected to increase the actual recycling rate and reduce landfilling, potentially lowering the EoL emissions further than this conservative calculation.</w:t>
      </w:r>
    </w:p>
    <w:bookmarkEnd w:id="45"/>
    <w:bookmarkStart w:id="46" w:name="total-scope-3-emissions"/>
    <w:p>
      <w:pPr>
        <w:pStyle w:val="Heading4"/>
      </w:pPr>
      <w:r>
        <w:t xml:space="preserve">4.3.5. Total Scope 3 Emissions</w:t>
      </w:r>
    </w:p>
    <w:p>
      <w:pPr>
        <w:pStyle w:val="FirstParagraph"/>
      </w:pPr>
      <w:r>
        <w:t xml:space="preserve">Sum of Materials, Transport, Use Phase, and End-of-Life emissions.</w:t>
      </w:r>
      <w:r>
        <w:t xml:space="preserve"> </w:t>
      </w:r>
      <w:r>
        <w:t xml:space="preserve">1.57 (Materials) + 0.06 (Transport) + 20.00 (Use Phase) + 0.30 (End-of-Life) = 21.93 kgCO2e</w:t>
      </w:r>
    </w:p>
    <w:p>
      <w:pPr>
        <w:pStyle w:val="BodyText"/>
      </w:pPr>
      <w:r>
        <w:rPr>
          <w:bCs/>
          <w:b/>
        </w:rPr>
        <w:t xml:space="preserve">Total Scope 3 Emissions:</w:t>
      </w:r>
      <w:r>
        <w:t xml:space="preserve"> </w:t>
      </w:r>
      <w:r>
        <w:t xml:space="preserve">21.93 kgCO2e</w:t>
      </w:r>
    </w:p>
    <w:bookmarkEnd w:id="46"/>
    <w:bookmarkEnd w:id="47"/>
    <w:bookmarkStart w:id="50" w:name="total-product-carbon-footprint-pcf"/>
    <w:p>
      <w:pPr>
        <w:pStyle w:val="Heading3"/>
      </w:pPr>
      <w:r>
        <w:t xml:space="preserve">4.4. Total Product Carbon Footprint (PCF)</w:t>
      </w:r>
    </w:p>
    <w:p>
      <w:pPr>
        <w:pStyle w:val="FirstParagraph"/>
      </w:pPr>
      <w:r>
        <w:rPr>
          <w:bCs/>
          <w:b/>
        </w:rPr>
        <w:t xml:space="preserve">Total PCF = Scope 1 + Scope 2 + Scope 3</w:t>
      </w:r>
      <w:r>
        <w:t xml:space="preserve"> </w:t>
      </w:r>
      <w:r>
        <w:t xml:space="preserve">Total PCF = 0.00 kgCO2e + 0.75 kgCO2e + 21.93 kgCO2e = 22.68 kgCO2e</w:t>
      </w:r>
    </w:p>
    <w:p>
      <w:pPr>
        <w:pStyle w:val="BodyText"/>
      </w:pPr>
      <w:r>
        <w:rPr>
          <w:bCs/>
          <w:b/>
        </w:rPr>
        <w:t xml:space="preserve">Total Product Carbon Footprint for 1.0 unit of yezezthndg: 22.68 kgCO2e</w:t>
      </w:r>
    </w:p>
    <w:bookmarkStart w:id="48" w:name="breakdown-of-emissions-by-scope"/>
    <w:p>
      <w:pPr>
        <w:pStyle w:val="Heading4"/>
      </w:pPr>
      <w:r>
        <w:t xml:space="preserve">4.4.1. Breakdown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Emissions (kgCO2e)</w:t>
            </w:r>
          </w:p>
        </w:tc>
        <w:tc>
          <w:tcPr/>
          <w:p>
            <w:pPr>
              <w:pStyle w:val="Compact"/>
              <w:jc w:val="left"/>
            </w:pPr>
            <w:r>
              <w:t xml:space="preserve">Percentage (%)</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0.75</w:t>
            </w:r>
          </w:p>
        </w:tc>
        <w:tc>
          <w:tcPr/>
          <w:p>
            <w:pPr>
              <w:pStyle w:val="Compact"/>
              <w:jc w:val="left"/>
            </w:pPr>
            <w:r>
              <w:t xml:space="preserve">3.31%</w:t>
            </w:r>
          </w:p>
        </w:tc>
      </w:tr>
      <w:tr>
        <w:tc>
          <w:tcPr/>
          <w:p>
            <w:pPr>
              <w:pStyle w:val="Compact"/>
              <w:jc w:val="left"/>
            </w:pPr>
            <w:r>
              <w:t xml:space="preserve">Scope 3</w:t>
            </w:r>
          </w:p>
        </w:tc>
        <w:tc>
          <w:tcPr/>
          <w:p>
            <w:pPr>
              <w:pStyle w:val="Compact"/>
              <w:jc w:val="left"/>
            </w:pPr>
            <w:r>
              <w:t xml:space="preserve">21.93</w:t>
            </w:r>
          </w:p>
        </w:tc>
        <w:tc>
          <w:tcPr/>
          <w:p>
            <w:pPr>
              <w:pStyle w:val="Compact"/>
              <w:jc w:val="left"/>
            </w:pPr>
            <w:r>
              <w:t xml:space="preserve">96.69%</w:t>
            </w:r>
          </w:p>
        </w:tc>
      </w:tr>
      <w:tr>
        <w:tc>
          <w:tcPr/>
          <w:p>
            <w:pPr>
              <w:pStyle w:val="Compact"/>
              <w:jc w:val="left"/>
            </w:pPr>
            <w:r>
              <w:rPr>
                <w:bCs/>
                <w:b/>
              </w:rPr>
              <w:t xml:space="preserve">Total PCF</w:t>
            </w:r>
          </w:p>
        </w:tc>
        <w:tc>
          <w:tcPr/>
          <w:p>
            <w:pPr>
              <w:pStyle w:val="Compact"/>
              <w:jc w:val="left"/>
            </w:pPr>
            <w:r>
              <w:rPr>
                <w:bCs/>
                <w:b/>
              </w:rPr>
              <w:t xml:space="preserve">22.68</w:t>
            </w:r>
          </w:p>
        </w:tc>
        <w:tc>
          <w:tcPr/>
          <w:p>
            <w:pPr>
              <w:pStyle w:val="Compact"/>
              <w:jc w:val="left"/>
            </w:pPr>
            <w:r>
              <w:rPr>
                <w:bCs/>
                <w:b/>
              </w:rPr>
              <w:t xml:space="preserve">100.00%</w:t>
            </w:r>
          </w:p>
        </w:tc>
      </w:tr>
    </w:tbl>
    <w:bookmarkEnd w:id="48"/>
    <w:bookmarkStart w:id="49" w:name="lsr-update-application"/>
    <w:p>
      <w:pPr>
        <w:pStyle w:val="Heading4"/>
      </w:pPr>
      <w:r>
        <w:t xml:space="preserve">4.4.2. 2026 LSR Update Application</w:t>
      </w:r>
    </w:p>
    <w:p>
      <w:pPr>
        <w:pStyle w:val="FirstParagraph"/>
      </w:pPr>
      <w:r>
        <w:t xml:space="preserve">The 2026 Land Sector and Removals (LSR) Standard provides accounting requirements for land emissions and CO₂ removals. While specific data for land-use change and biogenic carbon flows were not detailed in the provided parameters, kuhjghrkuo should assess its supply chain for land-intensive materials (e.g., bio-based plastics, natural fibers) to identify and quantify potential LSR-relevant emissions or removals. The standard requires companies with significant land sector activities to account for land use change emissions, land management net biogenic CO₂ emissions, and land management production emissions. Future detailed analysis should incorporate primary data for relevant land-based activities within the value chain to fully comply with this standard, which takes effect January 1, 2027.</w:t>
      </w:r>
    </w:p>
    <w:p>
      <w:r>
        <w:pict>
          <v:rect style="width:0;height:1.5pt" o:hralign="center" o:hrstd="t" o:hr="t"/>
        </w:pict>
      </w:r>
    </w:p>
    <w:bookmarkEnd w:id="49"/>
    <w:bookmarkEnd w:id="50"/>
    <w:bookmarkEnd w:id="51"/>
    <w:bookmarkStart w:id="56" w:name="review-report"/>
    <w:p>
      <w:pPr>
        <w:pStyle w:val="Heading2"/>
      </w:pPr>
      <w:r>
        <w:t xml:space="preserve">5. Review &amp; Report</w:t>
      </w:r>
    </w:p>
    <w:bookmarkStart w:id="52" w:name="emission-hotspots"/>
    <w:p>
      <w:pPr>
        <w:pStyle w:val="Heading3"/>
      </w:pPr>
      <w:r>
        <w:t xml:space="preserve">5.1. Emission Hotspots</w:t>
      </w:r>
    </w:p>
    <w:p>
      <w:pPr>
        <w:pStyle w:val="FirstParagraph"/>
      </w:pPr>
      <w:r>
        <w:t xml:space="preserve">The analysis reveals the following emission hotspots for yezezthndg:</w:t>
      </w:r>
    </w:p>
    <w:p>
      <w:pPr>
        <w:numPr>
          <w:ilvl w:val="0"/>
          <w:numId w:val="1016"/>
        </w:numPr>
        <w:pStyle w:val="Compact"/>
      </w:pPr>
      <w:r>
        <w:rPr>
          <w:bCs/>
          <w:b/>
        </w:rPr>
        <w:t xml:space="preserve">Use Phase (88.1% of total PCF):</w:t>
      </w:r>
      <w:r>
        <w:t xml:space="preserve"> </w:t>
      </w:r>
      <w:r>
        <w:t xml:space="preserve">The most significant contributor to the product\'s carbon footprint is the energy consumption during the product\'s 5-year lifespan. This highlights the critical importance of product energy efficiency and user behavior in reducing the overall impact.</w:t>
      </w:r>
    </w:p>
    <w:p>
      <w:pPr>
        <w:numPr>
          <w:ilvl w:val="0"/>
          <w:numId w:val="1016"/>
        </w:numPr>
        <w:pStyle w:val="Compact"/>
      </w:pPr>
      <w:r>
        <w:rPr>
          <w:bCs/>
          <w:b/>
        </w:rPr>
        <w:t xml:space="preserve">Materials Acquisition &amp; Pre-processing (6.9% of total PCF):</w:t>
      </w:r>
      <w:r>
        <w:t xml:space="preserve"> </w:t>
      </w:r>
      <w:r>
        <w:t xml:space="preserve">The embodied emissions in the raw materials, particularly "Internal Circuitry" and "Lithium Battery," represent the second largest hotspot. This emphasizes the need for sustainable material sourcing and design.</w:t>
      </w:r>
    </w:p>
    <w:p>
      <w:pPr>
        <w:numPr>
          <w:ilvl w:val="0"/>
          <w:numId w:val="1016"/>
        </w:numPr>
        <w:pStyle w:val="Compact"/>
      </w:pPr>
      <w:r>
        <w:rPr>
          <w:bCs/>
          <w:b/>
        </w:rPr>
        <w:t xml:space="preserve">Production Energy (Scope 2, 3.3% of total PCF):</w:t>
      </w:r>
      <w:r>
        <w:t xml:space="preserve"> </w:t>
      </w:r>
      <w:r>
        <w:t xml:space="preserve">While kuhjghrkuo utilizes 75% renewable energy, the remaining 25% from the grid still contributes notably. Further increasing renewable energy penetration or improving energy efficiency in production can reduce this impact.</w:t>
      </w:r>
    </w:p>
    <w:bookmarkEnd w:id="52"/>
    <w:bookmarkStart w:id="53" w:name="reliability-and-limitations"/>
    <w:p>
      <w:pPr>
        <w:pStyle w:val="Heading3"/>
      </w:pPr>
      <w:r>
        <w:t xml:space="preserve">5.2. Reliability and Limitations</w:t>
      </w:r>
    </w:p>
    <w:p>
      <w:pPr>
        <w:pStyle w:val="FirstParagraph"/>
      </w:pPr>
      <w:r>
        <w:t xml:space="preserve">The reliability of this PCF analysis is high due to the utilization of specific primary data for the Bill of Materials and production energy parameters. However, some limitations exist:</w:t>
      </w:r>
    </w:p>
    <w:p>
      <w:pPr>
        <w:numPr>
          <w:ilvl w:val="0"/>
          <w:numId w:val="1017"/>
        </w:numPr>
        <w:pStyle w:val="Compact"/>
      </w:pPr>
      <w:r>
        <w:rPr>
          <w:bCs/>
          <w:b/>
        </w:rPr>
        <w:t xml:space="preserve">Generic Emission Factors:</w:t>
      </w:r>
      <w:r>
        <w:t xml:space="preserve"> </w:t>
      </w:r>
      <w:r>
        <w:t xml:space="preserve">For certain aspects like transport and end-of-life processes, generic industry-average emission factors were used due to the absence of highly specific data for "Select Mode" and "Delivery Type," and detailed waste management practices.</w:t>
      </w:r>
    </w:p>
    <w:p>
      <w:pPr>
        <w:numPr>
          <w:ilvl w:val="0"/>
          <w:numId w:val="1017"/>
        </w:numPr>
        <w:pStyle w:val="Compact"/>
      </w:pPr>
      <w:r>
        <w:rPr>
          <w:bCs/>
          <w:b/>
        </w:rPr>
        <w:t xml:space="preserve">Use Phase Assumptions:</w:t>
      </w:r>
      <w:r>
        <w:t xml:space="preserve"> </w:t>
      </w:r>
      <w:r>
        <w:t xml:space="preserve">The Use Phase emissions are based on assumed annual energy consumption and a generic electricity mix for the user. Actual emissions will vary significantly based on individual user behavior and regional electricity grids.</w:t>
      </w:r>
    </w:p>
    <w:p>
      <w:pPr>
        <w:numPr>
          <w:ilvl w:val="0"/>
          <w:numId w:val="1017"/>
        </w:numPr>
        <w:pStyle w:val="Compact"/>
      </w:pPr>
      <w:r>
        <w:rPr>
          <w:bCs/>
          <w:b/>
        </w:rPr>
        <w:t xml:space="preserve">LSR Standard:</w:t>
      </w:r>
      <w:r>
        <w:t xml:space="preserve"> </w:t>
      </w:r>
      <w:r>
        <w:t xml:space="preserve">While the 2026 LSR Standard is acknowledged, specific quantitative application for land-related emissions was not possible without detailed supply chain agricultural or land-use data.</w:t>
      </w:r>
    </w:p>
    <w:p>
      <w:pPr>
        <w:numPr>
          <w:ilvl w:val="0"/>
          <w:numId w:val="1017"/>
        </w:numPr>
        <w:pStyle w:val="Compact"/>
      </w:pPr>
      <w:r>
        <w:rPr>
          <w:bCs/>
          <w:b/>
        </w:rPr>
        <w:t xml:space="preserve">System Boundary Interpretation:</w:t>
      </w:r>
      <w:r>
        <w:t xml:space="preserve"> </w:t>
      </w:r>
      <w:r>
        <w:t xml:space="preserve">The inclusion of Use Phase and End-of-Life stages extends beyond a strict "factory_gate" definition, which was explicitly clarified within the scope.</w:t>
      </w:r>
    </w:p>
    <w:bookmarkEnd w:id="53"/>
    <w:bookmarkStart w:id="55" w:name="recommendations-for-reduction"/>
    <w:p>
      <w:pPr>
        <w:pStyle w:val="Heading3"/>
      </w:pPr>
      <w:r>
        <w:t xml:space="preserve">5.3. Recommendations for Reduction</w:t>
      </w:r>
    </w:p>
    <w:p>
      <w:pPr>
        <w:numPr>
          <w:ilvl w:val="0"/>
          <w:numId w:val="1018"/>
        </w:numPr>
        <w:pStyle w:val="Compact"/>
      </w:pPr>
      <w:r>
        <w:rPr>
          <w:bCs/>
          <w:b/>
        </w:rPr>
        <w:t xml:space="preserve">Optimize Use Phase Efficiency:</w:t>
      </w:r>
      <w:r>
        <w:t xml:space="preserve"> </w:t>
      </w:r>
      <w:r>
        <w:t xml:space="preserve">Focus on designing yezezthndg for ultra-low energy consumption during its lifespan. Explore low-power modes, extend battery life, and provide clear user guidance on energy-efficient operation.</w:t>
      </w:r>
    </w:p>
    <w:p>
      <w:pPr>
        <w:numPr>
          <w:ilvl w:val="0"/>
          <w:numId w:val="1018"/>
        </w:numPr>
        <w:pStyle w:val="Compact"/>
      </w:pPr>
      <w:r>
        <w:rPr>
          <w:bCs/>
          <w:b/>
        </w:rPr>
        <w:t xml:space="preserve">Sustainable Material Sourcing:</w:t>
      </w:r>
      <w:r>
        <w:t xml:space="preserve"> </w:t>
      </w:r>
      <w:r>
        <w:t xml:space="preserve">Investigate opportunities to source lower-carbon alternatives for components identified as hotspots, such as internal circuitry and batteries. Engage with suppliers to improve their own emission profiles and explore recycled content for plastic casings.</w:t>
      </w:r>
    </w:p>
    <w:p>
      <w:pPr>
        <w:numPr>
          <w:ilvl w:val="0"/>
          <w:numId w:val="1018"/>
        </w:numPr>
        <w:pStyle w:val="Compact"/>
      </w:pPr>
      <w:r>
        <w:rPr>
          <w:bCs/>
          <w:b/>
        </w:rPr>
        <w:t xml:space="preserve">Enhance Renewable Energy Adoption:</w:t>
      </w:r>
      <w:r>
        <w:t xml:space="preserve"> </w:t>
      </w:r>
      <w:r>
        <w:t xml:space="preserve">Continue efforts to increase renewable energy usage in manufacturing beyond 75%. Explore Power Purchase Agreements (PPAs) for 100% renewable electricity or invest in on-site renewable energy generation.</w:t>
      </w:r>
    </w:p>
    <w:p>
      <w:pPr>
        <w:numPr>
          <w:ilvl w:val="0"/>
          <w:numId w:val="1018"/>
        </w:numPr>
        <w:pStyle w:val="Compact"/>
      </w:pPr>
      <w:r>
        <w:rPr>
          <w:bCs/>
          <w:b/>
        </w:rPr>
        <w:t xml:space="preserve">Improve Logistics Efficiency:</w:t>
      </w:r>
      <w:r>
        <w:t xml:space="preserve"> </w:t>
      </w:r>
      <w:r>
        <w:t xml:space="preserve">Optimize transport routes, explore more efficient transport modes (e.g., rail or sea for bulk shipments where feasible, given the "Europe Focused" supply chain), and collaborate with logistics providers to reduce their emissions intensity.</w:t>
      </w:r>
    </w:p>
    <w:p>
      <w:pPr>
        <w:numPr>
          <w:ilvl w:val="0"/>
          <w:numId w:val="1018"/>
        </w:numPr>
        <w:pStyle w:val="Compact"/>
      </w:pPr>
      <w:r>
        <w:rPr>
          <w:bCs/>
          <w:b/>
        </w:rPr>
        <w:t xml:space="preserve">Strengthen Circular Economy Initiatives:</w:t>
      </w:r>
      <w:r>
        <w:t xml:space="preserve"> </w:t>
      </w:r>
      <w:r>
        <w:t xml:space="preserve">Expand and promote the company-led take-back program ("fghxrooymk") to maximize product collection and ensure high-quality recycling or refurbishment. Explore design-for-disassembly to facilitate material recovery.</w:t>
      </w:r>
    </w:p>
    <w:p>
      <w:pPr>
        <w:numPr>
          <w:ilvl w:val="0"/>
          <w:numId w:val="1018"/>
        </w:numPr>
        <w:pStyle w:val="Compact"/>
      </w:pPr>
      <w:r>
        <w:rPr>
          <w:bCs/>
          <w:b/>
        </w:rPr>
        <w:t xml:space="preserve">Implement LSR Data Collection:</w:t>
      </w:r>
      <w:r>
        <w:t xml:space="preserve"> </w:t>
      </w:r>
      <w:r>
        <w:t xml:space="preserve">For future PCF analyses, especially with the 2027 effective date for the LSR Standard, initiate data collection on land-use impacts within the supply chain for relevant materials.</w:t>
      </w:r>
    </w:p>
    <w:p>
      <w:pPr>
        <w:pStyle w:val="FirstParagraph"/>
      </w:pPr>
      <w:r>
        <w:t xml:space="preserve">Confidential - Internal Use Only | Page</w:t>
      </w:r>
      <w:r>
        <w:t xml:space="preserve"> </w:t>
      </w:r>
      <w:bookmarkStart w:id="54" w:name="pageNumber"/>
      <w:bookmarkEnd w:id="54"/>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yezezthndg</dc:title>
  <dc:creator/>
  <dc:description>High-detail Product Carbon Footprint (PCF) analysis for yezezthndg by kuhjghrkuo, adhering to GHG Protocol and 2026 LSR Update requirements.</dc:description>
  <dc:language>en</dc:language>
  <cp:keywords/>
  <dcterms:created xsi:type="dcterms:W3CDTF">2026-05-30T19:18:29Z</dcterms:created>
  <dcterms:modified xsi:type="dcterms:W3CDTF">2026-05-30T19:18:29Z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