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ydfynqsfnh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ydfynqsfnh</w:t>
      </w:r>
    </w:p>
    <w:p>
      <w:pPr>
        <w:pStyle w:val="BodyText"/>
      </w:pPr>
      <w:r>
        <w:rPr>
          <w:bCs/>
          <w:b/>
        </w:rPr>
        <w:t xml:space="preserve">Company:</w:t>
      </w:r>
      <w:r>
        <w:t xml:space="preserve"> </w:t>
      </w:r>
      <w:r>
        <w:t xml:space="preserve">efeojygsqt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jzgyinjuhs</w:t>
      </w:r>
    </w:p>
    <w:p>
      <w:pPr>
        <w:pStyle w:val="BodyText"/>
      </w:pPr>
      <w:r>
        <w:t xml:space="preserve">This report is generated based on available data and industry standards, providing an estimate of the product\'s carbon footprint.</w:t>
      </w:r>
    </w:p>
    <w:bookmarkEnd w:id="20"/>
    <w:bookmarkStart w:id="52" w:name="Xaff3f065eb4e5375cfd69ece6a6dbb28a61cfb6"/>
    <w:p>
      <w:pPr>
        <w:pStyle w:val="Heading1"/>
      </w:pPr>
      <w:r>
        <w:t xml:space="preserve">Product Carbon Footprint Analysis Report for ydfynqsfnh</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ydfynqsfnh manufactured by efeojygsqt. Conducted by jzgyinjuhs, Senior Sustainability Consultant, this analysis adheres to the Greenhouse Gas (GHG) Protocol and incorporates the latest 2026 updates, including the Land Sector and Removals (LSR) Standard and stringent Scope 3 compliance requirements. The PCF quantifies all relevant greenhouse gas (GHG) emissions across the product\'s lifecycle, from raw material extraction through manufacturing, transport, use, and end-of-life, expressed in kilograms of CO2 equivalent (kg CO2e) per functional unit (1.0 unit). This assessment aims to identify emission hotspots and inform strategic decarbonization efforts for efeojygsqt.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ydfynqsfnh has been calculated following a life cycle assessment (LCA) approach, specifically focusing on greenhouse gas emissions, in alignment with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ydfynqsfnh</w:t>
      </w:r>
      <w:r>
        <w:t xml:space="preserve">, representing the base for all emission calculations and comparisons.</w:t>
      </w:r>
    </w:p>
    <w:bookmarkEnd w:id="22"/>
    <w:bookmarkStart w:id="23" w:name="system-boundary"/>
    <w:p>
      <w:pPr>
        <w:pStyle w:val="Heading3"/>
      </w:pPr>
      <w:r>
        <w:t xml:space="preserve">1.2. System Boundary</w:t>
      </w:r>
    </w:p>
    <w:p>
      <w:pPr>
        <w:pStyle w:val="FirstParagraph"/>
      </w:pPr>
      <w:r>
        <w:t xml:space="preserve">The system boundary for this PCF analysis is "cradle-to-grave", encompassing all stages from raw material acquisition, manufacturing, transportation, use, to the end-of-life disposal or recycling of the product. While the initial "factory_gate" system boundary focuses on emissions up to the point the product leaves the factory, the comprehensive analysis extends to cover the full lifecycle as required for a complete PCF.</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the internationally recognized standard for measuring and managing greenhouse gas emissions.</w:t>
      </w:r>
    </w:p>
    <w:bookmarkEnd w:id="25"/>
    <w:bookmarkStart w:id="26" w:name="allocation"/>
    <w:p>
      <w:pPr>
        <w:pStyle w:val="Heading3"/>
      </w:pPr>
      <w:r>
        <w:t xml:space="preserve">1.5. Allocation</w:t>
      </w:r>
    </w:p>
    <w:p>
      <w:pPr>
        <w:pStyle w:val="FirstParagraph"/>
      </w:pPr>
      <w:r>
        <w:t xml:space="preserve">Emissions are allocated directly to the product ydfynqsfnh where possible. For shared processes or infrastructure, appropriate allocation methods (e.g., mass-based, economic, or physical causality) would be applied. For the purpose of this illustrative report, direct allocation to the functional unit is assumed based on the provided data structure.</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 ydfynqsfnh has been mapped into key stages, and data has been collected (or assumed for illustrative purposes) for each stage to build the Life Cycle Inventory (LCI).</w:t>
      </w:r>
    </w:p>
    <w:bookmarkStart w:id="29" w:name="X8eb417b1d69ed95d424efd6693ee2abc8f0ff03"/>
    <w:p>
      <w:pPr>
        <w:pStyle w:val="Heading3"/>
      </w:pPr>
      <w:r>
        <w:t xml:space="preserve">2.1. Raw Material Acquisition &amp; Pre-processing (Scope 3, Category 1: Purchased Goods and Services)</w:t>
      </w:r>
    </w:p>
    <w:p>
      <w:pPr>
        <w:pStyle w:val="FirstParagraph"/>
      </w:pPr>
      <w:r>
        <w:t xml:space="preserve">The following detailed Bill of Materials (BOM) for ydfynqsfnh, represented by the placeholder `zfqitfvh`, provides the basis for calculating material impacts. Emission factors are derived from industry-standard databases such as Ecoinvent and DEFRA, reflecting European supply chain focus.</w:t>
      </w:r>
    </w:p>
    <w:bookmarkStart w:id="28" w:name="Xc24442276d483d45482c6c9058ccfc586da2d52"/>
    <w:p>
      <w:pPr>
        <w:pStyle w:val="Heading4"/>
      </w:pPr>
      <w:r>
        <w:t xml:space="preserve">Detailed Bill of Materials (BOM) for ydfynqsfnh</w:t>
      </w:r>
    </w:p>
    <w:p>
      <w:pPr>
        <w:pStyle w:val="FirstParagraph"/>
      </w:pPr>
      <w:r>
        <w:rPr>
          <w:iCs/>
          <w:i/>
        </w:rPr>
        <w:t xml:space="preserve">(Note: The actual BOM `zfqitfvh` is a placeholder string. The following table provides an illustrative example based on the specified format: ID, Description, Category, Process, Qty, Unit, Emission Factor (kgCO2e/unit), Total Carbon (calculated for illustrative purposes). Actual calculations would use parsed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r>
              <w:t xml:space="preserve"> </w:t>
            </w:r>
            <w:r>
              <w:rPr>
                <w:vertAlign w:val="superscript"/>
              </w:rPr>
              <w:t xml:space="preserve">1</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Metal Component</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r>
              <w:t xml:space="preserve"> </w:t>
            </w:r>
            <w:r>
              <w:rPr>
                <w:vertAlign w:val="superscript"/>
              </w:rPr>
              <w:t xml:space="preserve">1</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r>
              <w:t xml:space="preserve"> </w:t>
            </w:r>
            <w:r>
              <w:rPr>
                <w:vertAlign w:val="superscript"/>
              </w:rPr>
              <w:t xml:space="preserve">1</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Cutting/Folding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r>
              <w:t xml:space="preserve"> </w:t>
            </w:r>
            <w:r>
              <w:rPr>
                <w:vertAlign w:val="superscript"/>
              </w:rPr>
              <w:t xml:space="preserve">1</w:t>
            </w:r>
          </w:p>
        </w:tc>
        <w:tc>
          <w:tcPr/>
          <w:p>
            <w:pPr>
              <w:pStyle w:val="Compact"/>
              <w:jc w:val="left"/>
            </w:pPr>
            <w:r>
              <w:t xml:space="preserve">0.12</w:t>
            </w:r>
          </w:p>
        </w:tc>
      </w:tr>
      <w:tr>
        <w:tc>
          <w:tcPr>
            <w:gridSpan w:val="7"/>
          </w:tcPr>
          <w:p>
            <w:pPr>
              <w:pStyle w:val="Compact"/>
              <w:jc w:val="left"/>
            </w:pPr>
            <w:r>
              <w:t xml:space="preserve">Total Material Emissions (kgCO2e)</w:t>
            </w:r>
          </w:p>
        </w:tc>
        <w:tc>
          <w:tcPr/>
          <w:p>
            <w:pPr>
              <w:pStyle w:val="Compact"/>
              <w:jc w:val="left"/>
            </w:pPr>
            <w:r>
              <w:t xml:space="preserve">4.47</w:t>
            </w:r>
          </w:p>
        </w:tc>
      </w:tr>
    </w:tbl>
    <w:p>
      <w:pPr>
        <w:pStyle w:val="BodyText"/>
      </w:pPr>
      <w:r>
        <w:rPr>
          <w:vertAlign w:val="superscript"/>
        </w:rPr>
        <w:t xml:space="preserve">1</w:t>
      </w:r>
      <w:r>
        <w:t xml:space="preserve"> </w:t>
      </w:r>
      <w:r>
        <w:t xml:space="preserve">Illustrative emission factors based on general Ecoinvent/DEFRA ranges for respective material categories.</w:t>
      </w:r>
    </w:p>
    <w:bookmarkEnd w:id="28"/>
    <w:bookmarkEnd w:id="29"/>
    <w:bookmarkStart w:id="30" w:name="X3241f046defb0a0f468775f6c343f5c3165eed8"/>
    <w:p>
      <w:pPr>
        <w:pStyle w:val="Heading3"/>
      </w:pPr>
      <w:r>
        <w:t xml:space="preserve">2.2. Manufacturing / Production (Scope 1 &amp; 2, partially Scope 3)</w:t>
      </w:r>
    </w:p>
    <w:p>
      <w:pPr>
        <w:pStyle w:val="FirstParagraph"/>
      </w:pPr>
      <w:r>
        <w:t xml:space="preserve">The manufacturing process for ydfynqsfnh takes place in China. Key energy inputs are considered here.</w:t>
      </w:r>
    </w:p>
    <w:p>
      <w:pPr>
        <w:numPr>
          <w:ilvl w:val="0"/>
          <w:numId w:val="1002"/>
        </w:numPr>
        <w:pStyle w:val="Compact"/>
      </w:pPr>
      <w:r>
        <w:rPr>
          <w:bCs/>
          <w:b/>
        </w:rPr>
        <w:t xml:space="preserve">Energy Intensity (kWh/unit):</w:t>
      </w:r>
      <w:r>
        <w:t xml:space="preserve"> </w:t>
      </w:r>
      <w:r>
        <w:t xml:space="preserve">`tdvxoqjiiy` (assumed 1.5 kWh/unit for calculation)</w:t>
      </w:r>
    </w:p>
    <w:p>
      <w:pPr>
        <w:numPr>
          <w:ilvl w:val="0"/>
          <w:numId w:val="1002"/>
        </w:numPr>
        <w:pStyle w:val="Compact"/>
      </w:pPr>
      <w:r>
        <w:rPr>
          <w:bCs/>
          <w:b/>
        </w:rPr>
        <w:t xml:space="preserve">Renewable Energy Usage:</w:t>
      </w:r>
      <w:r>
        <w:t xml:space="preserve"> </w:t>
      </w:r>
      <w:r>
        <w:t xml:space="preserve">`rxeuiwzpln` (assumed 50% for calculation)</w:t>
      </w:r>
    </w:p>
    <w:p>
      <w:pPr>
        <w:pStyle w:val="FirstParagraph"/>
      </w:pPr>
      <w:r>
        <w:t xml:space="preserve">Assuming a China grid mix emission factor of 0.577 kgCO2e/kWh for non-renewable electricity and a near-zero factor for renewable electricity.</w:t>
      </w:r>
    </w:p>
    <w:p>
      <w:pPr>
        <w:pStyle w:val="BodyText"/>
      </w:pPr>
      <w:r>
        <w:rPr>
          <w:iCs/>
          <w:i/>
        </w:rPr>
        <w:t xml:space="preserve">(Note: Specific Scope 1 emissions, such as direct fuel combustion from owned/controlled sources, are assumed negligible for a typical product assembly line or are aggregated into Scope 2 for purchased energy if relevant to process heating/cooling.)</w:t>
      </w:r>
    </w:p>
    <w:bookmarkEnd w:id="30"/>
    <w:bookmarkStart w:id="31" w:name="X267a9d4e01632d4209f60d4182f3de86db7a7f0"/>
    <w:p>
      <w:pPr>
        <w:pStyle w:val="Heading3"/>
      </w:pPr>
      <w:r>
        <w:t xml:space="preserve">2.3. Transport &amp; Distribution (Scope 3, Category 4 &amp; 9)</w:t>
      </w:r>
    </w:p>
    <w:p>
      <w:pPr>
        <w:pStyle w:val="FirstParagraph"/>
      </w:pPr>
      <w:r>
        <w:t xml:space="preserve">Logistics data for both upstream (raw materials to factory) and downstream (finished product to customer) transport are incorporated.</w:t>
      </w:r>
    </w:p>
    <w:p>
      <w:pPr>
        <w:numPr>
          <w:ilvl w:val="0"/>
          <w:numId w:val="1003"/>
        </w:numPr>
        <w:pStyle w:val="Compact"/>
      </w:pPr>
      <w:r>
        <w:rPr>
          <w:bCs/>
          <w:b/>
        </w:rPr>
        <w:t xml:space="preserve">Primary Transport Mode (Select Mode):</w:t>
      </w:r>
      <w:r>
        <w:t xml:space="preserve"> </w:t>
      </w:r>
      <w:r>
        <w:t xml:space="preserve">Road Freight (Lorry, &gt;32 metric ton, diesel, EURO 5).</w:t>
      </w:r>
    </w:p>
    <w:p>
      <w:pPr>
        <w:numPr>
          <w:ilvl w:val="0"/>
          <w:numId w:val="1003"/>
        </w:numPr>
        <w:pStyle w:val="Compact"/>
      </w:pPr>
      <w:r>
        <w:rPr>
          <w:bCs/>
          <w:b/>
        </w:rPr>
        <w:t xml:space="preserve">Transport Distance (yoogjekplf):</w:t>
      </w:r>
      <w:r>
        <w:t xml:space="preserve"> </w:t>
      </w:r>
      <w:r>
        <w:t xml:space="preserve">Assumed 1,500 km for raw materials from Europe to China, and 500 km for finished product distribution within Europe.</w:t>
      </w:r>
    </w:p>
    <w:p>
      <w:pPr>
        <w:numPr>
          <w:ilvl w:val="0"/>
          <w:numId w:val="1003"/>
        </w:numPr>
        <w:pStyle w:val="Compact"/>
      </w:pPr>
      <w:r>
        <w:rPr>
          <w:bCs/>
          <w:b/>
        </w:rPr>
        <w:t xml:space="preserve">Last-Mile Delivery Channel (Delivery Type):</w:t>
      </w:r>
      <w:r>
        <w:t xml:space="preserve"> </w:t>
      </w:r>
      <w:r>
        <w:t xml:space="preserve">Parcel Service (home delivery).</w:t>
      </w:r>
    </w:p>
    <w:p>
      <w:pPr>
        <w:pStyle w:val="FirstParagraph"/>
      </w:pPr>
      <w:r>
        <w:t xml:space="preserve">Representative emission factors for road freight (e.g., ~0.08 kg CO2e/tonne-km for heavy-duty truck) and parcel delivery (~0.3 kg CO2e/parcel) are used for illustration.</w:t>
      </w:r>
    </w:p>
    <w:bookmarkEnd w:id="31"/>
    <w:bookmarkStart w:id="32"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active life significantly contribute to its footprint.</w:t>
      </w:r>
    </w:p>
    <w:p>
      <w:pPr>
        <w:numPr>
          <w:ilvl w:val="0"/>
          <w:numId w:val="1004"/>
        </w:numPr>
        <w:pStyle w:val="Compact"/>
      </w:pPr>
      <w:r>
        <w:rPr>
          <w:bCs/>
          <w:b/>
        </w:rPr>
        <w:t xml:space="preserve">Product Lifespan (kxhpgqpqnx):</w:t>
      </w:r>
      <w:r>
        <w:t xml:space="preserve"> </w:t>
      </w:r>
      <w:r>
        <w:t xml:space="preserve">Assumed 5 years.</w:t>
      </w:r>
    </w:p>
    <w:p>
      <w:pPr>
        <w:numPr>
          <w:ilvl w:val="0"/>
          <w:numId w:val="1004"/>
        </w:numPr>
        <w:pStyle w:val="Compact"/>
      </w:pPr>
      <w:r>
        <w:rPr>
          <w:bCs/>
          <w:b/>
        </w:rPr>
        <w:t xml:space="preserve">Energy Consumption in Use (urgxizxnen):</w:t>
      </w:r>
      <w:r>
        <w:t xml:space="preserve"> </w:t>
      </w:r>
      <w:r>
        <w:t xml:space="preserve">Assumed 10 kWh/year.</w:t>
      </w:r>
    </w:p>
    <w:p>
      <w:pPr>
        <w:pStyle w:val="FirstParagraph"/>
      </w:pPr>
      <w:r>
        <w:t xml:space="preserve">Electricity grid mix for Europe (as supply chain focus is Europe, and product use likely occurs there) is assumed for use phase calculations. A representative European grid emission factor (e.g., ~0.25 kgCO2e/kWh) will be used for calculation.</w:t>
      </w:r>
    </w:p>
    <w:bookmarkEnd w:id="32"/>
    <w:bookmarkStart w:id="33" w:name="X9982929b618de862c11111658ccce8db3e98553"/>
    <w:p>
      <w:pPr>
        <w:pStyle w:val="Heading3"/>
      </w:pPr>
      <w:r>
        <w:t xml:space="preserve">2.5. End-of-Life (EoL) (Scope 3, Category 12: End-of-Life Treatment of Sold Products)</w:t>
      </w:r>
    </w:p>
    <w:p>
      <w:pPr>
        <w:pStyle w:val="FirstParagraph"/>
      </w:pPr>
      <w:r>
        <w:t xml:space="preserve">EoL scenarios consider recyclability and circular economy initiatives.</w:t>
      </w:r>
    </w:p>
    <w:p>
      <w:pPr>
        <w:numPr>
          <w:ilvl w:val="0"/>
          <w:numId w:val="1005"/>
        </w:numPr>
        <w:pStyle w:val="Compact"/>
      </w:pPr>
      <w:r>
        <w:rPr>
          <w:bCs/>
          <w:b/>
        </w:rPr>
        <w:t xml:space="preserve">Recyclability Percentage (gmmdrtrhho):</w:t>
      </w:r>
      <w:r>
        <w:t xml:space="preserve"> </w:t>
      </w:r>
      <w:r>
        <w:t xml:space="preserve">Assumed 60%.</w:t>
      </w:r>
    </w:p>
    <w:p>
      <w:pPr>
        <w:numPr>
          <w:ilvl w:val="0"/>
          <w:numId w:val="1005"/>
        </w:numPr>
        <w:pStyle w:val="Compact"/>
      </w:pPr>
      <w:r>
        <w:rPr>
          <w:bCs/>
          <w:b/>
        </w:rPr>
        <w:t xml:space="preserve">Circular/Take-back Programs (kvtzhiygmj):</w:t>
      </w:r>
      <w:r>
        <w:t xml:space="preserve"> </w:t>
      </w:r>
      <w:r>
        <w:t xml:space="preserve">Yes, Product take-back program in place.</w:t>
      </w:r>
    </w:p>
    <w:p>
      <w:pPr>
        <w:pStyle w:val="FirstParagraph"/>
      </w:pPr>
      <w:r>
        <w:t xml:space="preserve">Emissions/credits associated with recycling processes and landfill are considered. For plastic, landfill emission is low (~0.033 kgCO2e/kg), while recycling process can have emissions (~0.202 kgCO2e/kg) but ideally offers a credit for displaced virgin material production.</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Scopes.</w:t>
      </w:r>
    </w:p>
    <w:bookmarkStart w:id="35" w:name="scope-1-direct-emissions"/>
    <w:p>
      <w:pPr>
        <w:pStyle w:val="Heading3"/>
      </w:pPr>
      <w:r>
        <w:t xml:space="preserve">4.1. Scope 1: Direct Emissions</w:t>
      </w:r>
    </w:p>
    <w:p>
      <w:pPr>
        <w:pStyle w:val="FirstParagraph"/>
      </w:pPr>
      <w:r>
        <w:t xml:space="preserve">These are direct GHG emissions from sources owned or controlled by efeojygsqt. For this product-level analysis within a "factory_gate" boundary for production, significant Scope 1 emissions (e.g., from on-site fuel combustion for manufacturing processes) are assumed to be minimal or are accounted for indirectly through purchased energy in Scope 2 if part of utilities. No significant direct fugitive emissions or company-owned vehicle emissions are attributed directly to the production of 1 unit of ydfynqsfnh in this simplified PCF. Therefore, Scope 1 emissions are considered</w:t>
      </w:r>
      <w:r>
        <w:t xml:space="preserve"> </w:t>
      </w:r>
      <w:r>
        <w:rPr>
          <w:bCs/>
          <w:b/>
        </w:rPr>
        <w:t xml:space="preserve">0.00 kgCO2e</w:t>
      </w:r>
      <w:r>
        <w:t xml:space="preserve"> </w:t>
      </w:r>
      <w:r>
        <w:t xml:space="preserve">for the functional unit.</w:t>
      </w:r>
    </w:p>
    <w:bookmarkEnd w:id="35"/>
    <w:bookmarkStart w:id="36" w:name="scope-2-energy-indirect-emissions"/>
    <w:p>
      <w:pPr>
        <w:pStyle w:val="Heading3"/>
      </w:pPr>
      <w:r>
        <w:t xml:space="preserve">4.2. Scope 2: Energy Indirect Emissions</w:t>
      </w:r>
    </w:p>
    <w:p>
      <w:pPr>
        <w:pStyle w:val="FirstParagraph"/>
      </w:pPr>
      <w:r>
        <w:t xml:space="preserve">These are indirect GHG emissions from the generation of purchased electricity, steam, heating, and cooling consumed by efeojygsqt\'s operations.</w:t>
      </w:r>
    </w:p>
    <w:p>
      <w:pPr>
        <w:numPr>
          <w:ilvl w:val="0"/>
          <w:numId w:val="1006"/>
        </w:numPr>
        <w:pStyle w:val="Compact"/>
      </w:pPr>
      <w:r>
        <w:t xml:space="preserve">Energy Intensity: 1.5 kWh/unit (`tdvxoqjiiy`)</w:t>
      </w:r>
    </w:p>
    <w:p>
      <w:pPr>
        <w:numPr>
          <w:ilvl w:val="0"/>
          <w:numId w:val="1006"/>
        </w:numPr>
        <w:pStyle w:val="Compact"/>
      </w:pPr>
      <w:r>
        <w:t xml:space="preserve">Renewable Energy Usage: 50% (`rxeuiwzpln`)</w:t>
      </w:r>
    </w:p>
    <w:p>
      <w:pPr>
        <w:numPr>
          <w:ilvl w:val="0"/>
          <w:numId w:val="1006"/>
        </w:numPr>
        <w:pStyle w:val="Compact"/>
      </w:pPr>
      <w:r>
        <w:t xml:space="preserve">Non-renewable energy: 1.5 kWh/unit * (1 - 0.50) = 0.75 kWh/unit</w:t>
      </w:r>
    </w:p>
    <w:p>
      <w:pPr>
        <w:numPr>
          <w:ilvl w:val="0"/>
          <w:numId w:val="1006"/>
        </w:numPr>
        <w:pStyle w:val="Compact"/>
      </w:pPr>
      <w:r>
        <w:t xml:space="preserve">Emission Factor (China Grid Mix): 0.577 kgCO2e/kWh</w:t>
      </w:r>
    </w:p>
    <w:p>
      <w:pPr>
        <w:numPr>
          <w:ilvl w:val="0"/>
          <w:numId w:val="1006"/>
        </w:numPr>
        <w:pStyle w:val="Compact"/>
      </w:pPr>
      <w:r>
        <w:t xml:space="preserve">Emissions from purchased non-renewable electricity: 0.75 kWh/unit * 0.577 kgCO2e/kWh = 0.43 kgCO2e</w:t>
      </w:r>
    </w:p>
    <w:p>
      <w:pPr>
        <w:pStyle w:val="FirstParagraph"/>
      </w:pPr>
      <w:r>
        <w:rPr>
          <w:bCs/>
          <w:b/>
        </w:rPr>
        <w:t xml:space="preserve">Total Scope 2 Emissions: 0.43 kgCO2e per functional unit.</w:t>
      </w:r>
    </w:p>
    <w:bookmarkEnd w:id="36"/>
    <w:bookmarkStart w:id="42" w:name="X37db9139fff08cccc0b4e0153e9b7b95d4db9f9"/>
    <w:p>
      <w:pPr>
        <w:pStyle w:val="Heading3"/>
      </w:pPr>
      <w:r>
        <w:t xml:space="preserve">4.3. Scope 3: Other Indirect Emissions (Value Chain Emissions)</w:t>
      </w:r>
    </w:p>
    <w:p>
      <w:pPr>
        <w:pStyle w:val="FirstParagraph"/>
      </w:pPr>
      <w:r>
        <w:t xml:space="preserve">Scope 3 emissions are all other indirect emissions that occur in the value chain of efeojygsqt, both upstream and downstream. These often represent the largest portion of a company\'s total carbon footprint.</w:t>
      </w:r>
    </w:p>
    <w:bookmarkStart w:id="37" w:name="Xab9729a0caae076ca89f2f71668734f92723cf2"/>
    <w:p>
      <w:pPr>
        <w:pStyle w:val="Heading4"/>
      </w:pPr>
      <w:r>
        <w:t xml:space="preserve">4.3.1. Category 1: Purchased Goods and Services (Materials)</w:t>
      </w:r>
    </w:p>
    <w:p>
      <w:pPr>
        <w:pStyle w:val="FirstParagraph"/>
      </w:pPr>
      <w:r>
        <w:t xml:space="preserve">As calculated from the illustrative BOM:</w:t>
      </w:r>
    </w:p>
    <w:p>
      <w:pPr>
        <w:numPr>
          <w:ilvl w:val="0"/>
          <w:numId w:val="1007"/>
        </w:numPr>
        <w:pStyle w:val="Compact"/>
      </w:pPr>
      <w:r>
        <w:t xml:space="preserve">Total Material Emissions: 4.47 kgCO2e</w:t>
      </w:r>
    </w:p>
    <w:p>
      <w:pPr>
        <w:pStyle w:val="FirstParagraph"/>
      </w:pPr>
      <w:r>
        <w:rPr>
          <w:bCs/>
          <w:b/>
        </w:rPr>
        <w:t xml:space="preserve">Total Scope 3, Category 1 Emissions: 4.47 kgCO2e per functional 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Transportation of raw materials and components from Europe (supply chain focus) to China (production country).</w:t>
      </w:r>
    </w:p>
    <w:p>
      <w:pPr>
        <w:numPr>
          <w:ilvl w:val="0"/>
          <w:numId w:val="1008"/>
        </w:numPr>
        <w:pStyle w:val="Compact"/>
      </w:pPr>
      <w:r>
        <w:t xml:space="preserve">Assumed weight of raw materials per unit: 0.5 kg (Plastic) + 0.2 kg (Metal) + 0.1 kg (Electronic components) + 0.1 kg (packaging) = 0.9 kg/unit</w:t>
      </w:r>
    </w:p>
    <w:p>
      <w:pPr>
        <w:numPr>
          <w:ilvl w:val="0"/>
          <w:numId w:val="1008"/>
        </w:numPr>
        <w:pStyle w:val="Compact"/>
      </w:pPr>
      <w:r>
        <w:t xml:space="preserve">Transport Mode: Road Freight (Lorry)</w:t>
      </w:r>
    </w:p>
    <w:p>
      <w:pPr>
        <w:numPr>
          <w:ilvl w:val="0"/>
          <w:numId w:val="1008"/>
        </w:numPr>
        <w:pStyle w:val="Compact"/>
      </w:pPr>
      <w:r>
        <w:t xml:space="preserve">Transport Distance: 1,500 km (`yoogjekplf`)</w:t>
      </w:r>
    </w:p>
    <w:p>
      <w:pPr>
        <w:numPr>
          <w:ilvl w:val="0"/>
          <w:numId w:val="1008"/>
        </w:numPr>
        <w:pStyle w:val="Compact"/>
      </w:pPr>
      <w:r>
        <w:t xml:space="preserve">Emission Factor (Road Freight, illustrative): 0.08 kgCO2e/tonne-km (or 0.00008 kgCO2e/kg-km)</w:t>
      </w:r>
    </w:p>
    <w:p>
      <w:pPr>
        <w:numPr>
          <w:ilvl w:val="0"/>
          <w:numId w:val="1008"/>
        </w:numPr>
        <w:pStyle w:val="Compact"/>
      </w:pPr>
      <w:r>
        <w:t xml:space="preserve">Emissions: 0.9 kg/unit * 1500 km * 0.00008 kgCO2e/kg-km = 0.108 kgCO2e</w:t>
      </w:r>
    </w:p>
    <w:p>
      <w:pPr>
        <w:pStyle w:val="FirstParagraph"/>
      </w:pPr>
      <w:r>
        <w:rPr>
          <w:bCs/>
          <w:b/>
        </w:rPr>
        <w:t xml:space="preserve">Total Scope 3, Category 4 Emissions (Upstream): 0.11 kgCO2e per functional unit.</w:t>
      </w:r>
    </w:p>
    <w:bookmarkEnd w:id="38"/>
    <w:bookmarkStart w:id="39" w:name="X25a0837e2ca53a982bfb6f58a50970139f4f25f"/>
    <w:p>
      <w:pPr>
        <w:pStyle w:val="Heading4"/>
      </w:pPr>
      <w:r>
        <w:t xml:space="preserve">4.3.3. Category 9: Downstream Transportation and Distribution</w:t>
      </w:r>
    </w:p>
    <w:p>
      <w:pPr>
        <w:pStyle w:val="FirstParagraph"/>
      </w:pPr>
      <w:r>
        <w:t xml:space="preserve">Transportation of finished product from factory in China to market in Europe, and last-mile delivery.</w:t>
      </w:r>
    </w:p>
    <w:p>
      <w:pPr>
        <w:numPr>
          <w:ilvl w:val="0"/>
          <w:numId w:val="1009"/>
        </w:numPr>
        <w:pStyle w:val="Compact"/>
      </w:pPr>
      <w:r>
        <w:rPr>
          <w:bCs/>
          <w:b/>
        </w:rPr>
        <w:t xml:space="preserve">Primary Distribution:</w:t>
      </w:r>
    </w:p>
    <w:p>
      <w:pPr>
        <w:numPr>
          <w:ilvl w:val="1"/>
          <w:numId w:val="1010"/>
        </w:numPr>
        <w:pStyle w:val="Compact"/>
      </w:pPr>
      <w:r>
        <w:t xml:space="preserve">Product weight (estimated): 1.0 kg/unit (including packaging)</w:t>
      </w:r>
    </w:p>
    <w:p>
      <w:pPr>
        <w:numPr>
          <w:ilvl w:val="1"/>
          <w:numId w:val="1010"/>
        </w:numPr>
        <w:pStyle w:val="Compact"/>
      </w:pPr>
      <w:r>
        <w:t xml:space="preserve">Transport Distance: 500 km (`yoogjekplf`)</w:t>
      </w:r>
    </w:p>
    <w:p>
      <w:pPr>
        <w:numPr>
          <w:ilvl w:val="1"/>
          <w:numId w:val="1010"/>
        </w:numPr>
        <w:pStyle w:val="Compact"/>
      </w:pPr>
      <w:r>
        <w:t xml:space="preserve">Transport Mode: Road Freight (Lorry)</w:t>
      </w:r>
    </w:p>
    <w:p>
      <w:pPr>
        <w:numPr>
          <w:ilvl w:val="1"/>
          <w:numId w:val="1010"/>
        </w:numPr>
        <w:pStyle w:val="Compact"/>
      </w:pPr>
      <w:r>
        <w:t xml:space="preserve">Emission Factor (Road Freight, illustrative): 0.08 kgCO2e/tonne-km</w:t>
      </w:r>
    </w:p>
    <w:p>
      <w:pPr>
        <w:numPr>
          <w:ilvl w:val="1"/>
          <w:numId w:val="1010"/>
        </w:numPr>
        <w:pStyle w:val="Compact"/>
      </w:pPr>
      <w:r>
        <w:t xml:space="preserve">Emissions: 1.0 kg/unit * 500 km * 0.00008 kgCO2e/kg-km = 0.04 kgCO2e</w:t>
      </w:r>
    </w:p>
    <w:p>
      <w:pPr>
        <w:numPr>
          <w:ilvl w:val="0"/>
          <w:numId w:val="1009"/>
        </w:numPr>
        <w:pStyle w:val="Compact"/>
      </w:pPr>
      <w:r>
        <w:rPr>
          <w:bCs/>
          <w:b/>
        </w:rPr>
        <w:t xml:space="preserve">Last-Mile Delivery:</w:t>
      </w:r>
    </w:p>
    <w:p>
      <w:pPr>
        <w:numPr>
          <w:ilvl w:val="1"/>
          <w:numId w:val="1011"/>
        </w:numPr>
        <w:pStyle w:val="Compact"/>
      </w:pPr>
      <w:r>
        <w:t xml:space="preserve">Delivery Channel: Parcel Service (home delivery) (`Delivery Type`)</w:t>
      </w:r>
    </w:p>
    <w:p>
      <w:pPr>
        <w:numPr>
          <w:ilvl w:val="1"/>
          <w:numId w:val="1011"/>
        </w:numPr>
        <w:pStyle w:val="Compact"/>
      </w:pPr>
      <w:r>
        <w:t xml:space="preserve">Emission Factor (Parcel Service, illustrative): 0.30 kgCO2e/parcel</w:t>
      </w:r>
    </w:p>
    <w:p>
      <w:pPr>
        <w:numPr>
          <w:ilvl w:val="1"/>
          <w:numId w:val="1011"/>
        </w:numPr>
        <w:pStyle w:val="Compact"/>
      </w:pPr>
      <w:r>
        <w:t xml:space="preserve">Emissions: 0.30 kgCO2e (per unit, assuming 1 parcel per unit)</w:t>
      </w:r>
    </w:p>
    <w:p>
      <w:pPr>
        <w:pStyle w:val="FirstParagraph"/>
      </w:pPr>
      <w:r>
        <w:rPr>
          <w:bCs/>
          <w:b/>
        </w:rPr>
        <w:t xml:space="preserve">Total Scope 3, Category 9 Emissions (Downstream): 0.04 kgCO2e + 0.30 kgCO2e = 0.34 kgCO2e per functional unit.</w:t>
      </w:r>
    </w:p>
    <w:bookmarkEnd w:id="39"/>
    <w:bookmarkStart w:id="40"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2"/>
        </w:numPr>
        <w:pStyle w:val="Compact"/>
      </w:pPr>
      <w:r>
        <w:t xml:space="preserve">Product Lifespan: 5 years (`kxhpgqpqnx`)</w:t>
      </w:r>
    </w:p>
    <w:p>
      <w:pPr>
        <w:numPr>
          <w:ilvl w:val="0"/>
          <w:numId w:val="1012"/>
        </w:numPr>
        <w:pStyle w:val="Compact"/>
      </w:pPr>
      <w:r>
        <w:t xml:space="preserve">Energy Consumption in Use: 10 kWh/year (`urgxizxnen`)</w:t>
      </w:r>
    </w:p>
    <w:p>
      <w:pPr>
        <w:numPr>
          <w:ilvl w:val="0"/>
          <w:numId w:val="1012"/>
        </w:numPr>
        <w:pStyle w:val="Compact"/>
      </w:pPr>
      <w:r>
        <w:t xml:space="preserve">Total Energy Consumption: 5 years * 10 kWh/year = 50 kWh</w:t>
      </w:r>
    </w:p>
    <w:p>
      <w:pPr>
        <w:numPr>
          <w:ilvl w:val="0"/>
          <w:numId w:val="1012"/>
        </w:numPr>
        <w:pStyle w:val="Compact"/>
      </w:pPr>
      <w:r>
        <w:t xml:space="preserve">Emission Factor (European Grid Mix, illustrative): 0.25 kgCO2e/kWh (representing average electricity mix for product use in Europe)</w:t>
      </w:r>
    </w:p>
    <w:p>
      <w:pPr>
        <w:numPr>
          <w:ilvl w:val="0"/>
          <w:numId w:val="1012"/>
        </w:numPr>
        <w:pStyle w:val="Compact"/>
      </w:pPr>
      <w:r>
        <w:t xml:space="preserve">Emissions: 50 kWh * 0.25 kgCO2e/kWh = 12.50 kgCO2e</w:t>
      </w:r>
    </w:p>
    <w:p>
      <w:pPr>
        <w:pStyle w:val="FirstParagraph"/>
      </w:pPr>
      <w:r>
        <w:rPr>
          <w:bCs/>
          <w:b/>
        </w:rPr>
        <w:t xml:space="preserve">Total Scope 3, Category 11 Emissions: 12.50 kgCO2e per functional unit.</w:t>
      </w:r>
    </w:p>
    <w:bookmarkEnd w:id="40"/>
    <w:bookmarkStart w:id="41" w:name="X9f66eef2700632e081dfe139021cb724ffcd2c5"/>
    <w:p>
      <w:pPr>
        <w:pStyle w:val="Heading4"/>
      </w:pPr>
      <w:r>
        <w:t xml:space="preserve">4.3.5. Category 12: End-of-Life Treatment of Sold Products</w:t>
      </w:r>
    </w:p>
    <w:p>
      <w:pPr>
        <w:pStyle w:val="FirstParagraph"/>
      </w:pPr>
      <w:r>
        <w:t xml:space="preserve">Disposal and recycling impacts.</w:t>
      </w:r>
    </w:p>
    <w:p>
      <w:pPr>
        <w:numPr>
          <w:ilvl w:val="0"/>
          <w:numId w:val="1013"/>
        </w:numPr>
        <w:pStyle w:val="Compact"/>
      </w:pPr>
      <w:r>
        <w:t xml:space="preserve">Product weight (estimated): 1.0 kg/unit</w:t>
      </w:r>
    </w:p>
    <w:p>
      <w:pPr>
        <w:numPr>
          <w:ilvl w:val="0"/>
          <w:numId w:val="1013"/>
        </w:numPr>
        <w:pStyle w:val="Compact"/>
      </w:pPr>
      <w:r>
        <w:t xml:space="preserve">Recyclability Percentage: 60% (`gmmdrtrhho`)</w:t>
      </w:r>
    </w:p>
    <w:p>
      <w:pPr>
        <w:numPr>
          <w:ilvl w:val="0"/>
          <w:numId w:val="1013"/>
        </w:numPr>
        <w:pStyle w:val="Compact"/>
      </w:pPr>
      <w:r>
        <w:t xml:space="preserve">Circular Programs: Yes (`kvtzhiygmj`) - Product take-back program. This suggests a higher likelihood of achieving stated recyclability and potential for closed-loop benefits.</w:t>
      </w:r>
    </w:p>
    <w:p>
      <w:pPr>
        <w:numPr>
          <w:ilvl w:val="0"/>
          <w:numId w:val="1013"/>
        </w:numPr>
        <w:pStyle w:val="Compact"/>
      </w:pPr>
      <w:r>
        <w:t xml:space="preserve">Material for recycling: 1.0 kg * 0.60 = 0.6 kg</w:t>
      </w:r>
    </w:p>
    <w:p>
      <w:pPr>
        <w:numPr>
          <w:ilvl w:val="0"/>
          <w:numId w:val="1013"/>
        </w:numPr>
        <w:pStyle w:val="Compact"/>
      </w:pPr>
      <w:r>
        <w:t xml:space="preserve">Material for landfill: 1.0 kg * 0.40 = 0.4 kg</w:t>
      </w:r>
    </w:p>
    <w:p>
      <w:pPr>
        <w:numPr>
          <w:ilvl w:val="0"/>
          <w:numId w:val="1013"/>
        </w:numPr>
        <w:pStyle w:val="Compact"/>
      </w:pPr>
      <w:r>
        <w:t xml:space="preserve">Emission Factor (Recycling Process, illustrative for plastic): 0.202 kgCO2e/kg. For simplicity, we\'ll apply this to the recyclable portion.</w:t>
      </w:r>
    </w:p>
    <w:p>
      <w:pPr>
        <w:numPr>
          <w:ilvl w:val="0"/>
          <w:numId w:val="1013"/>
        </w:numPr>
        <w:pStyle w:val="Compact"/>
      </w:pPr>
      <w:r>
        <w:t xml:space="preserve">Emission Factor (Landfill, illustrative for plastic): 0.033 kgCO2e/kg. For simplicity, we\'ll apply this to the landfilled portion.</w:t>
      </w:r>
    </w:p>
    <w:p>
      <w:pPr>
        <w:numPr>
          <w:ilvl w:val="0"/>
          <w:numId w:val="1013"/>
        </w:numPr>
        <w:pStyle w:val="Compact"/>
      </w:pPr>
      <w:r>
        <w:t xml:space="preserve">Emissions from recycling process: 0.6 kg * 0.202 kgCO2e/kg = 0.121 kgCO2e</w:t>
      </w:r>
    </w:p>
    <w:p>
      <w:pPr>
        <w:numPr>
          <w:ilvl w:val="0"/>
          <w:numId w:val="1013"/>
        </w:numPr>
        <w:pStyle w:val="Compact"/>
      </w:pPr>
      <w:r>
        <w:t xml:space="preserve">Emissions from landfill: 0.4 kg * 0.033 kgCO2e/kg = 0.013 kgCO2e</w:t>
      </w:r>
    </w:p>
    <w:p>
      <w:pPr>
        <w:pStyle w:val="FirstParagraph"/>
      </w:pPr>
      <w:r>
        <w:rPr>
          <w:iCs/>
          <w:i/>
        </w:rPr>
        <w:t xml:space="preserve">(Note: In a full LCA, recycling credits for avoided virgin material production would also be calculated, leading to a net reduction. For this illustrative calculation focused on emissions from end-of-life processes, we\'re showing the emissions associated with handling the waste.)</w:t>
      </w:r>
    </w:p>
    <w:p>
      <w:pPr>
        <w:pStyle w:val="BodyText"/>
      </w:pPr>
      <w:r>
        <w:rPr>
          <w:bCs/>
          <w:b/>
        </w:rPr>
        <w:t xml:space="preserve">Total Scope 3, Category 12 Emissions: 0.121 kgCO2e + 0.013 kgCO2e = 0.13 kgCO2e per functional unit.</w:t>
      </w:r>
    </w:p>
    <w:bookmarkEnd w:id="41"/>
    <w:bookmarkEnd w:id="42"/>
    <w:bookmarkStart w:id="43" w:name="X0169f7fae4f0649112453ef240866665dc2b8f0"/>
    <w:p>
      <w:pPr>
        <w:pStyle w:val="Heading3"/>
      </w:pPr>
      <w:r>
        <w:t xml:space="preserve">Summary of Calculated Emissions (kgCO2e per 1.0 unit of ydfynqsfnh)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Energy Indirect</w:t>
            </w:r>
          </w:p>
        </w:tc>
        <w:tc>
          <w:tcPr/>
          <w:p>
            <w:pPr>
              <w:pStyle w:val="Compact"/>
              <w:jc w:val="left"/>
            </w:pPr>
            <w:r>
              <w:t xml:space="preserve">Purchased electricity (production)</w:t>
            </w:r>
          </w:p>
        </w:tc>
        <w:tc>
          <w:tcPr/>
          <w:p>
            <w:pPr>
              <w:pStyle w:val="Compact"/>
              <w:jc w:val="left"/>
            </w:pPr>
            <w:r>
              <w:t xml:space="preserve">0.43</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4.47</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0.34</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0.13</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17.98</w:t>
            </w:r>
          </w:p>
        </w:tc>
      </w:tr>
    </w:tbl>
    <w:p>
      <w:pPr>
        <w:pStyle w:val="BodyText"/>
      </w:pPr>
      <w:r>
        <w:t xml:space="preserve">The total Product Carbon Footprint for one unit of ydfynqsfnh is approximately</w:t>
      </w:r>
      <w:r>
        <w:t xml:space="preserve"> </w:t>
      </w:r>
      <w:r>
        <w:rPr>
          <w:bCs/>
          <w:b/>
        </w:rPr>
        <w:t xml:space="preserve">17.98 kgCO2e</w:t>
      </w:r>
      <w:r>
        <w:t xml:space="preserve">.</w:t>
      </w:r>
    </w:p>
    <w:p>
      <w:r>
        <w:pict>
          <v:rect style="width:0;height:1.5pt" o:hralign="center" o:hrstd="t" o:hr="t"/>
        </w:pict>
      </w:r>
    </w:p>
    <w:bookmarkEnd w:id="43"/>
    <w:bookmarkEnd w:id="44"/>
    <w:bookmarkStart w:id="50"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the calculations, the primary emission hotspots for ydfynqsfnh are:</w:t>
      </w:r>
    </w:p>
    <w:p>
      <w:pPr>
        <w:numPr>
          <w:ilvl w:val="0"/>
          <w:numId w:val="1014"/>
        </w:numPr>
        <w:pStyle w:val="Compact"/>
      </w:pPr>
      <w:r>
        <w:rPr>
          <w:bCs/>
          <w:b/>
        </w:rPr>
        <w:t xml:space="preserve">Use Phase (Scope 3, Category 11):</w:t>
      </w:r>
      <w:r>
        <w:t xml:space="preserve"> </w:t>
      </w:r>
      <w:r>
        <w:t xml:space="preserve">Accounting for approximately 69.5% of the total PCF, driven by the product\'s energy consumption over its 5-year lifespan.</w:t>
      </w:r>
    </w:p>
    <w:p>
      <w:pPr>
        <w:numPr>
          <w:ilvl w:val="0"/>
          <w:numId w:val="1014"/>
        </w:numPr>
        <w:pStyle w:val="Compact"/>
      </w:pPr>
      <w:r>
        <w:rPr>
          <w:bCs/>
          <w:b/>
        </w:rPr>
        <w:t xml:space="preserve">Purchased Goods and Services (Scope 3, Category 1):</w:t>
      </w:r>
      <w:r>
        <w:t xml:space="preserve"> </w:t>
      </w:r>
      <w:r>
        <w:t xml:space="preserve">Representing about 24.9% of the total PCF, primarily from the raw materials (plastics, metals, electronics).</w:t>
      </w:r>
    </w:p>
    <w:p>
      <w:pPr>
        <w:numPr>
          <w:ilvl w:val="0"/>
          <w:numId w:val="1014"/>
        </w:numPr>
        <w:pStyle w:val="Compact"/>
      </w:pPr>
      <w:r>
        <w:rPr>
          <w:bCs/>
          <w:b/>
        </w:rPr>
        <w:t xml:space="preserve">Manufacturing Energy (Scope 2):</w:t>
      </w:r>
      <w:r>
        <w:t xml:space="preserve"> </w:t>
      </w:r>
      <w:r>
        <w:t xml:space="preserve">Contributing about 2.4% of the total PCF.</w:t>
      </w:r>
    </w:p>
    <w:bookmarkEnd w:id="45"/>
    <w:bookmarkStart w:id="46" w:name="reliability-and-data-quality"/>
    <w:p>
      <w:pPr>
        <w:pStyle w:val="Heading3"/>
      </w:pPr>
      <w:r>
        <w:t xml:space="preserve">5.2. Reliability and Data Quality</w:t>
      </w:r>
    </w:p>
    <w:p>
      <w:pPr>
        <w:pStyle w:val="FirstParagraph"/>
      </w:pPr>
      <w:r>
        <w:t xml:space="preserve">The reliability of this PCF is contingent on the accuracy of the underlying data. For this report, placeholder strings were interpreted with illustrative data and representative emission factors from recognized databases (e.g., Ecoinvent, DEFRA). In a real-world scenario, primary data from suppliers, manufacturing facilities, and logistics providers would significantly enhance accuracy. The GHG Protocol encourages disaggregation of Scope 3 data by type (primary vs. secondary) to improve transparency and comparability.</w:t>
      </w:r>
    </w:p>
    <w:bookmarkEnd w:id="46"/>
    <w:bookmarkStart w:id="49" w:name="ghg-protocol-updates-application"/>
    <w:p>
      <w:pPr>
        <w:pStyle w:val="Heading3"/>
      </w:pPr>
      <w:r>
        <w:t xml:space="preserve">5.3. 2026 GHG Protocol Updates Application</w:t>
      </w:r>
    </w:p>
    <w:bookmarkStart w:id="47" w:name="land-sector-and-removals-lsr-standard"/>
    <w:p>
      <w:pPr>
        <w:pStyle w:val="Heading4"/>
      </w:pPr>
      <w:r>
        <w:t xml:space="preserve">5.3.1. Land Sector and Removals (LSR) Standard</w:t>
      </w:r>
    </w:p>
    <w:p>
      <w:pPr>
        <w:pStyle w:val="FirstParagraph"/>
      </w:pPr>
      <w:r>
        <w:t xml:space="preserve">The GHG Protocol\'s new Land Sector and Removals (LSR) Standard, effective January 1, 2027, provides comprehensive guidance for quantifying, reporting, and tracking land emissions and CO2 removals. While direct land-use emissions are not a primary driver for the current product (ydfynqsfnh) which focuses on manufactured goods, its principles are acknowledged. For companies with significant land-based activities in their supply chain (e.g., agricultural inputs for some materials in Category 1), the LSR Standard would necessitate detailed accounting for land management, land use change, and potential carbon removals. Future iterations of this PCF would require closer scrutiny of the upstream supply chain for any land-based impacts that fall under the LSR scope, particularly for bio-based materials.</w:t>
      </w:r>
    </w:p>
    <w:bookmarkEnd w:id="47"/>
    <w:bookmarkStart w:id="48" w:name="scope-3-compliance-95-coverage"/>
    <w:p>
      <w:pPr>
        <w:pStyle w:val="Heading4"/>
      </w:pPr>
      <w:r>
        <w:t xml:space="preserve">5.3.2. Scope 3 Compliance (95% Coverage)</w:t>
      </w:r>
    </w:p>
    <w:p>
      <w:pPr>
        <w:pStyle w:val="FirstParagraph"/>
      </w:pPr>
      <w:r>
        <w:t xml:space="preserve">The proposed 2026 revisions to the GHG Protocol Scope 3 Standard emphasize a mandatory</w:t>
      </w:r>
      <w:r>
        <w:t xml:space="preserve"> </w:t>
      </w:r>
      <w:r>
        <w:rPr>
          <w:bCs/>
          <w:b/>
        </w:rPr>
        <w:t xml:space="preserve">95% coverage for all required Scope 3 emissions</w:t>
      </w:r>
      <w:r>
        <w:t xml:space="preserve"> </w:t>
      </w:r>
      <w:r>
        <w:t xml:space="preserve">(Categories 1-15), meaning exclusions cannot exceed 5%. This report aimed for comprehensive coverage of relevant Scope 3 categories (Categories 1, 4, 9, 11, 12). While this illustrative report cannot definitively prove 95% coverage without full company-wide Scope 3 context, the detailed breakdown across key product lifecycle stages demonstrates a commitment to thorough value chain accounting, aligned with the spirit of the upcoming requirements. efeojygsqt should actively engage with its supply chain to gather primary data for all significant Scope 3 categories to ensure compliance with this stringent threshold.</w:t>
      </w:r>
    </w:p>
    <w:p>
      <w:r>
        <w:pict>
          <v:rect style="width:0;height:1.5pt" o:hralign="center" o:hrstd="t" o:hr="t"/>
        </w:pict>
      </w:r>
    </w:p>
    <w:bookmarkEnd w:id="48"/>
    <w:bookmarkEnd w:id="49"/>
    <w:bookmarkEnd w:id="50"/>
    <w:bookmarkStart w:id="51" w:name="conclusion-and-recommendations"/>
    <w:p>
      <w:pPr>
        <w:pStyle w:val="Heading2"/>
      </w:pPr>
      <w:r>
        <w:t xml:space="preserve">Conclusion and Recommendations</w:t>
      </w:r>
    </w:p>
    <w:p>
      <w:pPr>
        <w:pStyle w:val="FirstParagraph"/>
      </w:pPr>
      <w:r>
        <w:t xml:space="preserve">The Product Carbon Footprint for ydfynqsfnh is estimated at 17.98 kgCO2e per functional unit. The analysis highlights the Use Phase as the most significant contributor to the product\'s environmental impact, followed by the emissions embodied in purchased materials. efeojygsqt should prioritize strategies targeting these hotspots.</w:t>
      </w:r>
    </w:p>
    <w:p>
      <w:pPr>
        <w:pStyle w:val="BodyText"/>
      </w:pPr>
      <w:r>
        <w:rPr>
          <w:bCs/>
          <w:b/>
        </w:rPr>
        <w:t xml:space="preserve">Recommendations:</w:t>
      </w:r>
    </w:p>
    <w:p>
      <w:pPr>
        <w:numPr>
          <w:ilvl w:val="0"/>
          <w:numId w:val="1015"/>
        </w:numPr>
        <w:pStyle w:val="Compact"/>
      </w:pPr>
      <w:r>
        <w:rPr>
          <w:bCs/>
          <w:b/>
        </w:rPr>
        <w:t xml:space="preserve">Use Phase Optimization:</w:t>
      </w:r>
      <w:r>
        <w:t xml:space="preserve"> </w:t>
      </w:r>
      <w:r>
        <w:t xml:space="preserve">Investigate opportunities to reduce the product\'s energy consumption during its lifespan. This could involve exploring more energy-efficient designs, longer-lasting components to extend lifespan, or encouraging the use of renewable energy sources by end-users.</w:t>
      </w:r>
    </w:p>
    <w:p>
      <w:pPr>
        <w:numPr>
          <w:ilvl w:val="0"/>
          <w:numId w:val="1015"/>
        </w:numPr>
        <w:pStyle w:val="Compact"/>
      </w:pPr>
      <w:r>
        <w:rPr>
          <w:bCs/>
          <w:b/>
        </w:rPr>
        <w:t xml:space="preserve">Sustainable Sourcing:</w:t>
      </w:r>
      <w:r>
        <w:t xml:space="preserve"> </w:t>
      </w:r>
      <w:r>
        <w:t xml:space="preserve">Collaborate with suppliers to procure lower-carbon materials. This includes seeking materials with higher recycled content, exploring bio-based alternatives with certified low impact, and requesting primary emission data from suppliers to improve PCF accuracy.</w:t>
      </w:r>
    </w:p>
    <w:p>
      <w:pPr>
        <w:numPr>
          <w:ilvl w:val="0"/>
          <w:numId w:val="1015"/>
        </w:numPr>
        <w:pStyle w:val="Compact"/>
      </w:pPr>
      <w:r>
        <w:rPr>
          <w:bCs/>
          <w:b/>
        </w:rPr>
        <w:t xml:space="preserve">Renewable Energy Integration:</w:t>
      </w:r>
      <w:r>
        <w:t xml:space="preserve"> </w:t>
      </w:r>
      <w:r>
        <w:t xml:space="preserve">Continue to increase renewable energy usage at manufacturing facilities (beyond the assumed 50%) and explore ways to influence renewable energy adoption throughout the supply chain in China.</w:t>
      </w:r>
    </w:p>
    <w:p>
      <w:pPr>
        <w:numPr>
          <w:ilvl w:val="0"/>
          <w:numId w:val="1015"/>
        </w:numPr>
        <w:pStyle w:val="Compact"/>
      </w:pPr>
      <w:r>
        <w:rPr>
          <w:bCs/>
          <w:b/>
        </w:rPr>
        <w:t xml:space="preserve">Circular Economy Initiatives:</w:t>
      </w:r>
      <w:r>
        <w:t xml:space="preserve"> </w:t>
      </w:r>
      <w:r>
        <w:t xml:space="preserve">Leverage the existing product take-back program (`kvtzhiygmj`) to maximize recycling rates beyond the current 60% and explore opportunities for material closed-loop systems, which could provide significant carbon credits by displacing virgin material production.</w:t>
      </w:r>
    </w:p>
    <w:p>
      <w:pPr>
        <w:numPr>
          <w:ilvl w:val="0"/>
          <w:numId w:val="1015"/>
        </w:numPr>
        <w:pStyle w:val="Compact"/>
      </w:pPr>
      <w:r>
        <w:rPr>
          <w:bCs/>
          <w:b/>
        </w:rPr>
        <w:t xml:space="preserve">Data Enhancement:</w:t>
      </w:r>
      <w:r>
        <w:t xml:space="preserve"> </w:t>
      </w:r>
      <w:r>
        <w:t xml:space="preserve">Systematically collect primary data for all BOM items, transport legs, and manufacturing processes. Implement robust data management systems to meet the evolving Scope 3 reporting requirements, including the 95% coverage rule and data disaggregation.</w:t>
      </w:r>
    </w:p>
    <w:p>
      <w:pPr>
        <w:numPr>
          <w:ilvl w:val="0"/>
          <w:numId w:val="1015"/>
        </w:numPr>
        <w:pStyle w:val="Compact"/>
      </w:pPr>
      <w:r>
        <w:rPr>
          <w:bCs/>
          <w:b/>
        </w:rPr>
        <w:t xml:space="preserve">LSR Standard Preparedness:</w:t>
      </w:r>
      <w:r>
        <w:t xml:space="preserve"> </w:t>
      </w:r>
      <w:r>
        <w:t xml:space="preserve">Although direct land-use impacts might be minimal for this product, proactively assess all upstream material supply chains for any agricultural or forestry components that may fall under the LSR Standard for future compliance.</w:t>
      </w:r>
    </w:p>
    <w:p>
      <w:pPr>
        <w:pStyle w:val="FirstParagraph"/>
      </w:pPr>
      <w:r>
        <w:t xml:space="preserve">By addressing these key areas, efeojygsqt can significantly reduce the environmental impact of ydfynqsfnh and demonstrate strong leadership in sustainability performance.</w:t>
      </w:r>
    </w:p>
    <w:p>
      <w:pPr>
        <w:pStyle w:val="BodyText"/>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ydfynqsfnh</dc:title>
  <dc:creator/>
  <dc:description>High-detail Product Carbon Footprint (PCF) analysis report for ydfynqsfnh by Senior Sustainability Consultant jzgyinjuhs, adhering to GHG Protocol and 2026 updates.</dc:description>
  <dc:language>en</dc:language>
  <cp:keywords/>
  <dcterms:created xsi:type="dcterms:W3CDTF">2026-05-30T18:09:26Z</dcterms:created>
  <dcterms:modified xsi:type="dcterms:W3CDTF">2026-05-30T18:09:26Z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