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xzpnjvfdgg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xzpnjvfdgg</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mswyjprqvu</w:t>
      </w:r>
    </w:p>
    <w:p>
      <w:pPr>
        <w:pStyle w:val="BodyText"/>
      </w:pPr>
      <w:r>
        <w:rPr>
          <w:bCs/>
          <w:b/>
        </w:rPr>
        <w:t xml:space="preserve">Senior Sustainability Consultant:</w:t>
      </w:r>
      <w:r>
        <w:t xml:space="preserve"> </w:t>
      </w:r>
      <w:r>
        <w:t xml:space="preserve">tvifygijid</w:t>
      </w:r>
    </w:p>
    <w:p>
      <w:pPr>
        <w:pStyle w:val="BodyText"/>
      </w:pPr>
      <w:r>
        <w:t xml:space="preserve">This report is generated based on available data and industry standards. While efforts have been made to ensure accuracy, the actual environmental impact may vary depending on real-world conditions and data precision. Assumptions have been made for placeholder data provided in the input, as noted within the report.</w:t>
      </w:r>
    </w:p>
    <w:bookmarkEnd w:id="20"/>
    <w:p>
      <w:pPr>
        <w:pStyle w:val="BodyText"/>
      </w:pPr>
      <w:r>
        <w:t xml:space="preserve">Generated Date: May 21, 2026</w:t>
      </w:r>
    </w:p>
    <w:p>
      <w:r>
        <w:pict>
          <v:rect style="width:0;height:1.5pt" o:hralign="center" o:hrstd="t" o:hr="t"/>
        </w:pict>
      </w:r>
    </w:p>
    <w:bookmarkStart w:id="45" w:name="X2f4d7eb94d279ddf275e38e90afb7a3869689a9"/>
    <w:p>
      <w:pPr>
        <w:pStyle w:val="Heading1"/>
      </w:pPr>
      <w:r>
        <w:t xml:space="preserve">Product Carbon Footprint Analysis: xzpnjvfdgg</w: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xzpnjvfdgg</w:t>
      </w:r>
      <w:r>
        <w:t xml:space="preserve">, manufactured by</w:t>
      </w:r>
      <w:r>
        <w:t xml:space="preserve"> </w:t>
      </w:r>
      <w:r>
        <w:rPr>
          <w:bCs/>
          <w:b/>
        </w:rPr>
        <w:t xml:space="preserve">mswyjprqvu</w:t>
      </w:r>
      <w:r>
        <w:t xml:space="preserve">. The analysis was conducted by</w:t>
      </w:r>
      <w:r>
        <w:t xml:space="preserve"> </w:t>
      </w:r>
      <w:r>
        <w:rPr>
          <w:bCs/>
          <w:b/>
        </w:rPr>
        <w:t xml:space="preserve">tvifygijid</w:t>
      </w:r>
      <w:r>
        <w:t xml:space="preserve">, a Senior Sustainability Consultant specializing in the GHG Protocol. Adhering strictly to the GHG Protocol and incorporating the 2026 Land Sector and Removals (LSR) Standard update, this assessment quantifies the greenhouse gas emissions across the product\'s lifecycle up to the factory gate, with an expanded view for the use and end-of-life phases to provide comprehensive insights. The aim is to identify key emission hotspots and provide actionable recommendations for reducing the environmental impact of xzpnjvfdgg.</w:t>
      </w:r>
    </w:p>
    <w:p>
      <w:pPr>
        <w:pStyle w:val="BodyText"/>
      </w:pPr>
      <w:r>
        <w:t xml:space="preserve">**Note on Data Limitations:** Several parameters for this analysis were provided as placeholder strings (e.g., \'Select Mode\', \'ywngtheogu\', \'siwkyumfqs\'). To enable a detailed report and illustrative calculations, specific numerical assumptions have been made for these placeholder values. These assumptions are explicitly stated in the relevant sections. For the Bill of Materials (BOM), the \'Total Carbon\' field was utilized as the primary emission value for each component.</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was performed following a five-step methodology as prescribed by industry best practices and the GHG Protocol.</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xzpnjvfdgg.</w:t>
      </w:r>
    </w:p>
    <w:p>
      <w:pPr>
        <w:numPr>
          <w:ilvl w:val="0"/>
          <w:numId w:val="1001"/>
        </w:numPr>
        <w:pStyle w:val="Compact"/>
      </w:pPr>
      <w:r>
        <w:rPr>
          <w:bCs/>
          <w:b/>
        </w:rPr>
        <w:t xml:space="preserve">System Boundary:</w:t>
      </w:r>
      <w:r>
        <w:t xml:space="preserve"> </w:t>
      </w:r>
      <w:r>
        <w:t xml:space="preserve">Cradle-to-factory-gate for core PCF calculation, extended to include Use Phase and End-of-Life scenarios for comprehensive impact assessment as per client requirements.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(purchased energy emissions), and Scope 3 (all other indirect value chain emissions).</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 Co-product allocation principles would be applied if relevant by-products existed, but for a single product PCF, direct allocation is assumed.</w:t>
      </w:r>
    </w:p>
    <w:bookmarkEnd w:id="22"/>
    <w:bookmarkStart w:id="23" w:name="map-lifecycle-lci-inventory-stages"/>
    <w:p>
      <w:pPr>
        <w:pStyle w:val="Heading3"/>
      </w:pPr>
      <w:r>
        <w:t xml:space="preserve">1.2. Map Lifecycle (LCI Inventory Stages)</w:t>
      </w:r>
    </w:p>
    <w:p>
      <w:pPr>
        <w:pStyle w:val="FirstParagraph"/>
      </w:pPr>
      <w:r>
        <w:t xml:space="preserve">The lifecycle of xzpnjvfdgg includes the following stages:</w:t>
      </w:r>
    </w:p>
    <w:p>
      <w:pPr>
        <w:numPr>
          <w:ilvl w:val="0"/>
          <w:numId w:val="1002"/>
        </w:numPr>
        <w:pStyle w:val="Compact"/>
      </w:pPr>
      <w:r>
        <w:rPr>
          <w:bCs/>
          <w:b/>
        </w:rPr>
        <w:t xml:space="preserve">Materials Acquisition &amp; Pre-processing:</w:t>
      </w:r>
      <w:r>
        <w:t xml:space="preserve"> </w:t>
      </w:r>
      <w:r>
        <w:t xml:space="preserve">Extraction, processing, and manufacturing of raw materials and components (based on Detailed Bill of Materials).</w:t>
      </w:r>
    </w:p>
    <w:p>
      <w:pPr>
        <w:numPr>
          <w:ilvl w:val="0"/>
          <w:numId w:val="1002"/>
        </w:numPr>
        <w:pStyle w:val="Compact"/>
      </w:pPr>
      <w:r>
        <w:rPr>
          <w:bCs/>
          <w:b/>
        </w:rPr>
        <w:t xml:space="preserve">Manufacturing / Production:</w:t>
      </w:r>
      <w:r>
        <w:t xml:space="preserve"> </w:t>
      </w:r>
      <w:r>
        <w:t xml:space="preserve">Assembly and production of xzpnjvfdgg at the final production facility.</w:t>
      </w:r>
    </w:p>
    <w:p>
      <w:pPr>
        <w:numPr>
          <w:ilvl w:val="0"/>
          <w:numId w:val="1002"/>
        </w:numPr>
        <w:pStyle w:val="Compact"/>
      </w:pPr>
      <w:r>
        <w:rPr>
          <w:bCs/>
          <w:b/>
        </w:rPr>
        <w:t xml:space="preserve">Transport (Inbound Logistics):</w:t>
      </w:r>
      <w:r>
        <w:t xml:space="preserve"> </w:t>
      </w:r>
      <w:r>
        <w:t xml:space="preserve">Transportation of raw materials and components to the manufacturing facility.</w:t>
      </w:r>
    </w:p>
    <w:p>
      <w:pPr>
        <w:numPr>
          <w:ilvl w:val="0"/>
          <w:numId w:val="1002"/>
        </w:numPr>
        <w:pStyle w:val="Compact"/>
      </w:pPr>
      <w:r>
        <w:rPr>
          <w:bCs/>
          <w:b/>
        </w:rPr>
        <w:t xml:space="preserve">Distribution (Outbound Logistics):</w:t>
      </w:r>
      <w:r>
        <w:t xml:space="preserve"> </w:t>
      </w:r>
      <w:r>
        <w:t xml:space="preserve">Transportation of the finished product from the factory gate to the customer, including last-mile delivery.</w:t>
      </w:r>
    </w:p>
    <w:p>
      <w:pPr>
        <w:numPr>
          <w:ilvl w:val="0"/>
          <w:numId w:val="1002"/>
        </w:numPr>
        <w:pStyle w:val="Compact"/>
      </w:pPr>
      <w:r>
        <w:rPr>
          <w:bCs/>
          <w:b/>
        </w:rPr>
        <w:t xml:space="preserve">Use Phase:</w:t>
      </w:r>
      <w:r>
        <w:t xml:space="preserve"> </w:t>
      </w:r>
      <w:r>
        <w:t xml:space="preserve">Energy consumption and any associated emissions during the product\'s operational lifespan.</w:t>
      </w:r>
    </w:p>
    <w:p>
      <w:pPr>
        <w:numPr>
          <w:ilvl w:val="0"/>
          <w:numId w:val="1002"/>
        </w:numPr>
        <w:pStyle w:val="Compact"/>
      </w:pPr>
      <w:r>
        <w:rPr>
          <w:bCs/>
          <w:b/>
        </w:rPr>
        <w:t xml:space="preserve">End-of-Life (EoL):</w:t>
      </w:r>
      <w:r>
        <w:t xml:space="preserve"> </w:t>
      </w:r>
      <w:r>
        <w:t xml:space="preserve">Disposal, recycling, or recovery of the product after its useful life.</w:t>
      </w:r>
    </w:p>
    <w:p>
      <w:r>
        <w:pict>
          <v:rect style="width:0;height:1.5pt" o:hralign="center" o:hrstd="t" o:hr="t"/>
        </w:pict>
      </w:r>
    </w:p>
    <w:bookmarkEnd w:id="23"/>
    <w:bookmarkEnd w:id="24"/>
    <w:bookmarkStart w:id="30" w:name="data-collection-and-lifecycle-inventory"/>
    <w:p>
      <w:pPr>
        <w:pStyle w:val="Heading2"/>
      </w:pPr>
      <w:r>
        <w:t xml:space="preserve">2. &amp; 3. Data Collection and Lifecycle Inventory</w:t>
      </w:r>
    </w:p>
    <w:p>
      <w:pPr>
        <w:pStyle w:val="FirstParagraph"/>
      </w:pPr>
      <w:r>
        <w:t xml:space="preserve">This section details the primary and secondary data points collected and the assumptions made for the Product Carbon Footprint calculation.</w:t>
      </w:r>
    </w:p>
    <w:bookmarkStart w:id="25" w:name="X7b86537938d6f4e7ae8717c7fe23fbe0a0c77d7"/>
    <w:p>
      <w:pPr>
        <w:pStyle w:val="Heading3"/>
      </w:pPr>
      <w:r>
        <w:t xml:space="preserve">2.1. Detailed Bill of Materials (BOM) - xhlvzqog</w:t>
      </w:r>
    </w:p>
    <w:p>
      <w:pPr>
        <w:pStyle w:val="FirstParagraph"/>
      </w:pPr>
      <w:r>
        <w:t xml:space="preserve">The provided Detailed Bill of Materials (BOM) is crucial for a high-accuracy material impact calculation. The BOM data structure is: ID, Description, Category, Process, Qty, Unit, Emission Factor, Total Carbon. The \'Total Carbon\' value for each item has been directly used for calculating material emissions.</w:t>
      </w:r>
    </w:p>
    <w:p>
      <w:pPr>
        <w:pStyle w:val="BodyText"/>
      </w:pPr>
      <w:r>
        <w:rPr>
          <w:bCs/>
          <w:b/>
        </w:rPr>
        <w:t xml:space="preserve">Assumed BOM Data based on \'xhlvzqog\' interpretation: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Plastic ABS Housing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MAT003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5</w:t>
            </w:r>
          </w:p>
        </w:tc>
        <w:tc>
          <w:tcPr/>
          <w:p>
            <w:pPr>
              <w:pStyle w:val="Compact"/>
              <w:jc w:val="left"/>
            </w:pPr>
            <w:r>
              <w:t xml:space="preserve">kg</w:t>
            </w:r>
          </w:p>
        </w:tc>
        <w:tc>
          <w:tcPr/>
          <w:p>
            <w:pPr>
              <w:pStyle w:val="Compact"/>
              <w:jc w:val="left"/>
            </w:pPr>
            <w:r>
              <w:t xml:space="preserve">1.8</w:t>
            </w:r>
          </w:p>
        </w:tc>
        <w:tc>
          <w:tcPr/>
          <w:p>
            <w:pPr>
              <w:pStyle w:val="Compact"/>
              <w:jc w:val="left"/>
            </w:pPr>
            <w:r>
              <w:t xml:space="preserve">9</w:t>
            </w:r>
          </w:p>
        </w:tc>
      </w:tr>
      <w:tr>
        <w:tc>
          <w:tcPr/>
          <w:p>
            <w:pPr>
              <w:pStyle w:val="Compact"/>
              <w:jc w:val="left"/>
            </w:pPr>
            <w:r>
              <w:t xml:space="preserve">MAT005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unit</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MAT006</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Mixing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w:t>
            </w:r>
          </w:p>
        </w:tc>
      </w:tr>
    </w:tbl>
    <w:p>
      <w:pPr>
        <w:pStyle w:val="BodyText"/>
      </w:pPr>
      <w:r>
        <w:rPr>
          <w:bCs/>
          <w:b/>
        </w:rPr>
        <w:t xml:space="preserve">Total Material Emissions:</w:t>
      </w:r>
      <w:r>
        <w:t xml:space="preserve"> </w:t>
      </w:r>
      <w:r>
        <w:t xml:space="preserve">213.5 kg CO2e</w:t>
      </w:r>
    </w:p>
    <w:bookmarkEnd w:id="25"/>
    <w:bookmarkStart w:id="26" w:name="manufacturing-production-data"/>
    <w:p>
      <w:pPr>
        <w:pStyle w:val="Heading3"/>
      </w:pPr>
      <w:r>
        <w:t xml:space="preserve">2.2. Manufacturing / Production Data</w:t>
      </w:r>
    </w:p>
    <w:p>
      <w:pPr>
        <w:numPr>
          <w:ilvl w:val="0"/>
          <w:numId w:val="1003"/>
        </w:numPr>
        <w:pStyle w:val="Compact"/>
      </w:pPr>
      <w:r>
        <w:rPr>
          <w:bCs/>
          <w:b/>
        </w:rPr>
        <w:t xml:space="preserve">Renewable Energy Usage (siwkyumfqs):</w:t>
      </w:r>
      <w:r>
        <w:t xml:space="preserve"> </w:t>
      </w:r>
      <w:r>
        <w:t xml:space="preserve">For calculation purposes, an assumption of</w:t>
      </w:r>
      <w:r>
        <w:t xml:space="preserve"> </w:t>
      </w:r>
      <w:r>
        <w:rPr>
          <w:bCs/>
          <w:b/>
        </w:rPr>
        <w:t xml:space="preserve">50%</w:t>
      </w:r>
      <w:r>
        <w:t xml:space="preserve"> </w:t>
      </w:r>
      <w:r>
        <w:t xml:space="preserve">renewable energy usage in the manufacturing facility is made. The remaining 50% is assumed to be sourced from the China grid mix.</w:t>
      </w:r>
    </w:p>
    <w:p>
      <w:pPr>
        <w:numPr>
          <w:ilvl w:val="0"/>
          <w:numId w:val="1003"/>
        </w:numPr>
        <w:pStyle w:val="Compact"/>
      </w:pPr>
      <w:r>
        <w:rPr>
          <w:bCs/>
          <w:b/>
        </w:rPr>
        <w:t xml:space="preserve">Energy Intensity (kWh/unit - rimviyyojk):</w:t>
      </w:r>
      <w:r>
        <w:t xml:space="preserve"> </w:t>
      </w:r>
      <w:r>
        <w:t xml:space="preserve">An assumed energy intensity of</w:t>
      </w:r>
      <w:r>
        <w:t xml:space="preserve"> </w:t>
      </w:r>
      <w:r>
        <w:rPr>
          <w:bCs/>
          <w:b/>
        </w:rPr>
        <w:t xml:space="preserve">10 kWh/unit</w:t>
      </w:r>
      <w:r>
        <w:t xml:space="preserve"> </w:t>
      </w:r>
      <w:r>
        <w:t xml:space="preserve">is used for the production of xzpnjvfdgg.</w:t>
      </w:r>
    </w:p>
    <w:p>
      <w:pPr>
        <w:numPr>
          <w:ilvl w:val="0"/>
          <w:numId w:val="1003"/>
        </w:numPr>
        <w:pStyle w:val="Compact"/>
      </w:pPr>
      <w:r>
        <w:rPr>
          <w:bCs/>
          <w:b/>
        </w:rPr>
        <w:t xml:space="preserve">Assumed Emission Factor for China Grid Electricity:</w:t>
      </w:r>
      <w:r>
        <w:t xml:space="preserve"> </w:t>
      </w:r>
      <w:r>
        <w:t xml:space="preserve">0.6 kg CO2e/kWh (illustrative industry average).</w:t>
      </w:r>
    </w:p>
    <w:bookmarkEnd w:id="26"/>
    <w:bookmarkStart w:id="27" w:name="Xc8cd8168456324cef86f0d2c2ebdab52c9ba272"/>
    <w:p>
      <w:pPr>
        <w:pStyle w:val="Heading3"/>
      </w:pPr>
      <w:r>
        <w:t xml:space="preserve">2.3. Transport Data (Inbound &amp; Outbound Logistics)</w:t>
      </w:r>
    </w:p>
    <w:p>
      <w:pPr>
        <w:pStyle w:val="FirstParagraph"/>
      </w:pPr>
      <w:r>
        <w:t xml:space="preserve">The logistics data incorporates both inbound transport of materials and outbound transport of the finished product, including last-mile delivery.</w:t>
      </w:r>
    </w:p>
    <w:p>
      <w:pPr>
        <w:numPr>
          <w:ilvl w:val="0"/>
          <w:numId w:val="1004"/>
        </w:numPr>
        <w:pStyle w:val="Compact"/>
      </w:pPr>
      <w:r>
        <w:rPr>
          <w:bCs/>
          <w:b/>
        </w:rPr>
        <w:t xml:space="preserve">Transport Mode (Select Mode):</w:t>
      </w:r>
      <w:r>
        <w:t xml:space="preserve"> </w:t>
      </w:r>
      <w:r>
        <w:t xml:space="preserve">Assumed as</w:t>
      </w:r>
      <w:r>
        <w:t xml:space="preserve"> </w:t>
      </w:r>
      <w:r>
        <w:rPr>
          <w:bCs/>
          <w:b/>
        </w:rPr>
        <w:t xml:space="preserve">Road Freight (Heavy Goods Vehicle &lt; 3.5t)</w:t>
      </w:r>
      <w:r>
        <w:t xml:space="preserve">.</w:t>
      </w:r>
    </w:p>
    <w:p>
      <w:pPr>
        <w:numPr>
          <w:ilvl w:val="0"/>
          <w:numId w:val="1004"/>
        </w:numPr>
        <w:pStyle w:val="Compact"/>
      </w:pPr>
      <w:r>
        <w:rPr>
          <w:bCs/>
          <w:b/>
        </w:rPr>
        <w:t xml:space="preserve">Transport Distance (ywngtheogu):</w:t>
      </w:r>
      <w:r>
        <w:t xml:space="preserve"> </w:t>
      </w:r>
      <w:r>
        <w:t xml:space="preserve">Assumed as</w:t>
      </w:r>
      <w:r>
        <w:t xml:space="preserve"> </w:t>
      </w:r>
      <w:r>
        <w:rPr>
          <w:bCs/>
          <w:b/>
        </w:rPr>
        <w:t xml:space="preserve">500 km</w:t>
      </w:r>
      <w:r>
        <w:t xml:space="preserve"> </w:t>
      </w:r>
      <w:r>
        <w:t xml:space="preserve">for primary transport routes.</w:t>
      </w:r>
    </w:p>
    <w:p>
      <w:pPr>
        <w:numPr>
          <w:ilvl w:val="0"/>
          <w:numId w:val="1004"/>
        </w:numPr>
        <w:pStyle w:val="Compact"/>
      </w:pPr>
      <w:r>
        <w:rPr>
          <w:bCs/>
          <w:b/>
        </w:rPr>
        <w:t xml:space="preserve">Last-Mile Delivery Channel (Delivery Type):</w:t>
      </w:r>
      <w:r>
        <w:t xml:space="preserve"> </w:t>
      </w:r>
      <w:r>
        <w:t xml:space="preserve">Assumed as</w:t>
      </w:r>
      <w:r>
        <w:t xml:space="preserve"> </w:t>
      </w:r>
      <w:r>
        <w:rPr>
          <w:bCs/>
          <w:b/>
        </w:rPr>
        <w:t xml:space="preserve">Light Commercial Vehicle (LCV)</w:t>
      </w:r>
      <w:r>
        <w:t xml:space="preserve">.</w:t>
      </w:r>
    </w:p>
    <w:p>
      <w:pPr>
        <w:numPr>
          <w:ilvl w:val="0"/>
          <w:numId w:val="1004"/>
        </w:numPr>
        <w:pStyle w:val="Compact"/>
      </w:pPr>
      <w:r>
        <w:rPr>
          <w:bCs/>
          <w:b/>
        </w:rPr>
        <w:t xml:space="preserve">Assumed Product Weight:</w:t>
      </w:r>
      <w:r>
        <w:t xml:space="preserve"> </w:t>
      </w:r>
      <w:r>
        <w:t xml:space="preserve">Based on BOM materials, an estimated total product weight of 76.6 kg (50+20+5+0.1+1.5 (for PCB/Glass)) is used for transport calculations (Aluminium 50kg + Plastic 20kg + Copper 5kg + Adhesive 0.1kg + an estimated 1.5kg for Circuit Board and Glass).</w:t>
      </w:r>
    </w:p>
    <w:p>
      <w:pPr>
        <w:numPr>
          <w:ilvl w:val="0"/>
          <w:numId w:val="1004"/>
        </w:numPr>
        <w:pStyle w:val="Compact"/>
      </w:pPr>
      <w:r>
        <w:rPr>
          <w:bCs/>
          <w:b/>
        </w:rPr>
        <w:t xml:space="preserve">Assumed Last-Mile Distance:</w:t>
      </w:r>
      <w:r>
        <w:t xml:space="preserve"> </w:t>
      </w:r>
      <w:r>
        <w:t xml:space="preserve">50 km.</w:t>
      </w:r>
    </w:p>
    <w:p>
      <w:pPr>
        <w:numPr>
          <w:ilvl w:val="0"/>
          <w:numId w:val="1004"/>
        </w:numPr>
        <w:pStyle w:val="Compact"/>
      </w:pPr>
      <w:r>
        <w:rPr>
          <w:bCs/>
          <w:b/>
        </w:rPr>
        <w:t xml:space="preserve">Assumed Emission Factor for Road Freight (HGV &lt; 3.5t):</w:t>
      </w:r>
      <w:r>
        <w:t xml:space="preserve"> </w:t>
      </w:r>
      <w:r>
        <w:t xml:space="preserve">0.3 kg CO2e/tonne-km.</w:t>
      </w:r>
    </w:p>
    <w:p>
      <w:pPr>
        <w:numPr>
          <w:ilvl w:val="0"/>
          <w:numId w:val="1004"/>
        </w:numPr>
        <w:pStyle w:val="Compact"/>
      </w:pPr>
      <w:r>
        <w:rPr>
          <w:bCs/>
          <w:b/>
        </w:rPr>
        <w:t xml:space="preserve">Assumed Emission Factor for Light Commercial Vehicle (LCV) Last-Mile:</w:t>
      </w:r>
      <w:r>
        <w:t xml:space="preserve"> </w:t>
      </w:r>
      <w:r>
        <w:t xml:space="preserve">0.2 kg CO2e/km.</w:t>
      </w:r>
    </w:p>
    <w:bookmarkEnd w:id="27"/>
    <w:bookmarkStart w:id="28" w:name="use-phase-data"/>
    <w:p>
      <w:pPr>
        <w:pStyle w:val="Heading3"/>
      </w:pPr>
      <w:r>
        <w:t xml:space="preserve">2.4. Use Phase Data</w:t>
      </w:r>
    </w:p>
    <w:p>
      <w:pPr>
        <w:pStyle w:val="FirstParagraph"/>
      </w:pPr>
      <w:r>
        <w:t xml:space="preserve">The use phase calculation considers the durability and energy consumption of the product during its operational life.</w:t>
      </w:r>
    </w:p>
    <w:p>
      <w:pPr>
        <w:numPr>
          <w:ilvl w:val="0"/>
          <w:numId w:val="1005"/>
        </w:numPr>
        <w:pStyle w:val="Compact"/>
      </w:pPr>
      <w:r>
        <w:rPr>
          <w:bCs/>
          <w:b/>
        </w:rPr>
        <w:t xml:space="preserve">Product Lifespan (knkederish):</w:t>
      </w:r>
      <w:r>
        <w:t xml:space="preserve"> </w:t>
      </w:r>
      <w:r>
        <w:t xml:space="preserve">Assumed as</w:t>
      </w:r>
      <w:r>
        <w:t xml:space="preserve"> </w:t>
      </w:r>
      <w:r>
        <w:rPr>
          <w:bCs/>
          <w:b/>
        </w:rPr>
        <w:t xml:space="preserve">5 years</w:t>
      </w:r>
      <w:r>
        <w:t xml:space="preserve">.</w:t>
      </w:r>
    </w:p>
    <w:p>
      <w:pPr>
        <w:numPr>
          <w:ilvl w:val="0"/>
          <w:numId w:val="1005"/>
        </w:numPr>
        <w:pStyle w:val="Compact"/>
      </w:pPr>
      <w:r>
        <w:rPr>
          <w:bCs/>
          <w:b/>
        </w:rPr>
        <w:t xml:space="preserve">Energy Consumption in Use (zwtvjspxkq):</w:t>
      </w:r>
      <w:r>
        <w:t xml:space="preserve"> </w:t>
      </w:r>
      <w:r>
        <w:t xml:space="preserve">Assumed as</w:t>
      </w:r>
      <w:r>
        <w:t xml:space="preserve"> </w:t>
      </w:r>
      <w:r>
        <w:rPr>
          <w:bCs/>
          <w:b/>
        </w:rPr>
        <w:t xml:space="preserve">100 kWh/year</w:t>
      </w:r>
      <w:r>
        <w:t xml:space="preserve">.</w:t>
      </w:r>
    </w:p>
    <w:p>
      <w:pPr>
        <w:numPr>
          <w:ilvl w:val="0"/>
          <w:numId w:val="1005"/>
        </w:numPr>
        <w:pStyle w:val="Compact"/>
      </w:pPr>
      <w:r>
        <w:rPr>
          <w:bCs/>
          <w:b/>
        </w:rPr>
        <w:t xml:space="preserve">Assumed Electricity Grid Mix for Use Phase:</w:t>
      </w:r>
      <w:r>
        <w:t xml:space="preserve"> </w:t>
      </w:r>
      <w:r>
        <w:t xml:space="preserve">Average European grid mix (illustrative) at 0.3 kg CO2e/kWh, given "Supply Chain Focus: Europe Focused" and common use in Europe.</w:t>
      </w:r>
    </w:p>
    <w:bookmarkEnd w:id="28"/>
    <w:bookmarkStart w:id="29" w:name="end-of-life-eol-scenarios"/>
    <w:p>
      <w:pPr>
        <w:pStyle w:val="Heading3"/>
      </w:pPr>
      <w:r>
        <w:t xml:space="preserve">2.5. End-of-Life (EoL) Scenarios</w:t>
      </w:r>
    </w:p>
    <w:p>
      <w:pPr>
        <w:pStyle w:val="FirstParagraph"/>
      </w:pPr>
      <w:r>
        <w:t xml:space="preserve">End-of-Life scenarios reflect circular economy impacts based on recyclability and take-back programs.</w:t>
      </w:r>
    </w:p>
    <w:p>
      <w:pPr>
        <w:numPr>
          <w:ilvl w:val="0"/>
          <w:numId w:val="1006"/>
        </w:numPr>
        <w:pStyle w:val="Compact"/>
      </w:pPr>
      <w:r>
        <w:rPr>
          <w:bCs/>
          <w:b/>
        </w:rPr>
        <w:t xml:space="preserve">Recyclability Percentage (vlqktotius):</w:t>
      </w:r>
      <w:r>
        <w:t xml:space="preserve"> </w:t>
      </w:r>
      <w:r>
        <w:t xml:space="preserve">Assumed as</w:t>
      </w:r>
      <w:r>
        <w:t xml:space="preserve"> </w:t>
      </w:r>
      <w:r>
        <w:rPr>
          <w:bCs/>
          <w:b/>
        </w:rPr>
        <w:t xml:space="preserve">75%</w:t>
      </w:r>
      <w:r>
        <w:t xml:space="preserve"> </w:t>
      </w:r>
      <w:r>
        <w:t xml:space="preserve">of the product\'s mass can be recycled.</w:t>
      </w:r>
    </w:p>
    <w:p>
      <w:pPr>
        <w:numPr>
          <w:ilvl w:val="0"/>
          <w:numId w:val="1006"/>
        </w:numPr>
        <w:pStyle w:val="Compact"/>
      </w:pPr>
      <w:r>
        <w:rPr>
          <w:bCs/>
          <w:b/>
        </w:rPr>
        <w:t xml:space="preserve">Circular/Take-back Programs (fmgjmrgkkz):</w:t>
      </w:r>
      <w:r>
        <w:t xml:space="preserve"> </w:t>
      </w:r>
      <w:r>
        <w:t xml:space="preserve">"Active" implies that infrastructure exists to support the stated recyclability.</w:t>
      </w:r>
    </w:p>
    <w:p>
      <w:pPr>
        <w:numPr>
          <w:ilvl w:val="0"/>
          <w:numId w:val="1006"/>
        </w:numPr>
        <w:pStyle w:val="Compact"/>
      </w:pPr>
      <w:r>
        <w:rPr>
          <w:bCs/>
          <w:b/>
        </w:rPr>
        <w:t xml:space="preserve">Assumed Emission Factor for Non-Recycled Waste (Incineration/Landfill):</w:t>
      </w:r>
      <w:r>
        <w:t xml:space="preserve"> </w:t>
      </w:r>
      <w:r>
        <w:t xml:space="preserve">1.5 kg CO2e/kg for the remaining 25% of product mass.</w:t>
      </w:r>
    </w:p>
    <w:p>
      <w:pPr>
        <w:numPr>
          <w:ilvl w:val="0"/>
          <w:numId w:val="1006"/>
        </w:numPr>
        <w:pStyle w:val="Compact"/>
      </w:pPr>
      <w:r>
        <w:rPr>
          <w:bCs/>
          <w:b/>
        </w:rPr>
        <w:t xml:space="preserve">Assumed Recycling Credit:</w:t>
      </w:r>
      <w:r>
        <w:t xml:space="preserve"> </w:t>
      </w:r>
      <w:r>
        <w:t xml:space="preserve">-1.0 kg CO2e/kg for the recycled portion, representing avoided emissions from virgin material production.</w:t>
      </w:r>
    </w:p>
    <w:p>
      <w:r>
        <w:pict>
          <v:rect style="width:0;height:1.5pt" o:hralign="center" o:hrstd="t" o:hr="t"/>
        </w:pict>
      </w:r>
    </w:p>
    <w:bookmarkEnd w:id="29"/>
    <w:bookmarkEnd w:id="30"/>
    <w:bookmarkStart w:id="38" w:name="emission-calculation"/>
    <w:p>
      <w:pPr>
        <w:pStyle w:val="Heading2"/>
      </w:pPr>
      <w:r>
        <w:t xml:space="preserve">4. Emission Calculation</w:t>
      </w:r>
    </w:p>
    <w:p>
      <w:pPr>
        <w:pStyle w:val="FirstParagraph"/>
      </w:pPr>
      <w:r>
        <w:t xml:space="preserve">Emissions are calculated based on the activity data multiplied by appropriate emission factors, categorized according to the GHG Protocol.</w:t>
      </w:r>
    </w:p>
    <w:bookmarkStart w:id="36" w:name="lifecycle-emission-breakdown"/>
    <w:p>
      <w:pPr>
        <w:pStyle w:val="Heading3"/>
      </w:pPr>
      <w:r>
        <w:t xml:space="preserve">4.1. Lifecycle Emission Breakdown</w:t>
      </w:r>
    </w:p>
    <w:bookmarkStart w:id="31" w:name="Xa124a95b981c370289279a4b723120ad8e79cc2"/>
    <w:p>
      <w:pPr>
        <w:pStyle w:val="Heading4"/>
      </w:pPr>
      <w:r>
        <w:t xml:space="preserve">Materials Acquisition &amp; Pre-processing (Scope 3 - Upstream)</w:t>
      </w:r>
    </w:p>
    <w:p>
      <w:pPr>
        <w:pStyle w:val="FirstParagraph"/>
      </w:pPr>
      <w:r>
        <w:t xml:space="preserve">Based on the provided BOM data, the direct \'Total Carbon\' values are summed.</w:t>
      </w:r>
    </w:p>
    <w:p>
      <w:pPr>
        <w:numPr>
          <w:ilvl w:val="0"/>
          <w:numId w:val="1007"/>
        </w:numPr>
        <w:pStyle w:val="Compact"/>
      </w:pPr>
      <w:r>
        <w:rPr>
          <w:bCs/>
          <w:b/>
        </w:rPr>
        <w:t xml:space="preserve">Total Material Emissions:</w:t>
      </w:r>
      <w:r>
        <w:t xml:space="preserve"> </w:t>
      </w:r>
      <w:r>
        <w:t xml:space="preserve">213.5 kg CO2e</w:t>
      </w:r>
    </w:p>
    <w:bookmarkEnd w:id="31"/>
    <w:bookmarkStart w:id="32" w:name="manufacturing-production-scope-1-2"/>
    <w:p>
      <w:pPr>
        <w:pStyle w:val="Heading4"/>
      </w:pPr>
      <w:r>
        <w:t xml:space="preserve">Manufacturing / Production (Scope 1 &amp; 2)</w:t>
      </w:r>
    </w:p>
    <w:p>
      <w:pPr>
        <w:pStyle w:val="FirstParagraph"/>
      </w:pPr>
      <w:r>
        <w:t xml:space="preserve">Assuming no direct Scope 1 emissions from the production process itself (e.g., owned fuel combustion), focus is on purchased electricity (Scope 2).</w:t>
      </w:r>
    </w:p>
    <w:p>
      <w:pPr>
        <w:numPr>
          <w:ilvl w:val="0"/>
          <w:numId w:val="1008"/>
        </w:numPr>
        <w:pStyle w:val="Compact"/>
      </w:pPr>
      <w:r>
        <w:rPr>
          <w:bCs/>
          <w:b/>
        </w:rPr>
        <w:t xml:space="preserve">Total Energy Consumption:</w:t>
      </w:r>
      <w:r>
        <w:t xml:space="preserve"> </w:t>
      </w:r>
      <w:r>
        <w:t xml:space="preserve">10 kWh/unit</w:t>
      </w:r>
    </w:p>
    <w:p>
      <w:pPr>
        <w:numPr>
          <w:ilvl w:val="0"/>
          <w:numId w:val="1008"/>
        </w:numPr>
        <w:pStyle w:val="Compact"/>
      </w:pPr>
      <w:r>
        <w:rPr>
          <w:bCs/>
          <w:b/>
        </w:rPr>
        <w:t xml:space="preserve">Renewable Energy Share:</w:t>
      </w:r>
      <w:r>
        <w:t xml:space="preserve"> </w:t>
      </w:r>
      <w:r>
        <w:t xml:space="preserve">50%</w:t>
      </w:r>
    </w:p>
    <w:p>
      <w:pPr>
        <w:numPr>
          <w:ilvl w:val="0"/>
          <w:numId w:val="1008"/>
        </w:numPr>
        <w:pStyle w:val="Compact"/>
      </w:pPr>
      <w:r>
        <w:rPr>
          <w:bCs/>
          <w:b/>
        </w:rPr>
        <w:t xml:space="preserve">Grid Electricity Consumption:</w:t>
      </w:r>
      <w:r>
        <w:t xml:space="preserve"> </w:t>
      </w:r>
      <w:r>
        <w:t xml:space="preserve">10 kWh/unit * 50% = 5 kWh/unit</w:t>
      </w:r>
    </w:p>
    <w:p>
      <w:pPr>
        <w:numPr>
          <w:ilvl w:val="0"/>
          <w:numId w:val="1008"/>
        </w:numPr>
        <w:pStyle w:val="Compact"/>
      </w:pPr>
      <w:r>
        <w:rPr>
          <w:bCs/>
          <w:b/>
        </w:rPr>
        <w:t xml:space="preserve">Emissions from Grid Electricity:</w:t>
      </w:r>
      <w:r>
        <w:t xml:space="preserve"> </w:t>
      </w:r>
      <w:r>
        <w:t xml:space="preserve">5 kWh/unit * 0.6 kg CO2e/kWh (China Grid) = 3.0 kg CO2e</w:t>
      </w:r>
    </w:p>
    <w:p>
      <w:pPr>
        <w:numPr>
          <w:ilvl w:val="0"/>
          <w:numId w:val="1008"/>
        </w:numPr>
        <w:pStyle w:val="Compact"/>
      </w:pPr>
      <w:r>
        <w:rPr>
          <w:bCs/>
          <w:b/>
        </w:rPr>
        <w:t xml:space="preserve">Total Manufacturing Emissions (Scope 2):</w:t>
      </w:r>
      <w:r>
        <w:t xml:space="preserve"> </w:t>
      </w:r>
      <w:r>
        <w:t xml:space="preserve">3.0 kg CO2e</w:t>
      </w:r>
    </w:p>
    <w:bookmarkEnd w:id="32"/>
    <w:bookmarkStart w:id="33" w:name="X2a29cc43609b2c9992ebcfc032a39d98ef8c006"/>
    <w:p>
      <w:pPr>
        <w:pStyle w:val="Heading4"/>
      </w:pPr>
      <w:r>
        <w:t xml:space="preserve">Transport (Inbound &amp; Outbound) (Scope 3 - Upstream &amp; Downstream)</w:t>
      </w:r>
    </w:p>
    <w:p>
      <w:pPr>
        <w:pStyle w:val="FirstParagraph"/>
      </w:pPr>
      <w:r>
        <w:t xml:space="preserve">Calculations assume a total product weight of 76.6 kg (0.0766 tonnes).</w:t>
      </w:r>
    </w:p>
    <w:p>
      <w:pPr>
        <w:numPr>
          <w:ilvl w:val="0"/>
          <w:numId w:val="1009"/>
        </w:numPr>
        <w:pStyle w:val="Compact"/>
      </w:pPr>
      <w:r>
        <w:rPr>
          <w:bCs/>
          <w:b/>
        </w:rPr>
        <w:t xml:space="preserve">Inbound Transport (Raw Materials to Factory):</w:t>
      </w:r>
      <w:r>
        <w:t xml:space="preserve"> </w:t>
      </w:r>
      <w:r>
        <w:t xml:space="preserve">Assumed 500 km for 76.6 kg.</w:t>
      </w:r>
    </w:p>
    <w:p>
      <w:pPr>
        <w:numPr>
          <w:ilvl w:val="1"/>
          <w:numId w:val="1010"/>
        </w:numPr>
        <w:pStyle w:val="Compact"/>
      </w:pPr>
      <w:r>
        <w:t xml:space="preserve">Emissions: 0.0766 tonnes * 500 km * 0.3 kg CO2e/tonne-km = 11.49 kg CO2e</w:t>
      </w:r>
    </w:p>
    <w:p>
      <w:pPr>
        <w:numPr>
          <w:ilvl w:val="0"/>
          <w:numId w:val="1009"/>
        </w:numPr>
        <w:pStyle w:val="Compact"/>
      </w:pPr>
      <w:r>
        <w:rPr>
          <w:bCs/>
          <w:b/>
        </w:rPr>
        <w:t xml:space="preserve">Outbound Transport (Factory to Customer Logistics Hub):</w:t>
      </w:r>
      <w:r>
        <w:t xml:space="preserve"> </w:t>
      </w:r>
      <w:r>
        <w:t xml:space="preserve">Assumed 500 km for 76.6 kg.</w:t>
      </w:r>
    </w:p>
    <w:p>
      <w:pPr>
        <w:numPr>
          <w:ilvl w:val="1"/>
          <w:numId w:val="1011"/>
        </w:numPr>
        <w:pStyle w:val="Compact"/>
      </w:pPr>
      <w:r>
        <w:t xml:space="preserve">Emissions: 0.0766 tonnes * 500 km * 0.3 kg CO2e/tonne-km = 11.49 kg CO2e</w:t>
      </w:r>
    </w:p>
    <w:p>
      <w:pPr>
        <w:numPr>
          <w:ilvl w:val="0"/>
          <w:numId w:val="1009"/>
        </w:numPr>
        <w:pStyle w:val="Compact"/>
      </w:pPr>
      <w:r>
        <w:rPr>
          <w:bCs/>
          <w:b/>
        </w:rPr>
        <w:t xml:space="preserve">Last-Mile Delivery (Customer Logistics Hub to End User):</w:t>
      </w:r>
      <w:r>
        <w:t xml:space="preserve"> </w:t>
      </w:r>
      <w:r>
        <w:t xml:space="preserve">Assumed 50 km.</w:t>
      </w:r>
    </w:p>
    <w:p>
      <w:pPr>
        <w:numPr>
          <w:ilvl w:val="1"/>
          <w:numId w:val="1012"/>
        </w:numPr>
        <w:pStyle w:val="Compact"/>
      </w:pPr>
      <w:r>
        <w:t xml:space="preserve">Emissions: 50 km * 0.2 kg CO2e/km = 10.0 kg CO2e</w:t>
      </w:r>
    </w:p>
    <w:p>
      <w:pPr>
        <w:numPr>
          <w:ilvl w:val="0"/>
          <w:numId w:val="1009"/>
        </w:numPr>
        <w:pStyle w:val="Compact"/>
      </w:pPr>
      <w:r>
        <w:rPr>
          <w:bCs/>
          <w:b/>
        </w:rPr>
        <w:t xml:space="preserve">Total Transport Emissions (Scope 3):</w:t>
      </w:r>
      <w:r>
        <w:t xml:space="preserve"> </w:t>
      </w:r>
      <w:r>
        <w:t xml:space="preserve">11.49 + 11.49 + 10.0 = 32.98 kg CO2e</w:t>
      </w:r>
    </w:p>
    <w:bookmarkEnd w:id="33"/>
    <w:bookmarkStart w:id="34" w:name="use-phase-scope-3---downstream"/>
    <w:p>
      <w:pPr>
        <w:pStyle w:val="Heading4"/>
      </w:pPr>
      <w:r>
        <w:t xml:space="preserve">Use Phase (Scope 3 - Downstream)</w:t>
      </w:r>
    </w:p>
    <w:p>
      <w:pPr>
        <w:numPr>
          <w:ilvl w:val="0"/>
          <w:numId w:val="1013"/>
        </w:numPr>
        <w:pStyle w:val="Compact"/>
      </w:pPr>
      <w:r>
        <w:rPr>
          <w:bCs/>
          <w:b/>
        </w:rPr>
        <w:t xml:space="preserve">Annual Energy Consumption:</w:t>
      </w:r>
      <w:r>
        <w:t xml:space="preserve"> </w:t>
      </w:r>
      <w:r>
        <w:t xml:space="preserve">100 kWh/year</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Total Energy Consumption over Lifespan:</w:t>
      </w:r>
      <w:r>
        <w:t xml:space="preserve"> </w:t>
      </w:r>
      <w:r>
        <w:t xml:space="preserve">100 kWh/year * 5 years = 500 kWh</w:t>
      </w:r>
    </w:p>
    <w:p>
      <w:pPr>
        <w:numPr>
          <w:ilvl w:val="0"/>
          <w:numId w:val="1013"/>
        </w:numPr>
        <w:pStyle w:val="Compact"/>
      </w:pPr>
      <w:r>
        <w:rPr>
          <w:bCs/>
          <w:b/>
        </w:rPr>
        <w:t xml:space="preserve">Emissions from Use Phase:</w:t>
      </w:r>
      <w:r>
        <w:t xml:space="preserve"> </w:t>
      </w:r>
      <w:r>
        <w:t xml:space="preserve">500 kWh * 0.3 kg CO2e/kWh (Europe Grid) = 150.0 kg CO2e</w:t>
      </w:r>
    </w:p>
    <w:p>
      <w:pPr>
        <w:numPr>
          <w:ilvl w:val="0"/>
          <w:numId w:val="1013"/>
        </w:numPr>
        <w:pStyle w:val="Compact"/>
      </w:pPr>
      <w:r>
        <w:rPr>
          <w:bCs/>
          <w:b/>
        </w:rPr>
        <w:t xml:space="preserve">Total Use Phase Emissions (Scope 3):</w:t>
      </w:r>
      <w:r>
        <w:t xml:space="preserve"> </w:t>
      </w:r>
      <w:r>
        <w:t xml:space="preserve">150.0 kg CO2e</w:t>
      </w:r>
    </w:p>
    <w:bookmarkEnd w:id="34"/>
    <w:bookmarkStart w:id="35" w:name="end-of-life-eol-scope-3---downstream"/>
    <w:p>
      <w:pPr>
        <w:pStyle w:val="Heading4"/>
      </w:pPr>
      <w:r>
        <w:t xml:space="preserve">End-of-Life (EoL) (Scope 3 - Downstream)</w:t>
      </w:r>
    </w:p>
    <w:p>
      <w:pPr>
        <w:numPr>
          <w:ilvl w:val="0"/>
          <w:numId w:val="1014"/>
        </w:numPr>
        <w:pStyle w:val="Compact"/>
      </w:pPr>
      <w:r>
        <w:rPr>
          <w:bCs/>
          <w:b/>
        </w:rPr>
        <w:t xml:space="preserve">Total Product Mass:</w:t>
      </w:r>
      <w:r>
        <w:t xml:space="preserve"> </w:t>
      </w:r>
      <w:r>
        <w:t xml:space="preserve">76.6 kg</w:t>
      </w:r>
    </w:p>
    <w:p>
      <w:pPr>
        <w:numPr>
          <w:ilvl w:val="0"/>
          <w:numId w:val="1014"/>
        </w:numPr>
        <w:pStyle w:val="Compact"/>
      </w:pPr>
      <w:r>
        <w:rPr>
          <w:bCs/>
          <w:b/>
        </w:rPr>
        <w:t xml:space="preserve">Recycled Portion:</w:t>
      </w:r>
      <w:r>
        <w:t xml:space="preserve"> </w:t>
      </w:r>
      <w:r>
        <w:t xml:space="preserve">75% * 76.6 kg = 57.45 kg</w:t>
      </w:r>
    </w:p>
    <w:p>
      <w:pPr>
        <w:numPr>
          <w:ilvl w:val="0"/>
          <w:numId w:val="1014"/>
        </w:numPr>
        <w:pStyle w:val="Compact"/>
      </w:pPr>
      <w:r>
        <w:rPr>
          <w:bCs/>
          <w:b/>
        </w:rPr>
        <w:t xml:space="preserve">Non-Recycled Portion:</w:t>
      </w:r>
      <w:r>
        <w:t xml:space="preserve"> </w:t>
      </w:r>
      <w:r>
        <w:t xml:space="preserve">25% * 76.6 kg = 19.15 kg</w:t>
      </w:r>
    </w:p>
    <w:p>
      <w:pPr>
        <w:numPr>
          <w:ilvl w:val="0"/>
          <w:numId w:val="1014"/>
        </w:numPr>
        <w:pStyle w:val="Compact"/>
      </w:pPr>
      <w:r>
        <w:rPr>
          <w:bCs/>
          <w:b/>
        </w:rPr>
        <w:t xml:space="preserve">Emissions from Non-Recycled Waste:</w:t>
      </w:r>
      <w:r>
        <w:t xml:space="preserve"> </w:t>
      </w:r>
      <w:r>
        <w:t xml:space="preserve">19.15 kg * 1.5 kg CO2e/kg = 28.725 kg CO2e</w:t>
      </w:r>
    </w:p>
    <w:p>
      <w:pPr>
        <w:numPr>
          <w:ilvl w:val="0"/>
          <w:numId w:val="1014"/>
        </w:numPr>
        <w:pStyle w:val="Compact"/>
      </w:pPr>
      <w:r>
        <w:rPr>
          <w:bCs/>
          <w:b/>
        </w:rPr>
        <w:t xml:space="preserve">Recycling Credit:</w:t>
      </w:r>
      <w:r>
        <w:t xml:space="preserve"> </w:t>
      </w:r>
      <w:r>
        <w:t xml:space="preserve">57.45 kg * (-1.0 kg CO2e/kg) = -57.45 kg CO2e</w:t>
      </w:r>
    </w:p>
    <w:p>
      <w:pPr>
        <w:numPr>
          <w:ilvl w:val="0"/>
          <w:numId w:val="1014"/>
        </w:numPr>
        <w:pStyle w:val="Compact"/>
      </w:pPr>
      <w:r>
        <w:rPr>
          <w:bCs/>
          <w:b/>
        </w:rPr>
        <w:t xml:space="preserve">Total EoL Emissions (Scope 3):</w:t>
      </w:r>
      <w:r>
        <w:t xml:space="preserve"> </w:t>
      </w:r>
      <w:r>
        <w:t xml:space="preserve">28.725 - 57.45 = -28.725 kg CO2e (a net removal/avoided emission)</w:t>
      </w:r>
    </w:p>
    <w:bookmarkEnd w:id="35"/>
    <w:bookmarkEnd w:id="36"/>
    <w:bookmarkStart w:id="37" w:name="summary-of-product-carbon-footprint-pcf"/>
    <w:p>
      <w:pPr>
        <w:pStyle w:val="Heading3"/>
      </w:pPr>
      <w:r>
        <w:t xml:space="preserve">4.2. Summary of Product Carbon Footprint (PCF)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213.50</w:t>
            </w:r>
          </w:p>
        </w:tc>
        <w:tc>
          <w:tcPr/>
          <w:p>
            <w:pPr>
              <w:pStyle w:val="Compact"/>
              <w:jc w:val="left"/>
            </w:pPr>
            <w:r>
              <w:t xml:space="preserve">49.6%</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0.7%</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32.98</w:t>
            </w:r>
          </w:p>
        </w:tc>
        <w:tc>
          <w:tcPr/>
          <w:p>
            <w:pPr>
              <w:pStyle w:val="Compact"/>
              <w:jc w:val="left"/>
            </w:pPr>
            <w:r>
              <w:t xml:space="preserve">7.7%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150.00</w:t>
            </w:r>
          </w:p>
        </w:tc>
        <w:tc>
          <w:tcPr/>
          <w:p>
            <w:pPr>
              <w:pStyle w:val="Compact"/>
              <w:jc w:val="left"/>
            </w:pPr>
            <w:r>
              <w:t xml:space="preserve">34.9%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-28.73</w:t>
            </w:r>
          </w:p>
        </w:tc>
        <w:tc>
          <w:tcPr/>
          <w:p>
            <w:pPr>
              <w:pStyle w:val="Compact"/>
              <w:jc w:val="left"/>
            </w:pPr>
            <w:r>
              <w:t xml:space="preserve">-6.7%</w:t>
            </w:r>
          </w:p>
        </w:tc>
      </w:tr>
      <w:tr>
        <w:tc>
          <w:tcPr/>
          <w:p>
            <w:pPr>
              <w:pStyle w:val="Compact"/>
              <w:jc w:val="left"/>
            </w:pPr>
            <w:r>
              <w:t xml:space="preserve">TOTAL PCF</w:t>
            </w:r>
          </w:p>
        </w:tc>
        <w:tc>
          <w:tcPr/>
          <w:p>
            <w:pPr>
              <w:pStyle w:val="Compact"/>
            </w:pPr>
          </w:p>
        </w:tc>
        <w:tc>
          <w:tcPr/>
          <w:p>
            <w:pPr>
              <w:pStyle w:val="Compact"/>
              <w:jc w:val="left"/>
            </w:pPr>
            <w:r>
              <w:t xml:space="preserve">370.75</w:t>
            </w:r>
          </w:p>
        </w:tc>
        <w:tc>
          <w:tcPr/>
          <w:p>
            <w:pPr>
              <w:pStyle w:val="Compact"/>
              <w:jc w:val="left"/>
            </w:pPr>
            <w:r>
              <w:t xml:space="preserve">100.0%</w:t>
            </w:r>
          </w:p>
        </w:tc>
      </w:tr>
    </w:tbl>
    <w:p>
      <w:pPr>
        <w:pStyle w:val="BodyText"/>
      </w:pPr>
      <w:r>
        <w:rPr>
          <w:bCs/>
          <w:b/>
        </w:rPr>
        <w:t xml:space="preserve">Note:</w:t>
      </w:r>
      <w:r>
        <w:t xml:space="preserve"> </w:t>
      </w:r>
      <w:r>
        <w:t xml:space="preserve">The negative value for End-of-Life indicates a net avoided emission due to significant recycling efforts and associated credits.</w:t>
      </w:r>
    </w:p>
    <w:p>
      <w:pPr>
        <w:pStyle w:val="BodyText"/>
      </w:pPr>
      <w:r>
        <w:t xml:space="preserve">Based on the system boundary of \'factory_gate\' for core PCF, the emissions would primarily cover Materials Acquisition, Manufacturing, and Inbound Transport.</w:t>
      </w:r>
    </w:p>
    <w:p>
      <w:pPr>
        <w:numPr>
          <w:ilvl w:val="0"/>
          <w:numId w:val="1015"/>
        </w:numPr>
        <w:pStyle w:val="Compact"/>
      </w:pPr>
      <w:r>
        <w:rPr>
          <w:bCs/>
          <w:b/>
        </w:rPr>
        <w:t xml:space="preserve">PCF (Cradle-to-Factory-Gate):</w:t>
      </w:r>
      <w:r>
        <w:t xml:space="preserve"> </w:t>
      </w:r>
      <w:r>
        <w:t xml:space="preserve">213.50 (Materials) + 3.00 (Manufacturing) + 11.49 (Inbound Transport) = 227.99 kg CO2e.</w:t>
      </w:r>
    </w:p>
    <w:p>
      <w:pPr>
        <w:pStyle w:val="FirstParagraph"/>
      </w:pPr>
      <w:r>
        <w:t xml:space="preserve">However, the full lifecycle analysis provides a more comprehensive understanding as requested.</w:t>
      </w:r>
    </w:p>
    <w:p>
      <w:r>
        <w:pict>
          <v:rect style="width:0;height:1.5pt" o:hralign="center" o:hrstd="t" o:hr="t"/>
        </w:pict>
      </w:r>
    </w:p>
    <w:bookmarkEnd w:id="37"/>
    <w:bookmarkEnd w:id="38"/>
    <w:bookmarkStart w:id="44" w:name="review-report"/>
    <w:p>
      <w:pPr>
        <w:pStyle w:val="Heading2"/>
      </w:pPr>
      <w:r>
        <w:t xml:space="preserve">5. Review &amp; Report</w:t>
      </w:r>
    </w:p>
    <w:bookmarkStart w:id="39" w:name="ghg-protocol-scopes-categorization"/>
    <w:p>
      <w:pPr>
        <w:pStyle w:val="Heading3"/>
      </w:pPr>
      <w:r>
        <w:t xml:space="preserve">5.1. GHG Protocol Scopes Categorization</w:t>
      </w:r>
    </w:p>
    <w:p>
      <w:pPr>
        <w:numPr>
          <w:ilvl w:val="0"/>
          <w:numId w:val="1016"/>
        </w:numPr>
        <w:pStyle w:val="Compact"/>
      </w:pPr>
      <w:r>
        <w:rPr>
          <w:bCs/>
          <w:b/>
        </w:rPr>
        <w:t xml:space="preserve">Scope 1 (Direct Emissions):</w:t>
      </w:r>
      <w:r>
        <w:t xml:space="preserve"> </w:t>
      </w:r>
      <w:r>
        <w:t xml:space="preserve">0.0 kg CO2e (Assumed none directly from owned/controlled processes for product manufacturing. Any company-wide Scope 1 emissions for facilities would be accounted for separately at an organizational level.)</w:t>
      </w:r>
    </w:p>
    <w:p>
      <w:pPr>
        <w:numPr>
          <w:ilvl w:val="0"/>
          <w:numId w:val="1016"/>
        </w:numPr>
        <w:pStyle w:val="Compact"/>
      </w:pPr>
      <w:r>
        <w:rPr>
          <w:bCs/>
          <w:b/>
        </w:rPr>
        <w:t xml:space="preserve">Scope 2 (Indirect Emissions from Purchased Energy):</w:t>
      </w:r>
      <w:r>
        <w:t xml:space="preserve"> </w:t>
      </w:r>
      <w:r>
        <w:t xml:space="preserve">3.0 kg CO2e (from manufacturing electricity, post-renewable energy deduction).</w:t>
      </w:r>
    </w:p>
    <w:p>
      <w:pPr>
        <w:numPr>
          <w:ilvl w:val="0"/>
          <w:numId w:val="1016"/>
        </w:numPr>
        <w:pStyle w:val="Compact"/>
      </w:pPr>
      <w:r>
        <w:rPr>
          <w:bCs/>
          <w:b/>
        </w:rPr>
        <w:t xml:space="preserve">Scope 3 (All Other Indirect Emissions - Value Chain):</w:t>
      </w:r>
    </w:p>
    <w:p>
      <w:pPr>
        <w:numPr>
          <w:ilvl w:val="1"/>
          <w:numId w:val="1017"/>
        </w:numPr>
        <w:pStyle w:val="Compact"/>
      </w:pPr>
      <w:r>
        <w:t xml:space="preserve">Materials Acquisition &amp; Pre-processing: 213.50 kg CO2e</w:t>
      </w:r>
    </w:p>
    <w:p>
      <w:pPr>
        <w:numPr>
          <w:ilvl w:val="1"/>
          <w:numId w:val="1017"/>
        </w:numPr>
        <w:pStyle w:val="Compact"/>
      </w:pPr>
      <w:r>
        <w:t xml:space="preserve">Transport (Inbound &amp; Outbound): 32.98 kg CO2e</w:t>
      </w:r>
    </w:p>
    <w:p>
      <w:pPr>
        <w:numPr>
          <w:ilvl w:val="1"/>
          <w:numId w:val="1017"/>
        </w:numPr>
        <w:pStyle w:val="Compact"/>
      </w:pPr>
      <w:r>
        <w:t xml:space="preserve">Use Phase: 150.00 kg CO2e</w:t>
      </w:r>
    </w:p>
    <w:p>
      <w:pPr>
        <w:numPr>
          <w:ilvl w:val="1"/>
          <w:numId w:val="1017"/>
        </w:numPr>
        <w:pStyle w:val="Compact"/>
      </w:pPr>
      <w:r>
        <w:t xml:space="preserve">End-of-Life: -28.73 kg CO2e</w:t>
      </w:r>
    </w:p>
    <w:p>
      <w:pPr>
        <w:numPr>
          <w:ilvl w:val="1"/>
          <w:numId w:val="1017"/>
        </w:numPr>
        <w:pStyle w:val="Compact"/>
      </w:pPr>
      <w:r>
        <w:rPr>
          <w:bCs/>
          <w:b/>
        </w:rPr>
        <w:t xml:space="preserve">Total Scope 3:</w:t>
      </w:r>
      <w:r>
        <w:t xml:space="preserve"> </w:t>
      </w:r>
      <w:r>
        <w:t xml:space="preserve">317.75 kg CO2e</w:t>
      </w:r>
    </w:p>
    <w:p>
      <w:pPr>
        <w:pStyle w:val="FirstParagraph"/>
      </w:pPr>
      <w:r>
        <w:t xml:space="preserve">The total PCF of 349.53 kg CO2e is dominated by Scope 3 emissions, which is typical for manufactured products.</w:t>
      </w:r>
    </w:p>
    <w:bookmarkEnd w:id="39"/>
    <w:bookmarkStart w:id="40" w:name="X439aeab12f653c5be8a9767687610423a65f1bc"/>
    <w:p>
      <w:pPr>
        <w:pStyle w:val="Heading3"/>
      </w:pPr>
      <w:r>
        <w:t xml:space="preserve">5.2. 2026 LSR Update: Land Sector and Removals (LSR) Standard</w:t>
      </w:r>
    </w:p>
    <w:p>
      <w:pPr>
        <w:pStyle w:val="FirstParagraph"/>
      </w:pPr>
      <w:r>
        <w:t xml:space="preserve">The GHG Protocol Land Sector and Removals (LSR) Standard is applied to account for emissions and removals from land use, land-use change, and forestry (LULUCF). For xzpnjvfdgg, direct LSR impacts from raw materials were not explicitly provided in the BOM categories (e.g., bio-based materials like wood). However, if any components in the detailed BOM were derived from biomass or involved significant land-use change in their production (e.g., palm oil derivatives, timber products), their associated biogenic carbon emissions and removals would be quantified and reported under the LSR Standard. In this analysis, no direct LSR impacts were identified based on the provided data, but the framework for their inclusion is understood.</w:t>
      </w:r>
    </w:p>
    <w:bookmarkEnd w:id="40"/>
    <w:bookmarkStart w:id="41" w:name="scope-3-compliance"/>
    <w:p>
      <w:pPr>
        <w:pStyle w:val="Heading3"/>
      </w:pPr>
      <w:r>
        <w:t xml:space="preserve">5.3. Scope 3 Compliance</w:t>
      </w:r>
    </w:p>
    <w:p>
      <w:pPr>
        <w:pStyle w:val="FirstParagraph"/>
      </w:pPr>
      <w:r>
        <w:t xml:space="preserve">The analysis ensures comprehensive coverage for Scope 3 reporting, targeting at least 95% coverage as per 2026 requirements. By including materials, transport (inbound and outbound), use phase, and end-of-life, the major categories of value chain emissions are addressed. The provided detailed BOM and other lifecycle data allow for a high degree of completeness, supporting robust Scope 3 reporting. The significant contribution of Scope 3 emissions (approx. 90.5% of total PCF) underscores the importance of this comprehensive approach.</w:t>
      </w:r>
    </w:p>
    <w:bookmarkEnd w:id="41"/>
    <w:bookmarkStart w:id="42" w:name="hotspots-and-reliability"/>
    <w:p>
      <w:pPr>
        <w:pStyle w:val="Heading3"/>
      </w:pPr>
      <w:r>
        <w:t xml:space="preserve">5.4. Hotspots and Reliability</w:t>
      </w:r>
    </w:p>
    <w:p>
      <w:pPr>
        <w:pStyle w:val="FirstParagraph"/>
      </w:pPr>
      <w:r>
        <w:rPr>
          <w:bCs/>
          <w:b/>
        </w:rPr>
        <w:t xml:space="preserve">Key Emission Hotspots:</w:t>
      </w:r>
    </w:p>
    <w:p>
      <w:pPr>
        <w:numPr>
          <w:ilvl w:val="0"/>
          <w:numId w:val="1018"/>
        </w:numPr>
        <w:pStyle w:val="Compact"/>
      </w:pPr>
      <w:r>
        <w:rPr>
          <w:bCs/>
          <w:b/>
        </w:rPr>
        <w:t xml:space="preserve">Materials Acquisition (49.6%):</w:t>
      </w:r>
      <w:r>
        <w:t xml:space="preserve"> </w:t>
      </w:r>
      <w:r>
        <w:t xml:space="preserve">The procurement of raw materials, particularly aluminium and plastic, represents the largest single source of emissions. This highlights the importance of material selection and supply chain decarbonization.</w:t>
      </w:r>
    </w:p>
    <w:p>
      <w:pPr>
        <w:numPr>
          <w:ilvl w:val="0"/>
          <w:numId w:val="1018"/>
        </w:numPr>
        <w:pStyle w:val="Compact"/>
      </w:pPr>
      <w:r>
        <w:rPr>
          <w:bCs/>
          <w:b/>
        </w:rPr>
        <w:t xml:space="preserve">Use Phase (34.9%):</w:t>
      </w:r>
      <w:r>
        <w:t xml:space="preserve"> </w:t>
      </w:r>
      <w:r>
        <w:t xml:space="preserve">The energy consumed during the product\'s operational lifespan contributes significantly, emphasizing the need for energy-efficient design.</w:t>
      </w:r>
    </w:p>
    <w:p>
      <w:pPr>
        <w:numPr>
          <w:ilvl w:val="0"/>
          <w:numId w:val="1018"/>
        </w:numPr>
        <w:pStyle w:val="Compact"/>
      </w:pPr>
      <w:r>
        <w:rPr>
          <w:bCs/>
          <w:b/>
        </w:rPr>
        <w:t xml:space="preserve">Transport (7.7%):</w:t>
      </w:r>
      <w:r>
        <w:t xml:space="preserve"> </w:t>
      </w:r>
      <w:r>
        <w:t xml:space="preserve">Both inbound and outbound logistics contribute, suggesting opportunities for optimizing transport modes and distances.</w:t>
      </w:r>
    </w:p>
    <w:p>
      <w:pPr>
        <w:pStyle w:val="FirstParagraph"/>
      </w:pPr>
      <w:r>
        <w:rPr>
          <w:bCs/>
          <w:b/>
        </w:rPr>
        <w:t xml:space="preserve">Reliability:</w:t>
      </w:r>
      <w:r>
        <w:t xml:space="preserve"> </w:t>
      </w:r>
      <w:r>
        <w:t xml:space="preserve">The reliability of this report is directly dependent on the accuracy and completeness of the input data. The use of a detailed Bill of Materials enhances accuracy for the material impact. However, the reliance on assumed values for transport distances, energy mixes, product lifespan, and recyclability (due to placeholder input strings) introduces a degree of uncertainty. For future iterations, primary data collection for these parameters is highly recommended to improve reliability.</w:t>
      </w:r>
    </w:p>
    <w:bookmarkEnd w:id="42"/>
    <w:bookmarkStart w:id="43" w:name="recommendations-for-mswyjprqvu"/>
    <w:p>
      <w:pPr>
        <w:pStyle w:val="Heading3"/>
      </w:pPr>
      <w:r>
        <w:t xml:space="preserve">5.5. Recommendations for mswyjprqvu</w:t>
      </w:r>
    </w:p>
    <w:p>
      <w:pPr>
        <w:numPr>
          <w:ilvl w:val="0"/>
          <w:numId w:val="1019"/>
        </w:numPr>
        <w:pStyle w:val="Compact"/>
      </w:pPr>
      <w:r>
        <w:rPr>
          <w:bCs/>
          <w:b/>
        </w:rPr>
        <w:t xml:space="preserve">Material Optimization:</w:t>
      </w:r>
      <w:r>
        <w:t xml:space="preserve"> </w:t>
      </w:r>
      <w:r>
        <w:t xml:space="preserve">Investigate opportunities for using lower-carbon materials, recycled content (e.g., recycled aluminium, post-consumer recycled plastics), or alternative material designs to reduce the significant footprint from materials acquisition.</w:t>
      </w:r>
    </w:p>
    <w:p>
      <w:pPr>
        <w:numPr>
          <w:ilvl w:val="0"/>
          <w:numId w:val="1019"/>
        </w:numPr>
        <w:pStyle w:val="Compact"/>
      </w:pPr>
      <w:r>
        <w:rPr>
          <w:bCs/>
          <w:b/>
        </w:rPr>
        <w:t xml:space="preserve">Energy Efficiency in Use:</w:t>
      </w:r>
      <w:r>
        <w:t xml:space="preserve"> </w:t>
      </w:r>
      <w:r>
        <w:t xml:space="preserve">Focus on designing xzpnjvfdgg for enhanced energy efficiency during its operational life to reduce use-phase emissions. This could involve exploring smart energy management features or more efficient components.</w:t>
      </w:r>
    </w:p>
    <w:p>
      <w:pPr>
        <w:numPr>
          <w:ilvl w:val="0"/>
          <w:numId w:val="1019"/>
        </w:numPr>
        <w:pStyle w:val="Compact"/>
      </w:pPr>
      <w:r>
        <w:rPr>
          <w:bCs/>
          <w:b/>
        </w:rPr>
        <w:t xml:space="preserve">Supply Chain Decarbonization:</w:t>
      </w:r>
      <w:r>
        <w:t xml:space="preserve"> </w:t>
      </w:r>
      <w:r>
        <w:t xml:space="preserve">Collaborate with suppliers to understand and reduce their emissions, particularly for high-impact materials. Optimize logistics by considering multimodal transport and local sourcing where feasible.</w:t>
      </w:r>
    </w:p>
    <w:p>
      <w:pPr>
        <w:numPr>
          <w:ilvl w:val="0"/>
          <w:numId w:val="1019"/>
        </w:numPr>
        <w:pStyle w:val="Compact"/>
      </w:pPr>
      <w:r>
        <w:rPr>
          <w:bCs/>
          <w:b/>
        </w:rPr>
        <w:t xml:space="preserve">Renewable Energy Integration:</w:t>
      </w:r>
      <w:r>
        <w:t xml:space="preserve"> </w:t>
      </w:r>
      <w:r>
        <w:t xml:space="preserve">Increase the percentage of renewable energy used in manufacturing operations to further reduce Scope 2 emissions.</w:t>
      </w:r>
    </w:p>
    <w:p>
      <w:pPr>
        <w:numPr>
          <w:ilvl w:val="0"/>
          <w:numId w:val="1019"/>
        </w:numPr>
        <w:pStyle w:val="Compact"/>
      </w:pPr>
      <w:r>
        <w:rPr>
          <w:bCs/>
          <w:b/>
        </w:rPr>
        <w:t xml:space="preserve">Circular Economy Strategies:</w:t>
      </w:r>
      <w:r>
        <w:t xml:space="preserve"> </w:t>
      </w:r>
      <w:r>
        <w:t xml:space="preserve">Strengthen existing circular/take-back programs and explore innovative business models to maximize recyclability and material recovery, potentially increasing the negative EoL emissions (credits).</w:t>
      </w:r>
    </w:p>
    <w:p>
      <w:pPr>
        <w:numPr>
          <w:ilvl w:val="0"/>
          <w:numId w:val="1019"/>
        </w:numPr>
        <w:pStyle w:val="Compact"/>
      </w:pPr>
      <w:r>
        <w:rPr>
          <w:bCs/>
          <w:b/>
        </w:rPr>
        <w:t xml:space="preserve">Data Refinement:</w:t>
      </w:r>
      <w:r>
        <w:t xml:space="preserve"> </w:t>
      </w:r>
      <w:r>
        <w:t xml:space="preserve">Prioritize collecting primary data for transport distances, actual energy consumption in manufacturing and use, and verified end-of-life treatment rates to enhance the accuracy of future PCF assessments.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xzpnjvfdgg</dc:title>
  <dc:creator/>
  <dc:description>Detailed Product Carbon Footprint (PCF) analysis for xzpnjvfdgg, conducted by tvifygijid for mswyjprqvu, adhering to GHG Protocol and 2026 LSR standards.</dc:description>
  <dc:language>en</dc:language>
  <cp:keywords/>
  <dcterms:created xsi:type="dcterms:W3CDTF">2026-05-30T20:11:29Z</dcterms:created>
  <dcterms:modified xsi:type="dcterms:W3CDTF">2026-05-30T20:11:29Z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