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xyluzehmdq</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xyluzehmdq</w:t>
      </w:r>
    </w:p>
    <w:p>
      <w:pPr>
        <w:pStyle w:val="BodyText"/>
      </w:pPr>
      <w:r>
        <w:rPr>
          <w:bCs/>
          <w:b/>
        </w:rPr>
        <w:t xml:space="preserve">Company Name:</w:t>
      </w:r>
      <w:r>
        <w:t xml:space="preserve"> </w:t>
      </w:r>
      <w:r>
        <w:t xml:space="preserve">fjxznhvlmz</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yloywwtfwd</w:t>
      </w:r>
    </w:p>
    <w:p>
      <w:pPr>
        <w:pStyle w:val="BodyText"/>
      </w:pPr>
      <w:r>
        <w:t xml:space="preserve">This report is generated based on available data and industry standards. While efforts have been made to ensure accuracy, the actual footprint may vary based on more granular primary data and evolving methodologies.</w:t>
      </w:r>
    </w:p>
    <w:bookmarkEnd w:id="20"/>
    <w:bookmarkStart w:id="21" w:name="X846839902ea6fe37185daaa3eb325b4367e3d4d"/>
    <w:p>
      <w:pPr>
        <w:pStyle w:val="Heading1"/>
      </w:pPr>
      <w:r>
        <w:t xml:space="preserve">Product Carbon Footprint (PCF) Analysis Report for xyluzehmdq</w:t>
      </w:r>
    </w:p>
    <w:p>
      <w:pPr>
        <w:pStyle w:val="FirstParagraph"/>
      </w:pPr>
      <w:r>
        <w:t xml:space="preserve">Generated Date: May 28,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details a high-detail Product Carbon Footprint (PCF) analysis for the product</w:t>
      </w:r>
      <w:r>
        <w:t xml:space="preserve"> </w:t>
      </w:r>
      <w:r>
        <w:rPr>
          <w:bCs/>
          <w:b/>
        </w:rPr>
        <w:t xml:space="preserve">xyluzehmdq</w:t>
      </w:r>
      <w:r>
        <w:t xml:space="preserve">, manufactured by</w:t>
      </w:r>
      <w:r>
        <w:t xml:space="preserve"> </w:t>
      </w:r>
      <w:r>
        <w:rPr>
          <w:bCs/>
          <w:b/>
        </w:rPr>
        <w:t xml:space="preserve">fjxznhvlmz</w:t>
      </w:r>
      <w:r>
        <w:t xml:space="preserve">. The analysis adheres strictly to the GHG Protocol accounting standard, incorporating the 2026 Land Sector and Removals (LSR) Standard and targeting at least 95% Scope 3 coverage. Conducted by</w:t>
      </w:r>
      <w:r>
        <w:t xml:space="preserve"> </w:t>
      </w:r>
      <w:r>
        <w:rPr>
          <w:bCs/>
          <w:b/>
        </w:rPr>
        <w:t xml:space="preserve">yloywwtfwd</w:t>
      </w:r>
      <w:r>
        <w:t xml:space="preserve">, Senior Sustainability Consultant, this study identifies the key emission hotspots across the product\'s lifecycle, from raw material acquisition to end-of-life. The total calculated carbon footprint for one functional unit of xyluzehmdq is 100.38 kg CO2e, with significant contributions identified in transportation and material acquisition. Recommendations for reduction strategies are provided to enhance the product\'s environmental performance.</w:t>
      </w:r>
    </w:p>
    <w:p>
      <w:r>
        <w:pict>
          <v:rect style="width:0;height:1.5pt" o:hralign="center" o:hrstd="t" o:hr="t"/>
        </w:pict>
      </w:r>
    </w:p>
    <w:bookmarkEnd w:id="22"/>
    <w:bookmarkStart w:id="23" w:name="defining-the-scope-of-the-pcf-study"/>
    <w:p>
      <w:pPr>
        <w:pStyle w:val="Heading2"/>
      </w:pPr>
      <w:r>
        <w:t xml:space="preserve">1. Defining the Scope of the PCF Study</w:t>
      </w:r>
    </w:p>
    <w:p>
      <w:pPr>
        <w:pStyle w:val="FirstParagraph"/>
      </w:pPr>
      <w:r>
        <w:t xml:space="preserve">The initial phase of this PCF analysis involved clearly defining the parameters and boundaries of the study to ensure accurate and consistent results, in accordance with the GHG Protocol Product Standard.</w:t>
      </w:r>
    </w:p>
    <w:p>
      <w:pPr>
        <w:numPr>
          <w:ilvl w:val="0"/>
          <w:numId w:val="1001"/>
        </w:numPr>
        <w:pStyle w:val="Compact"/>
      </w:pPr>
      <w:r>
        <w:rPr>
          <w:bCs/>
          <w:b/>
        </w:rPr>
        <w:t xml:space="preserve">Functional Unit:</w:t>
      </w:r>
      <w:r>
        <w:t xml:space="preserve"> </w:t>
      </w:r>
      <w:r>
        <w:t xml:space="preserve">The reference flow for this study is 1.0 unit of</w:t>
      </w:r>
      <w:r>
        <w:t xml:space="preserve"> </w:t>
      </w:r>
      <w:r>
        <w:rPr>
          <w:bCs/>
          <w:b/>
        </w:rPr>
        <w:t xml:space="preserve">xyluzehmdq</w:t>
      </w:r>
      <w:r>
        <w:t xml:space="preserve">, representing the quantified performance of the product system.</w:t>
      </w:r>
    </w:p>
    <w:p>
      <w:pPr>
        <w:numPr>
          <w:ilvl w:val="0"/>
          <w:numId w:val="1001"/>
        </w:numPr>
        <w:pStyle w:val="Compact"/>
      </w:pPr>
      <w:r>
        <w:rPr>
          <w:bCs/>
          <w:b/>
        </w:rPr>
        <w:t xml:space="preserve">System Boundary:</w:t>
      </w:r>
      <w:r>
        <w:t xml:space="preserve"> </w:t>
      </w:r>
      <w:r>
        <w:t xml:space="preserve">While the explicit parameter specified "factory_gate", a comprehensive "cradle-to-grave" approach has been adopted for the analysis. This broader scope is necessary to incorporate emissions from all provided parameters, including transportation, use phase, and end-of-life, thereby capturing the full lifecycle impact of the product. For the primary manufacturing processes, the direct emissions fall within the "factory_gate" scope.</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(indicating raw materials and intermediate products are predominantly sourced from or through Europe, even if final assembly occurs in China).</w:t>
      </w:r>
    </w:p>
    <w:p>
      <w:pPr>
        <w:numPr>
          <w:ilvl w:val="0"/>
          <w:numId w:val="1001"/>
        </w:numPr>
        <w:pStyle w:val="Compact"/>
      </w:pPr>
      <w:r>
        <w:rPr>
          <w:bCs/>
          <w:b/>
        </w:rPr>
        <w:t xml:space="preserve">Accounting Standard:</w:t>
      </w:r>
      <w:r>
        <w:t xml:space="preserve"> </w:t>
      </w:r>
      <w:r>
        <w:t xml:space="preserve">This PCF analysis strictly adheres to the</w:t>
      </w:r>
      <w:r>
        <w:t xml:space="preserve"> </w:t>
      </w:r>
      <w:r>
        <w:rPr>
          <w:bCs/>
          <w:b/>
        </w:rPr>
        <w:t xml:space="preserve">GHG Protocol</w:t>
      </w:r>
      <w:r>
        <w:t xml:space="preserve"> </w:t>
      </w:r>
      <w:r>
        <w:t xml:space="preserve">Product Life Cycle Accounting and Reporting Standard. This includes categorizing emissions into Scope 1 (direct emissions),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Where multi-functional processes or co-products are encountered, allocation of environmental impacts is performed based on relevant physical relationships (e.g., mass, energy content) or economic value, depending on the most appropriate approach as per GHG Protocol guidelines.</w:t>
      </w:r>
    </w:p>
    <w:p>
      <w:r>
        <w:pict>
          <v:rect style="width:0;height:1.5pt" o:hralign="center" o:hrstd="t" o:hr="t"/>
        </w:pict>
      </w:r>
    </w:p>
    <w:bookmarkEnd w:id="23"/>
    <w:bookmarkStart w:id="29" w:name="X02ee0476bd3b09373e5497b8be8e9974c8b887d"/>
    <w:p>
      <w:pPr>
        <w:pStyle w:val="Heading2"/>
      </w:pPr>
      <w:r>
        <w:t xml:space="preserve">2. Mapping the Lifecycle and 3. Collecting Data</w:t>
      </w:r>
    </w:p>
    <w:p>
      <w:pPr>
        <w:pStyle w:val="FirstParagraph"/>
      </w:pPr>
      <w:r>
        <w:t xml:space="preserve">This section details the lifecycle stages of</w:t>
      </w:r>
      <w:r>
        <w:t xml:space="preserve"> </w:t>
      </w:r>
      <w:r>
        <w:rPr>
          <w:bCs/>
          <w:b/>
        </w:rPr>
        <w:t xml:space="preserve">xyluzehmdq</w:t>
      </w:r>
      <w:r>
        <w:t xml:space="preserve"> </w:t>
      </w:r>
      <w:r>
        <w:t xml:space="preserve">and the primary and secondary data points collected for the Life Cycle Inventory (LCI).</w:t>
      </w:r>
    </w:p>
    <w:bookmarkStart w:id="24" w:name="Xbc374b9b819252f363695326adb7c260a28ffa7"/>
    <w:p>
      <w:pPr>
        <w:pStyle w:val="Heading3"/>
      </w:pPr>
      <w:r>
        <w:t xml:space="preserve">2.1. Material Acquisition and Pre-processing (Scope 3 - Upstream)</w:t>
      </w:r>
    </w:p>
    <w:p>
      <w:pPr>
        <w:pStyle w:val="FirstParagraph"/>
      </w:pPr>
      <w:r>
        <w:t xml:space="preserve">The Detailed Bill of Materials (BOM) for</w:t>
      </w:r>
      <w:r>
        <w:t xml:space="preserve"> </w:t>
      </w:r>
      <w:r>
        <w:rPr>
          <w:bCs/>
          <w:b/>
        </w:rPr>
        <w:t xml:space="preserve">xyluzehmdq</w:t>
      </w:r>
      <w:r>
        <w:t xml:space="preserve">, provided as `oqsjypdy`, forms the basis for calculating the material impact. The following illustrative data, adhering to the specified format (ID, Description, Category, Process, Qty, Unit, Emission Factor, Total Carbon), has been used for calculation. The "Total Carbon" values are directly summed as instructed, representing pre-calculated impacts for each item. Recycled materials, such as ABS plastic and cardboard packaging, generally have a lower carbon footprint compared to their virgin counterparts.</w:t>
      </w:r>
    </w:p>
    <w:p>
      <w:pPr>
        <w:pStyle w:val="BodyText"/>
      </w:pPr>
      <w:r>
        <w:rPr>
          <w:bCs/>
          <w:b/>
        </w:rPr>
        <w:t xml:space="preserve">Detailed Bill of Materials (BOM) for xyluzehmdq (Illustrative, based on expected format of \'oqsjypdy\'):</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Casing-01</w:t>
            </w:r>
          </w:p>
        </w:tc>
        <w:tc>
          <w:tcPr/>
          <w:p>
            <w:pPr>
              <w:pStyle w:val="Compact"/>
              <w:jc w:val="left"/>
            </w:pPr>
            <w:r>
              <w:t xml:space="preserve">Recycled 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0.35</w:t>
            </w:r>
          </w:p>
        </w:tc>
        <w:tc>
          <w:tcPr/>
          <w:p>
            <w:pPr>
              <w:pStyle w:val="Compact"/>
              <w:jc w:val="left"/>
            </w:pPr>
            <w:r>
              <w:t xml:space="preserve">kg</w:t>
            </w:r>
          </w:p>
        </w:tc>
        <w:tc>
          <w:tcPr/>
          <w:p>
            <w:pPr>
              <w:pStyle w:val="Compact"/>
              <w:jc w:val="left"/>
            </w:pPr>
            <w:r>
              <w:t xml:space="preserve">2.2</w:t>
            </w:r>
          </w:p>
        </w:tc>
        <w:tc>
          <w:tcPr/>
          <w:p>
            <w:pPr>
              <w:pStyle w:val="Compact"/>
              <w:jc w:val="left"/>
            </w:pPr>
            <w:r>
              <w:t xml:space="preserve">0.77</w:t>
            </w:r>
          </w:p>
        </w:tc>
      </w:tr>
      <w:tr>
        <w:tc>
          <w:tcPr/>
          <w:p>
            <w:pPr>
              <w:pStyle w:val="Compact"/>
              <w:jc w:val="left"/>
            </w:pPr>
            <w:r>
              <w:t xml:space="preserve">PCB-01</w:t>
            </w:r>
          </w:p>
        </w:tc>
        <w:tc>
          <w:tcPr/>
          <w:p>
            <w:pPr>
              <w:pStyle w:val="Compact"/>
              <w:jc w:val="left"/>
            </w:pPr>
            <w:r>
              <w:t xml:space="preserve">Printed Circuit Board (populated)</w:t>
            </w:r>
          </w:p>
        </w:tc>
        <w:tc>
          <w:tcPr/>
          <w:p>
            <w:pPr>
              <w:pStyle w:val="Compact"/>
              <w:jc w:val="left"/>
            </w:pPr>
            <w:r>
              <w:t xml:space="preserve">Electronics</w:t>
            </w:r>
          </w:p>
        </w:tc>
        <w:tc>
          <w:tcPr/>
          <w:p>
            <w:pPr>
              <w:pStyle w:val="Compact"/>
              <w:jc w:val="left"/>
            </w:pPr>
            <w:r>
              <w:t xml:space="preserve">Component 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18.5</w:t>
            </w:r>
          </w:p>
        </w:tc>
        <w:tc>
          <w:tcPr/>
          <w:p>
            <w:pPr>
              <w:pStyle w:val="Compact"/>
              <w:jc w:val="left"/>
            </w:pPr>
            <w:r>
              <w:t xml:space="preserve">18.50</w:t>
            </w:r>
          </w:p>
        </w:tc>
      </w:tr>
      <w:tr>
        <w:tc>
          <w:tcPr/>
          <w:p>
            <w:pPr>
              <w:pStyle w:val="Compact"/>
              <w:jc w:val="left"/>
            </w:pPr>
            <w:r>
              <w:t xml:space="preserve">Batt-01</w:t>
            </w:r>
          </w:p>
        </w:tc>
        <w:tc>
          <w:tcPr/>
          <w:p>
            <w:pPr>
              <w:pStyle w:val="Compact"/>
              <w:jc w:val="left"/>
            </w:pPr>
            <w:r>
              <w:t xml:space="preserve">Lithium-ion Battery (Small)</w:t>
            </w:r>
          </w:p>
        </w:tc>
        <w:tc>
          <w:tcPr/>
          <w:p>
            <w:pPr>
              <w:pStyle w:val="Compact"/>
              <w:jc w:val="left"/>
            </w:pPr>
            <w:r>
              <w:t xml:space="preserve">Electronics</w:t>
            </w:r>
          </w:p>
        </w:tc>
        <w:tc>
          <w:tcPr/>
          <w:p>
            <w:pPr>
              <w:pStyle w:val="Compact"/>
              <w:jc w:val="left"/>
            </w:pPr>
            <w:r>
              <w:t xml:space="preserve">Battery 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Wire-01</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0.04</w:t>
            </w:r>
          </w:p>
        </w:tc>
      </w:tr>
      <w:tr>
        <w:tc>
          <w:tcPr/>
          <w:p>
            <w:pPr>
              <w:pStyle w:val="Compact"/>
              <w:jc w:val="left"/>
            </w:pPr>
            <w:r>
              <w:t xml:space="preserve">Pkg-01</w:t>
            </w:r>
          </w:p>
        </w:tc>
        <w:tc>
          <w:tcPr/>
          <w:p>
            <w:pPr>
              <w:pStyle w:val="Compact"/>
              <w:jc w:val="left"/>
            </w:pPr>
            <w:r>
              <w:t xml:space="preserve">Recycled Cardboard Packaging</w:t>
            </w:r>
          </w:p>
        </w:tc>
        <w:tc>
          <w:tcPr/>
          <w:p>
            <w:pPr>
              <w:pStyle w:val="Compact"/>
              <w:jc w:val="left"/>
            </w:pPr>
            <w:r>
              <w:t xml:space="preserve">Packaging</w:t>
            </w:r>
          </w:p>
        </w:tc>
        <w:tc>
          <w:tcPr/>
          <w:p>
            <w:pPr>
              <w:pStyle w:val="Compact"/>
              <w:jc w:val="left"/>
            </w:pPr>
            <w:r>
              <w:t xml:space="preserve">Paperboard 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0.7</w:t>
            </w:r>
          </w:p>
        </w:tc>
        <w:tc>
          <w:tcPr/>
          <w:p>
            <w:pPr>
              <w:pStyle w:val="Compact"/>
              <w:jc w:val="left"/>
            </w:pPr>
            <w:r>
              <w:t xml:space="preserve">0.07</w:t>
            </w:r>
          </w:p>
        </w:tc>
      </w:tr>
      <w:tr>
        <w:tc>
          <w:tcPr>
            <w:gridSpan w:val="7"/>
          </w:tcPr>
          <w:p>
            <w:pPr>
              <w:pStyle w:val="Compact"/>
              <w:jc w:val="right"/>
            </w:pPr>
            <w:r>
              <w:rPr>
                <w:bCs/>
                <w:b/>
              </w:rPr>
              <w:t xml:space="preserve">Subtotal Material Carbon Footprint (kg CO2e):</w:t>
            </w:r>
          </w:p>
        </w:tc>
        <w:tc>
          <w:tcPr/>
          <w:p>
            <w:pPr>
              <w:pStyle w:val="Compact"/>
              <w:jc w:val="left"/>
            </w:pPr>
            <w:r>
              <w:rPr>
                <w:bCs/>
                <w:b/>
              </w:rPr>
              <w:t xml:space="preserve">20.63</w:t>
            </w:r>
          </w:p>
        </w:tc>
      </w:tr>
    </w:tbl>
    <w:p>
      <w:pPr>
        <w:pStyle w:val="BodyText"/>
      </w:pPr>
      <w:r>
        <w:rPr>
          <w:iCs/>
          <w:i/>
        </w:rPr>
        <w:t xml:space="preserve">Note: The above table is an illustrative representation of data conforming to the structure described for `oqsjypdy`. The "Total Carbon (kg CO2e)" values provided in this illustrative BOM have been directly used for material impact calculation. Industry studies suggest that PCB production can emit around 60-70 kg of CO2 equivalent per square meter, depending on materials and energy sources. Lithium-ion battery production is also energy-intensive, with carbon footprints varying significantly based on materials and manufacturing location, often ranging from 150-200 kg CO2 per kWh of battery capacity. Copper wire drawing involves minimal VOC emissions, with its carbon footprint primarily related to electricity consumption for heating and drawing. Recycled cardboard\'s carbon footprint can range from 0.82 to 1.53 kg CO2e/kg.</w:t>
      </w:r>
    </w:p>
    <w:bookmarkEnd w:id="24"/>
    <w:bookmarkStart w:id="25" w:name="X80977dd39fd014e9eacb993f8f234cf446a0220"/>
    <w:p>
      <w:pPr>
        <w:pStyle w:val="Heading3"/>
      </w:pPr>
      <w:r>
        <w:t xml:space="preserve">2.2. Manufacturing and Assembly (Scope 1 &amp; Scope 2)</w:t>
      </w:r>
    </w:p>
    <w:p>
      <w:pPr>
        <w:pStyle w:val="FirstParagraph"/>
      </w:pPr>
      <w:r>
        <w:t xml:space="preserve">The manufacturing process for</w:t>
      </w:r>
      <w:r>
        <w:t xml:space="preserve"> </w:t>
      </w:r>
      <w:r>
        <w:rPr>
          <w:bCs/>
          <w:b/>
        </w:rPr>
        <w:t xml:space="preserve">xyluzehmdq</w:t>
      </w:r>
      <w:r>
        <w:t xml:space="preserve"> </w:t>
      </w:r>
      <w:r>
        <w:t xml:space="preserve">takes place in China. Energy consumption is a significant factor in this stage.</w:t>
      </w:r>
    </w:p>
    <w:p>
      <w:pPr>
        <w:numPr>
          <w:ilvl w:val="0"/>
          <w:numId w:val="1003"/>
        </w:numPr>
        <w:pStyle w:val="Compact"/>
      </w:pPr>
      <w:r>
        <w:rPr>
          <w:bCs/>
          <w:b/>
        </w:rPr>
        <w:t xml:space="preserve">Energy Intensity (kWh/unit):</w:t>
      </w:r>
      <w:r>
        <w:t xml:space="preserve"> </w:t>
      </w:r>
      <w:r>
        <w:t xml:space="preserve">The parameter `ygriyvlxgr` has been interpreted for calculation as 5.0 kWh/unit.</w:t>
      </w:r>
    </w:p>
    <w:p>
      <w:pPr>
        <w:numPr>
          <w:ilvl w:val="0"/>
          <w:numId w:val="1003"/>
        </w:numPr>
        <w:pStyle w:val="Compact"/>
      </w:pPr>
      <w:r>
        <w:rPr>
          <w:bCs/>
          <w:b/>
        </w:rPr>
        <w:t xml:space="preserve">Renewable Energy Usage:</w:t>
      </w:r>
      <w:r>
        <w:t xml:space="preserve"> </w:t>
      </w:r>
      <w:r>
        <w:t xml:space="preserve">The parameter `llmuorzqpf` has been interpreted for calculation as 75% Green Electricity. This significantly mitigates Scope 2 emissions.</w:t>
      </w:r>
    </w:p>
    <w:p>
      <w:pPr>
        <w:numPr>
          <w:ilvl w:val="0"/>
          <w:numId w:val="1003"/>
        </w:numPr>
        <w:pStyle w:val="Compact"/>
      </w:pPr>
      <w:r>
        <w:rPr>
          <w:bCs/>
          <w:b/>
        </w:rPr>
        <w:t xml:space="preserve">Scope 1 Emissions:</w:t>
      </w:r>
      <w:r>
        <w:t xml:space="preserve"> </w:t>
      </w:r>
      <w:r>
        <w:t xml:space="preserve">Direct emissions from manufacturing facilities (e.g., on-site fuel combustion) are assumed to be negligible for this product-level analysis, as specific operational data for fjxznhvlmz\'s direct Scope 1 were not provided.</w:t>
      </w:r>
    </w:p>
    <w:p>
      <w:pPr>
        <w:numPr>
          <w:ilvl w:val="0"/>
          <w:numId w:val="1003"/>
        </w:numPr>
        <w:pStyle w:val="Compact"/>
      </w:pPr>
      <w:r>
        <w:rPr>
          <w:bCs/>
          <w:b/>
        </w:rPr>
        <w:t xml:space="preserve">Scope 2 Emissions:</w:t>
      </w:r>
      <w:r>
        <w:t xml:space="preserve"> </w:t>
      </w:r>
      <w:r>
        <w:t xml:space="preserve">Indirect emissions from purchased electricity. The average grid electricity emission factor for China is approximately 0.6 kg CO2e/kWh (illustrative for 2026, based on current trends). Given the `llmuorzqpf` (75% renewable energy usage), the effective grid emission factor for the portion of non-renewable electricity is reduced.</w:t>
      </w:r>
    </w:p>
    <w:bookmarkEnd w:id="25"/>
    <w:bookmarkStart w:id="26" w:name="Xa9eb6c7b9dfa030b09eb95a42fb5ea156fb4f37"/>
    <w:p>
      <w:pPr>
        <w:pStyle w:val="Heading3"/>
      </w:pPr>
      <w:r>
        <w:t xml:space="preserve">2.3. Transportation and Logistics (Scope 3 - Upstream &amp; Downstream)</w:t>
      </w:r>
    </w:p>
    <w:p>
      <w:pPr>
        <w:pStyle w:val="FirstParagraph"/>
      </w:pPr>
      <w:r>
        <w:t xml:space="preserve">Transportation contributes to emissions from moving raw materials, intermediate products, and the finished product.</w:t>
      </w:r>
    </w:p>
    <w:p>
      <w:pPr>
        <w:numPr>
          <w:ilvl w:val="0"/>
          <w:numId w:val="1004"/>
        </w:numPr>
        <w:pStyle w:val="Compact"/>
      </w:pPr>
      <w:r>
        <w:rPr>
          <w:bCs/>
          <w:b/>
        </w:rPr>
        <w:t xml:space="preserve">Transport Mode:</w:t>
      </w:r>
      <w:r>
        <w:t xml:space="preserve"> </w:t>
      </w:r>
      <w:r>
        <w:t xml:space="preserve">The parameter `Select Mode` has been interpreted to include Sea Freight and Road Freight for calculation. Sea freight typically emits 10-40 gCO2e/tkm, while road freight can be around 62-243 gCO2e/tkm.</w:t>
      </w:r>
    </w:p>
    <w:p>
      <w:pPr>
        <w:numPr>
          <w:ilvl w:val="0"/>
          <w:numId w:val="1004"/>
        </w:numPr>
        <w:pStyle w:val="Compact"/>
      </w:pPr>
      <w:r>
        <w:rPr>
          <w:bCs/>
          <w:b/>
        </w:rPr>
        <w:t xml:space="preserve">Transport Distance:</w:t>
      </w:r>
      <w:r>
        <w:t xml:space="preserve"> </w:t>
      </w:r>
      <w:r>
        <w:t xml:space="preserve">The parameter `jruhjfwlvd` has been interpreted for calculation as 2000 km for sea freight and 500 km for road freight (illustrative for a Europe-focused supply chain to China).</w:t>
      </w:r>
    </w:p>
    <w:p>
      <w:pPr>
        <w:numPr>
          <w:ilvl w:val="0"/>
          <w:numId w:val="1004"/>
        </w:numPr>
        <w:pStyle w:val="Compact"/>
      </w:pPr>
      <w:r>
        <w:rPr>
          <w:bCs/>
          <w:b/>
        </w:rPr>
        <w:t xml:space="preserve">Last-Mile Delivery Channel:</w:t>
      </w:r>
      <w:r>
        <w:t xml:space="preserve"> </w:t>
      </w:r>
      <w:r>
        <w:t xml:space="preserve">The parameter `Delivery Type` has been interpreted as Van Delivery for calculation.</w:t>
      </w:r>
    </w:p>
    <w:p>
      <w:pPr>
        <w:numPr>
          <w:ilvl w:val="0"/>
          <w:numId w:val="1004"/>
        </w:numPr>
        <w:pStyle w:val="Compact"/>
      </w:pPr>
      <w:r>
        <w:rPr>
          <w:bCs/>
          <w:b/>
        </w:rPr>
        <w:t xml:space="preserve">Geographic Scope for Supply Chain:</w:t>
      </w:r>
      <w:r>
        <w:t xml:space="preserve"> </w:t>
      </w:r>
      <w:r>
        <w:t xml:space="preserve">Europe-focused for components shipping to China, and then China to market for the finished product.</w:t>
      </w:r>
    </w:p>
    <w:p>
      <w:pPr>
        <w:pStyle w:val="FirstParagraph"/>
      </w:pPr>
      <w:r>
        <w:rPr>
          <w:bCs/>
          <w:b/>
        </w:rPr>
        <w:t xml:space="preserve">Illustrative Transportation Data &amp; Emission Factors (based on interpretations of `Select Mode`, `jruhjfwlvd`, `Delivery Type`):</w:t>
      </w:r>
    </w:p>
    <w:tbl>
      <w:tblPr>
        <w:tblStyle w:val="Table"/>
        <w:tblW w:type="auto" w:w="0"/>
        <w:tblLook w:firstRow="1" w:lastRow="1"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Stage</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Emission Factor (kg CO2e/tkm)</w:t>
            </w:r>
          </w:p>
        </w:tc>
        <w:tc>
          <w:tcPr/>
          <w:p>
            <w:pPr>
              <w:pStyle w:val="Compact"/>
              <w:jc w:val="left"/>
            </w:pPr>
            <w:r>
              <w:t xml:space="preserve">Est. Product Weight (kg)</w:t>
            </w:r>
          </w:p>
        </w:tc>
        <w:tc>
          <w:tcPr/>
          <w:p>
            <w:pPr>
              <w:pStyle w:val="Compact"/>
              <w:jc w:val="left"/>
            </w:pPr>
            <w:r>
              <w:t xml:space="preserve">Calculated CO2e (kg)</w:t>
            </w:r>
          </w:p>
        </w:tc>
      </w:tr>
      <w:tr>
        <w:tc>
          <w:tcPr/>
          <w:p>
            <w:pPr>
              <w:pStyle w:val="Compact"/>
              <w:jc w:val="left"/>
            </w:pPr>
            <w:r>
              <w:t xml:space="preserve">Raw Materials (Europe to China)</w:t>
            </w:r>
          </w:p>
        </w:tc>
        <w:tc>
          <w:tcPr/>
          <w:p>
            <w:pPr>
              <w:pStyle w:val="Compact"/>
              <w:jc w:val="left"/>
            </w:pPr>
            <w:r>
              <w:t xml:space="preserve">Sea Freight</w:t>
            </w:r>
          </w:p>
        </w:tc>
        <w:tc>
          <w:tcPr/>
          <w:p>
            <w:pPr>
              <w:pStyle w:val="Compact"/>
              <w:jc w:val="left"/>
            </w:pPr>
            <w:r>
              <w:t xml:space="preserve">2000</w:t>
            </w:r>
          </w:p>
        </w:tc>
        <w:tc>
          <w:tcPr/>
          <w:p>
            <w:pPr>
              <w:pStyle w:val="Compact"/>
              <w:jc w:val="left"/>
            </w:pPr>
            <w:r>
              <w:t xml:space="preserve">0.016</w:t>
            </w:r>
          </w:p>
        </w:tc>
        <w:tc>
          <w:tcPr/>
          <w:p>
            <w:pPr>
              <w:pStyle w:val="Compact"/>
              <w:jc w:val="left"/>
            </w:pPr>
            <w:r>
              <w:t xml:space="preserve">0.5</w:t>
            </w:r>
          </w:p>
        </w:tc>
        <w:tc>
          <w:tcPr/>
          <w:p>
            <w:pPr>
              <w:pStyle w:val="Compact"/>
              <w:jc w:val="left"/>
            </w:pPr>
            <w:r>
              <w:t xml:space="preserve">16.00</w:t>
            </w:r>
          </w:p>
        </w:tc>
      </w:tr>
      <w:tr>
        <w:tc>
          <w:tcPr/>
          <w:p>
            <w:pPr>
              <w:pStyle w:val="Compact"/>
              <w:jc w:val="left"/>
            </w:pPr>
            <w:r>
              <w:t xml:space="preserve">Intermediate Goods (Europe to China)</w:t>
            </w:r>
          </w:p>
        </w:tc>
        <w:tc>
          <w:tcPr/>
          <w:p>
            <w:pPr>
              <w:pStyle w:val="Compact"/>
              <w:jc w:val="left"/>
            </w:pPr>
            <w:r>
              <w:t xml:space="preserve">Road Freight</w:t>
            </w:r>
          </w:p>
        </w:tc>
        <w:tc>
          <w:tcPr/>
          <w:p>
            <w:pPr>
              <w:pStyle w:val="Compact"/>
              <w:jc w:val="left"/>
            </w:pPr>
            <w:r>
              <w:t xml:space="preserve">500</w:t>
            </w:r>
          </w:p>
        </w:tc>
        <w:tc>
          <w:tcPr/>
          <w:p>
            <w:pPr>
              <w:pStyle w:val="Compact"/>
              <w:jc w:val="left"/>
            </w:pPr>
            <w:r>
              <w:t xml:space="preserve">0.090</w:t>
            </w:r>
          </w:p>
        </w:tc>
        <w:tc>
          <w:tcPr/>
          <w:p>
            <w:pPr>
              <w:pStyle w:val="Compact"/>
              <w:jc w:val="left"/>
            </w:pPr>
            <w:r>
              <w:t xml:space="preserve">0.2</w:t>
            </w:r>
          </w:p>
        </w:tc>
        <w:tc>
          <w:tcPr/>
          <w:p>
            <w:pPr>
              <w:pStyle w:val="Compact"/>
              <w:jc w:val="left"/>
            </w:pPr>
            <w:r>
              <w:t xml:space="preserve">9.00</w:t>
            </w:r>
          </w:p>
        </w:tc>
      </w:tr>
      <w:tr>
        <w:tc>
          <w:tcPr/>
          <w:p>
            <w:pPr>
              <w:pStyle w:val="Compact"/>
              <w:jc w:val="left"/>
            </w:pPr>
            <w:r>
              <w:t xml:space="preserve">Finished Product (China to Distribution Hub)</w:t>
            </w:r>
          </w:p>
        </w:tc>
        <w:tc>
          <w:tcPr/>
          <w:p>
            <w:pPr>
              <w:pStyle w:val="Compact"/>
              <w:jc w:val="left"/>
            </w:pPr>
            <w:r>
              <w:t xml:space="preserve">Sea Freight</w:t>
            </w:r>
          </w:p>
        </w:tc>
        <w:tc>
          <w:tcPr/>
          <w:p>
            <w:pPr>
              <w:pStyle w:val="Compact"/>
              <w:jc w:val="left"/>
            </w:pPr>
            <w:r>
              <w:t xml:space="preserve">8000 (assumed)</w:t>
            </w:r>
          </w:p>
        </w:tc>
        <w:tc>
          <w:tcPr/>
          <w:p>
            <w:pPr>
              <w:pStyle w:val="Compact"/>
              <w:jc w:val="left"/>
            </w:pPr>
            <w:r>
              <w:t xml:space="preserve">0.016</w:t>
            </w:r>
          </w:p>
        </w:tc>
        <w:tc>
          <w:tcPr/>
          <w:p>
            <w:pPr>
              <w:pStyle w:val="Compact"/>
              <w:jc w:val="left"/>
            </w:pPr>
            <w:r>
              <w:t xml:space="preserve">0.5</w:t>
            </w:r>
          </w:p>
        </w:tc>
        <w:tc>
          <w:tcPr/>
          <w:p>
            <w:pPr>
              <w:pStyle w:val="Compact"/>
              <w:jc w:val="left"/>
            </w:pPr>
            <w:r>
              <w:t xml:space="preserve">64.00</w:t>
            </w:r>
          </w:p>
        </w:tc>
      </w:tr>
      <w:tr>
        <w:tc>
          <w:tcPr/>
          <w:p>
            <w:pPr>
              <w:pStyle w:val="Compact"/>
              <w:jc w:val="left"/>
            </w:pPr>
            <w:r>
              <w:t xml:space="preserve">Last-Mile Delivery</w:t>
            </w:r>
          </w:p>
        </w:tc>
        <w:tc>
          <w:tcPr/>
          <w:p>
            <w:pPr>
              <w:pStyle w:val="Compact"/>
              <w:jc w:val="left"/>
            </w:pPr>
            <w:r>
              <w:t xml:space="preserve">Van Delivery</w:t>
            </w:r>
          </w:p>
        </w:tc>
        <w:tc>
          <w:tcPr/>
          <w:p>
            <w:pPr>
              <w:pStyle w:val="Compact"/>
              <w:jc w:val="left"/>
            </w:pPr>
            <w:r>
              <w:t xml:space="preserve">100 (assumed average)</w:t>
            </w:r>
          </w:p>
        </w:tc>
        <w:tc>
          <w:tcPr/>
          <w:p>
            <w:pPr>
              <w:pStyle w:val="Compact"/>
              <w:jc w:val="left"/>
            </w:pPr>
            <w:r>
              <w:t xml:space="preserve">0.200 (illustrative for light commercial vehicle)</w:t>
            </w:r>
          </w:p>
        </w:tc>
        <w:tc>
          <w:tcPr/>
          <w:p>
            <w:pPr>
              <w:pStyle w:val="Compact"/>
              <w:jc w:val="left"/>
            </w:pPr>
            <w:r>
              <w:t xml:space="preserve">0.5</w:t>
            </w:r>
          </w:p>
        </w:tc>
        <w:tc>
          <w:tcPr/>
          <w:p>
            <w:pPr>
              <w:pStyle w:val="Compact"/>
              <w:jc w:val="left"/>
            </w:pPr>
            <w:r>
              <w:t xml:space="preserve">10.00</w:t>
            </w:r>
          </w:p>
        </w:tc>
      </w:tr>
      <w:tr>
        <w:tc>
          <w:tcPr>
            <w:gridSpan w:val="5"/>
          </w:tcPr>
          <w:p>
            <w:pPr>
              <w:pStyle w:val="Compact"/>
              <w:jc w:val="right"/>
            </w:pPr>
            <w:r>
              <w:rPr>
                <w:bCs/>
                <w:b/>
              </w:rPr>
              <w:t xml:space="preserve">Subtotal Transportation Carbon Footprint (kg CO2e):</w:t>
            </w:r>
          </w:p>
        </w:tc>
        <w:tc>
          <w:tcPr/>
          <w:p>
            <w:pPr>
              <w:pStyle w:val="Compact"/>
              <w:jc w:val="left"/>
            </w:pPr>
            <w:r>
              <w:rPr>
                <w:bCs/>
                <w:b/>
              </w:rPr>
              <w:t xml:space="preserve">99.00</w:t>
            </w:r>
          </w:p>
        </w:tc>
      </w:tr>
    </w:tbl>
    <w:p>
      <w:pPr>
        <w:pStyle w:val="BodyText"/>
      </w:pPr>
      <w:r>
        <w:rPr>
          <w:iCs/>
          <w:i/>
        </w:rPr>
        <w:t xml:space="preserve">Note: Product weight is assumed at 0.5 kg for calculation purposes. The assumed distances for finished product and last-mile delivery are illustrative.</w:t>
      </w:r>
    </w:p>
    <w:bookmarkEnd w:id="26"/>
    <w:bookmarkStart w:id="27" w:name="use-phase-scope-3---downstream"/>
    <w:p>
      <w:pPr>
        <w:pStyle w:val="Heading3"/>
      </w:pPr>
      <w:r>
        <w:t xml:space="preserve">2.4. Use Phase (Scope 3 - Downstream)</w:t>
      </w:r>
    </w:p>
    <w:p>
      <w:pPr>
        <w:pStyle w:val="FirstParagraph"/>
      </w:pPr>
      <w:r>
        <w:t xml:space="preserve">The emissions during the product\'s use are calculated based on its expected lifespan and energy consumption.</w:t>
      </w:r>
    </w:p>
    <w:p>
      <w:pPr>
        <w:numPr>
          <w:ilvl w:val="0"/>
          <w:numId w:val="1005"/>
        </w:numPr>
        <w:pStyle w:val="Compact"/>
      </w:pPr>
      <w:r>
        <w:rPr>
          <w:bCs/>
          <w:b/>
        </w:rPr>
        <w:t xml:space="preserve">Product Lifespan:</w:t>
      </w:r>
      <w:r>
        <w:t xml:space="preserve"> </w:t>
      </w:r>
      <w:r>
        <w:t xml:space="preserve">The parameter `emgiorklrt` has been interpreted for calculation as 3 years.</w:t>
      </w:r>
    </w:p>
    <w:p>
      <w:pPr>
        <w:numPr>
          <w:ilvl w:val="0"/>
          <w:numId w:val="1005"/>
        </w:numPr>
        <w:pStyle w:val="Compact"/>
      </w:pPr>
      <w:r>
        <w:rPr>
          <w:bCs/>
          <w:b/>
        </w:rPr>
        <w:t xml:space="preserve">Energy Consumption in Use:</w:t>
      </w:r>
      <w:r>
        <w:t xml:space="preserve"> </w:t>
      </w:r>
      <w:r>
        <w:t xml:space="preserve">The parameter `fdzvnvxqse` has been interpreted for calculation as 10 kWh/year.</w:t>
      </w:r>
    </w:p>
    <w:p>
      <w:pPr>
        <w:numPr>
          <w:ilvl w:val="0"/>
          <w:numId w:val="1005"/>
        </w:numPr>
        <w:pStyle w:val="Compact"/>
      </w:pPr>
      <w:r>
        <w:rPr>
          <w:bCs/>
          <w:b/>
        </w:rPr>
        <w:t xml:space="preserve">Emission Factor for Electricity in Use:</w:t>
      </w:r>
      <w:r>
        <w:t xml:space="preserve"> </w:t>
      </w:r>
      <w:r>
        <w:t xml:space="preserve">A global average grid mix emission factor of 0.35 kg CO2e/kWh (illustrative) is applied, as the final user\'s geographic location is not specified.</w:t>
      </w:r>
    </w:p>
    <w:p>
      <w:pPr>
        <w:pStyle w:val="FirstParagraph"/>
      </w:pPr>
      <w:r>
        <w:rPr>
          <w:bCs/>
          <w:b/>
        </w:rPr>
        <w:t xml:space="preserve">Calculated Use Phase Emissions:</w:t>
      </w:r>
    </w:p>
    <w:p>
      <w:pPr>
        <w:numPr>
          <w:ilvl w:val="0"/>
          <w:numId w:val="1006"/>
        </w:numPr>
        <w:pStyle w:val="Compact"/>
      </w:pPr>
      <w:r>
        <w:t xml:space="preserve">Total energy consumption over lifespan = (10 kWh/year) * (3 years) = 30 kWh</w:t>
      </w:r>
    </w:p>
    <w:p>
      <w:pPr>
        <w:numPr>
          <w:ilvl w:val="0"/>
          <w:numId w:val="1006"/>
        </w:numPr>
        <w:pStyle w:val="Compact"/>
      </w:pPr>
      <w:r>
        <w:t xml:space="preserve">Estimated Use Phase Carbon Footprint = 30 kWh * 0.35 kg CO2e/kWh = 10.5 kg CO2e</w:t>
      </w:r>
    </w:p>
    <w:p>
      <w:pPr>
        <w:pStyle w:val="FirstParagraph"/>
      </w:pPr>
      <w:r>
        <w:rPr>
          <w:bCs/>
          <w:b/>
        </w:rPr>
        <w:t xml:space="preserve">Subtotal Use Phase Carbon Footprint: 10.5 kg CO2e</w:t>
      </w:r>
    </w:p>
    <w:bookmarkEnd w:id="27"/>
    <w:bookmarkStart w:id="28" w:name="X92fbc61eed99b9d9aafbebcbbd2c7ad7660f7e4"/>
    <w:p>
      <w:pPr>
        <w:pStyle w:val="Heading3"/>
      </w:pPr>
      <w:r>
        <w:t xml:space="preserve">2.5. End-of-Life (EoL) Phase (Scope 3 - Downstream)</w:t>
      </w:r>
    </w:p>
    <w:p>
      <w:pPr>
        <w:pStyle w:val="FirstParagraph"/>
      </w:pPr>
      <w:r>
        <w:t xml:space="preserve">The end-of-life scenario considers the impact of recycling and waste management processes.</w:t>
      </w:r>
    </w:p>
    <w:p>
      <w:pPr>
        <w:numPr>
          <w:ilvl w:val="0"/>
          <w:numId w:val="1007"/>
        </w:numPr>
        <w:pStyle w:val="Compact"/>
      </w:pPr>
      <w:r>
        <w:rPr>
          <w:bCs/>
          <w:b/>
        </w:rPr>
        <w:t xml:space="preserve">Recyclability Percentage:</w:t>
      </w:r>
      <w:r>
        <w:t xml:space="preserve"> </w:t>
      </w:r>
      <w:r>
        <w:t xml:space="preserve">The parameter `ogpkqyriwd` has been interpreted for calculation as 80% recyclable by weight.</w:t>
      </w:r>
    </w:p>
    <w:p>
      <w:pPr>
        <w:numPr>
          <w:ilvl w:val="0"/>
          <w:numId w:val="1007"/>
        </w:numPr>
        <w:pStyle w:val="Compact"/>
      </w:pPr>
      <w:r>
        <w:rPr>
          <w:bCs/>
          <w:b/>
        </w:rPr>
        <w:t xml:space="preserve">Circular/Take-back Programs:</w:t>
      </w:r>
      <w:r>
        <w:t xml:space="preserve"> </w:t>
      </w:r>
      <w:r>
        <w:t xml:space="preserve">The parameter `uylsfridfr` indicates that a Product take-back program is available, which supports higher recycling rates and better end-of-life management.</w:t>
      </w:r>
    </w:p>
    <w:p>
      <w:pPr>
        <w:pStyle w:val="FirstParagraph"/>
      </w:pPr>
      <w:r>
        <w:t xml:space="preserve">Assuming 80% recyclability, the recyclable portion is credited for avoided primary production, while the non-recyclable portion (20%) is accounted for disposal emissions (landfill/incineration). Copper wire, for instance, offers GHG benefits when recycled.</w:t>
      </w:r>
    </w:p>
    <w:p>
      <w:pPr>
        <w:pStyle w:val="BodyText"/>
      </w:pPr>
      <w:r>
        <w:rPr>
          <w:bCs/>
          <w:b/>
        </w:rPr>
        <w:t xml:space="preserve">Illustrative EoL Calculations (assuming a 0.5 kg product):</w:t>
      </w:r>
    </w:p>
    <w:p>
      <w:pPr>
        <w:numPr>
          <w:ilvl w:val="0"/>
          <w:numId w:val="1008"/>
        </w:numPr>
        <w:pStyle w:val="Compact"/>
      </w:pPr>
      <w:r>
        <w:t xml:space="preserve">Product Mass: 0.5 kg</w:t>
      </w:r>
    </w:p>
    <w:p>
      <w:pPr>
        <w:numPr>
          <w:ilvl w:val="0"/>
          <w:numId w:val="1008"/>
        </w:numPr>
        <w:pStyle w:val="Compact"/>
      </w:pPr>
      <w:r>
        <w:t xml:space="preserve">Recycled Mass: 0.5 kg * 80% = 0.4 kg</w:t>
      </w:r>
    </w:p>
    <w:p>
      <w:pPr>
        <w:numPr>
          <w:ilvl w:val="0"/>
          <w:numId w:val="1008"/>
        </w:numPr>
        <w:pStyle w:val="Compact"/>
      </w:pPr>
      <w:r>
        <w:t xml:space="preserve">Disposed Mass: 0.5 kg * 20% = 0.1 kg</w:t>
      </w:r>
    </w:p>
    <w:p>
      <w:pPr>
        <w:numPr>
          <w:ilvl w:val="0"/>
          <w:numId w:val="1008"/>
        </w:numPr>
        <w:pStyle w:val="Compact"/>
      </w:pPr>
      <w:r>
        <w:t xml:space="preserve">Avoided Emissions from Recycling (credit): 0.4 kg * -1.5 kg CO2e/kg (average for mixed materials) = -0.6 kg CO2e</w:t>
      </w:r>
    </w:p>
    <w:p>
      <w:pPr>
        <w:numPr>
          <w:ilvl w:val="0"/>
          <w:numId w:val="1008"/>
        </w:numPr>
        <w:pStyle w:val="Compact"/>
      </w:pPr>
      <w:r>
        <w:t xml:space="preserve">Emissions from Disposal (incineration/landfill): 0.1 kg * 1.0 kg CO2e/kg (average) = 0.1 kg CO2e</w:t>
      </w:r>
    </w:p>
    <w:p>
      <w:pPr>
        <w:pStyle w:val="FirstParagraph"/>
      </w:pPr>
      <w:r>
        <w:rPr>
          <w:bCs/>
          <w:b/>
        </w:rPr>
        <w:t xml:space="preserve">Subtotal End-of-Life Carbon Footprint: -0.5 kg CO2e</w:t>
      </w:r>
      <w:r>
        <w:t xml:space="preserve"> </w:t>
      </w:r>
      <w:r>
        <w:t xml:space="preserve">(Net credit due to high recyclability and circular programs)</w:t>
      </w:r>
    </w:p>
    <w:p>
      <w:r>
        <w:pict>
          <v:rect style="width:0;height:1.5pt" o:hralign="center" o:hrstd="t" o:hr="t"/>
        </w:pict>
      </w:r>
    </w:p>
    <w:bookmarkEnd w:id="28"/>
    <w:bookmarkEnd w:id="29"/>
    <w:bookmarkStart w:id="35" w:name="X3720d7d0541b3a6e3c473bd4daa188ddb828856"/>
    <w:p>
      <w:pPr>
        <w:pStyle w:val="Heading2"/>
      </w:pPr>
      <w:r>
        <w:t xml:space="preserve">4. Calculating Emissions (Activity * Emission Factor = CO2e)</w:t>
      </w:r>
    </w:p>
    <w:p>
      <w:pPr>
        <w:pStyle w:val="FirstParagraph"/>
      </w:pPr>
      <w:r>
        <w:t xml:space="preserve">The total Product Carbon Footprint (PCF) for one functional unit of</w:t>
      </w:r>
      <w:r>
        <w:t xml:space="preserve"> </w:t>
      </w:r>
      <w:r>
        <w:rPr>
          <w:bCs/>
          <w:b/>
        </w:rPr>
        <w:t xml:space="preserve">xyluzehmdq</w:t>
      </w:r>
      <w:r>
        <w:t xml:space="preserve"> </w:t>
      </w:r>
      <w:r>
        <w:t xml:space="preserve">is calculated by summing the emissions from each lifecycle stage, categorized according to the GHG Protocol scopes.</w:t>
      </w:r>
    </w:p>
    <w:bookmarkStart w:id="30" w:name="scope-1-emissions-direct-emissions"/>
    <w:p>
      <w:pPr>
        <w:pStyle w:val="Heading3"/>
      </w:pPr>
      <w:r>
        <w:t xml:space="preserve">Scope 1 Emissions (Direct Emissions)</w:t>
      </w:r>
    </w:p>
    <w:p>
      <w:pPr>
        <w:pStyle w:val="FirstParagraph"/>
      </w:pPr>
      <w:r>
        <w:t xml:space="preserve">As per the provided parameters, no direct operational emissions (e.g., company-owned vehicles, on-site fuel combustion) are specified for the product\'s manufacturing that fall under the direct control of</w:t>
      </w:r>
      <w:r>
        <w:t xml:space="preserve"> </w:t>
      </w:r>
      <w:r>
        <w:rPr>
          <w:bCs/>
          <w:b/>
        </w:rPr>
        <w:t xml:space="preserve">fjxznhvlmz</w:t>
      </w:r>
      <w:r>
        <w:t xml:space="preserve"> </w:t>
      </w:r>
      <w:r>
        <w:t xml:space="preserve">at the final production country (China). Thus, Scope 1 emissions are considered negligible for this product-level analysis. If fjxznhvlmz operates the manufacturing facility directly, any fuel combustion would fall under Scope 1.</w:t>
      </w:r>
    </w:p>
    <w:p>
      <w:pPr>
        <w:pStyle w:val="BodyText"/>
      </w:pPr>
      <w:r>
        <w:rPr>
          <w:bCs/>
          <w:b/>
        </w:rPr>
        <w:t xml:space="preserve">Estimated Scope 1 Emissions: 0.0 kg CO2e</w:t>
      </w:r>
    </w:p>
    <w:bookmarkEnd w:id="30"/>
    <w:bookmarkStart w:id="31" w:name="Xea3a0be011cd6660e8b4fde47b2db6c687f0551"/>
    <w:p>
      <w:pPr>
        <w:pStyle w:val="Heading3"/>
      </w:pPr>
      <w:r>
        <w:t xml:space="preserve">Scope 2 Emissions (Purchased Energy Emissions)</w:t>
      </w:r>
    </w:p>
    <w:p>
      <w:pPr>
        <w:pStyle w:val="FirstParagraph"/>
      </w:pPr>
      <w:r>
        <w:t xml:space="preserve">These emissions arise from the generation of purchased electricity or heat used in the manufacturing process.</w:t>
      </w:r>
    </w:p>
    <w:p>
      <w:pPr>
        <w:numPr>
          <w:ilvl w:val="0"/>
          <w:numId w:val="1009"/>
        </w:numPr>
        <w:pStyle w:val="Compact"/>
      </w:pPr>
      <w:r>
        <w:t xml:space="preserve">Energy Intensity: 5.0 kWh/unit (interpretation of `ygriyvlxgr`)</w:t>
      </w:r>
    </w:p>
    <w:p>
      <w:pPr>
        <w:numPr>
          <w:ilvl w:val="0"/>
          <w:numId w:val="1009"/>
        </w:numPr>
        <w:pStyle w:val="Compact"/>
      </w:pPr>
      <w:r>
        <w:t xml:space="preserve">Renewable Energy Usage: 75% Green Electricity (interpretation of `llmuorzqpf`)</w:t>
      </w:r>
    </w:p>
    <w:p>
      <w:pPr>
        <w:numPr>
          <w:ilvl w:val="0"/>
          <w:numId w:val="1009"/>
        </w:numPr>
        <w:pStyle w:val="Compact"/>
      </w:pPr>
      <w:r>
        <w:t xml:space="preserve">China Grid Emission Factor (average): ~0.6 kg CO2e/kWh (illustrative)</w:t>
      </w:r>
    </w:p>
    <w:p>
      <w:pPr>
        <w:numPr>
          <w:ilvl w:val="0"/>
          <w:numId w:val="1009"/>
        </w:numPr>
        <w:pStyle w:val="Compact"/>
      </w:pPr>
      <w:r>
        <w:t xml:space="preserve">Effective Grid Emission Factor = China Grid EF * (1 - Renewable Usage) = 0.6 kg CO2e/kWh * (1 - 0.75) = 0.15 kg CO2e/kWh</w:t>
      </w:r>
    </w:p>
    <w:p>
      <w:pPr>
        <w:pStyle w:val="FirstParagraph"/>
      </w:pPr>
      <w:r>
        <w:rPr>
          <w:bCs/>
          <w:b/>
        </w:rPr>
        <w:t xml:space="preserve">Calculated Scope 2 Emissions:</w:t>
      </w:r>
      <w:r>
        <w:t xml:space="preserve"> </w:t>
      </w:r>
      <w:r>
        <w:t xml:space="preserve">5.0 kWh/unit * 0.15 kg CO2e/kWh =</w:t>
      </w:r>
      <w:r>
        <w:t xml:space="preserve"> </w:t>
      </w:r>
      <w:r>
        <w:rPr>
          <w:bCs/>
          <w:b/>
        </w:rPr>
        <w:t xml:space="preserve">0.75 kg CO2e</w:t>
      </w:r>
    </w:p>
    <w:bookmarkEnd w:id="31"/>
    <w:bookmarkStart w:id="32" w:name="scope-3-emissions-value-chain-emissions"/>
    <w:p>
      <w:pPr>
        <w:pStyle w:val="Heading3"/>
      </w:pPr>
      <w:r>
        <w:t xml:space="preserve">Scope 3 Emissions (Value Chain Emissions)</w:t>
      </w:r>
    </w:p>
    <w:p>
      <w:pPr>
        <w:pStyle w:val="FirstParagraph"/>
      </w:pPr>
      <w:r>
        <w:t xml:space="preserve">Scope 3 emissions represent all other indirect emissions that occur in the value chain of</w:t>
      </w:r>
      <w:r>
        <w:t xml:space="preserve"> </w:t>
      </w:r>
      <w:r>
        <w:rPr>
          <w:bCs/>
          <w:b/>
        </w:rPr>
        <w:t xml:space="preserve">fjxznhvlmz</w:t>
      </w:r>
      <w:r>
        <w:t xml:space="preserve">, both upstream and downstream. This analysis aims for at least 95% coverage as per 2026 requirements, encompassing materials, transportation, use phase, and end-of-life.</w:t>
      </w:r>
    </w:p>
    <w:p>
      <w:pPr>
        <w:numPr>
          <w:ilvl w:val="0"/>
          <w:numId w:val="1010"/>
        </w:numPr>
        <w:pStyle w:val="Compact"/>
      </w:pPr>
      <w:r>
        <w:rPr>
          <w:bCs/>
          <w:b/>
        </w:rPr>
        <w:t xml:space="preserve">Materials (Upstream):</w:t>
      </w:r>
      <w:r>
        <w:t xml:space="preserve"> </w:t>
      </w:r>
      <w:r>
        <w:t xml:space="preserve">20.63 kg CO2e</w:t>
      </w:r>
    </w:p>
    <w:p>
      <w:pPr>
        <w:numPr>
          <w:ilvl w:val="0"/>
          <w:numId w:val="1010"/>
        </w:numPr>
        <w:pStyle w:val="Compact"/>
      </w:pPr>
      <w:r>
        <w:rPr>
          <w:bCs/>
          <w:b/>
        </w:rPr>
        <w:t xml:space="preserve">Transportation (Upstream &amp; Downstream):</w:t>
      </w:r>
      <w:r>
        <w:t xml:space="preserve"> </w:t>
      </w:r>
      <w:r>
        <w:t xml:space="preserve">99.00 kg CO2e</w:t>
      </w:r>
    </w:p>
    <w:p>
      <w:pPr>
        <w:numPr>
          <w:ilvl w:val="0"/>
          <w:numId w:val="1010"/>
        </w:numPr>
        <w:pStyle w:val="Compact"/>
      </w:pPr>
      <w:r>
        <w:rPr>
          <w:bCs/>
          <w:b/>
        </w:rPr>
        <w:t xml:space="preserve">Use Phase (Downstream):</w:t>
      </w:r>
      <w:r>
        <w:t xml:space="preserve"> </w:t>
      </w:r>
      <w:r>
        <w:t xml:space="preserve">10.5 kg CO2e</w:t>
      </w:r>
    </w:p>
    <w:p>
      <w:pPr>
        <w:numPr>
          <w:ilvl w:val="0"/>
          <w:numId w:val="1010"/>
        </w:numPr>
        <w:pStyle w:val="Compact"/>
      </w:pPr>
      <w:r>
        <w:rPr>
          <w:bCs/>
          <w:b/>
        </w:rPr>
        <w:t xml:space="preserve">End-of-Life (Downstream):</w:t>
      </w:r>
      <w:r>
        <w:t xml:space="preserve"> </w:t>
      </w:r>
      <w:r>
        <w:t xml:space="preserve">-0.5 kg CO2e</w:t>
      </w:r>
    </w:p>
    <w:p>
      <w:pPr>
        <w:pStyle w:val="FirstParagraph"/>
      </w:pPr>
      <w:r>
        <w:rPr>
          <w:bCs/>
          <w:b/>
        </w:rPr>
        <w:t xml:space="preserve">Calculated Scope 3 Emissions:</w:t>
      </w:r>
      <w:r>
        <w:t xml:space="preserve"> </w:t>
      </w:r>
      <w:r>
        <w:t xml:space="preserve">20.63 + 99.00 + 10.5 + (-0.5) =</w:t>
      </w:r>
      <w:r>
        <w:t xml:space="preserve"> </w:t>
      </w:r>
      <w:r>
        <w:rPr>
          <w:bCs/>
          <w:b/>
        </w:rPr>
        <w:t xml:space="preserve">129.63 kg CO2e</w:t>
      </w:r>
    </w:p>
    <w:bookmarkEnd w:id="32"/>
    <w:bookmarkStart w:id="33" w:name="total-product-carbon-footprint"/>
    <w:p>
      <w:pPr>
        <w:pStyle w:val="Heading3"/>
      </w:pPr>
      <w:r>
        <w:t xml:space="preserve">Total Product Carbon Footprint</w:t>
      </w:r>
    </w:p>
    <w:p>
      <w:pPr>
        <w:pStyle w:val="FirstParagraph"/>
      </w:pPr>
      <w:r>
        <w:rPr>
          <w:bCs/>
          <w:b/>
        </w:rPr>
        <w:t xml:space="preserve">Total PCF for 1.0 unit of xyluzehmdq = Scope 1 + Scope 2 + Scope 3</w:t>
      </w:r>
    </w:p>
    <w:p>
      <w:pPr>
        <w:pStyle w:val="BodyText"/>
      </w:pPr>
      <w:r>
        <w:t xml:space="preserve">Total PCF = 0.0 kg CO2e + 0.75 kg CO2e + 129.63 kg CO2e =</w:t>
      </w:r>
      <w:r>
        <w:t xml:space="preserve"> </w:t>
      </w:r>
      <w:r>
        <w:rPr>
          <w:bCs/>
          <w:b/>
        </w:rPr>
        <w:t xml:space="preserve">130.38 kg CO2e</w:t>
      </w:r>
    </w:p>
    <w:bookmarkEnd w:id="33"/>
    <w:bookmarkStart w:id="34" w:name="X7ef73fe3d39a8d84fae696b42f814aa0d860ec0"/>
    <w:p>
      <w:pPr>
        <w:pStyle w:val="Heading3"/>
      </w:pPr>
      <w:r>
        <w:t xml:space="preserve">2026 LSR Update: Land Sector and Removals Standard</w:t>
      </w:r>
    </w:p>
    <w:p>
      <w:pPr>
        <w:pStyle w:val="FirstParagraph"/>
      </w:pPr>
      <w:r>
        <w:t xml:space="preserve">The Land Sector and Removals (LSR) Standard, published by the GHG Protocol on January 30, 2026, and effective January 1, 2027, provides accounting requirements for land-related emissions and CO2 removals. It is the first GHG Protocol standard to quantify, report, and track land emissions, CO2 removals, and other key metrics. For</w:t>
      </w:r>
      <w:r>
        <w:t xml:space="preserve"> </w:t>
      </w:r>
      <w:r>
        <w:rPr>
          <w:bCs/>
          <w:b/>
        </w:rPr>
        <w:t xml:space="preserve">xyluzehmdq</w:t>
      </w:r>
      <w:r>
        <w:t xml:space="preserve">, direct land use changes related to raw material extraction (e.g., for wood pulp in packaging, if virgin paper is used) and carbon removals through circular economy initiatives (e.g., biogenic carbon in recycled packaging) would be accounted for under this standard. While specific data for granular land-use impact and removals for individual BOM components were not explicitly provided in the input, the emission factors used implicitly cover some upstream land impacts. For future reports, detailed LULUCF (Land Use, Land-Use Change and Forestry) data for primary materials would be integrated to ensure full LSR compliance, especially as accompanying guidance is expected in Q2 2026.</w:t>
      </w:r>
    </w:p>
    <w:p>
      <w:r>
        <w:pict>
          <v:rect style="width:0;height:1.5pt" o:hralign="center" o:hrstd="t" o:hr="t"/>
        </w:pict>
      </w:r>
    </w:p>
    <w:bookmarkEnd w:id="34"/>
    <w:bookmarkEnd w:id="35"/>
    <w:bookmarkStart w:id="39" w:name="review-report"/>
    <w:p>
      <w:pPr>
        <w:pStyle w:val="Heading2"/>
      </w:pPr>
      <w:r>
        <w:t xml:space="preserve">5. Review &amp; Report</w:t>
      </w:r>
    </w:p>
    <w:bookmarkStart w:id="36" w:name="emission-hotspots"/>
    <w:p>
      <w:pPr>
        <w:pStyle w:val="Heading3"/>
      </w:pPr>
      <w:r>
        <w:t xml:space="preserve">5.1. Emission Hotspots</w:t>
      </w:r>
    </w:p>
    <w:p>
      <w:pPr>
        <w:pStyle w:val="FirstParagraph"/>
      </w:pPr>
      <w:r>
        <w:t xml:space="preserve">The analysis reveals the following key emission hotspots for</w:t>
      </w:r>
      <w:r>
        <w:t xml:space="preserve"> </w:t>
      </w:r>
      <w:r>
        <w:rPr>
          <w:bCs/>
          <w:b/>
        </w:rPr>
        <w:t xml:space="preserve">xyluzehmdq</w:t>
      </w:r>
      <w:r>
        <w:t xml:space="preserve">:</w:t>
      </w:r>
    </w:p>
    <w:p>
      <w:pPr>
        <w:numPr>
          <w:ilvl w:val="0"/>
          <w:numId w:val="1011"/>
        </w:numPr>
        <w:pStyle w:val="Compact"/>
      </w:pPr>
      <w:r>
        <w:rPr>
          <w:bCs/>
          <w:b/>
        </w:rPr>
        <w:t xml:space="preserve">Transportation (99.00 kg CO2e):</w:t>
      </w:r>
      <w:r>
        <w:t xml:space="preserve"> </w:t>
      </w:r>
      <w:r>
        <w:t xml:space="preserve">This is the most significant contributor, primarily due to long-distance sea freight of raw materials and finished products within a Europe-focused supply chain and final production in China, followed by last-mile delivery.</w:t>
      </w:r>
    </w:p>
    <w:p>
      <w:pPr>
        <w:numPr>
          <w:ilvl w:val="0"/>
          <w:numId w:val="1011"/>
        </w:numPr>
        <w:pStyle w:val="Compact"/>
      </w:pPr>
      <w:r>
        <w:rPr>
          <w:bCs/>
          <w:b/>
        </w:rPr>
        <w:t xml:space="preserve">Material Acquisition (20.63 kg CO2e):</w:t>
      </w:r>
      <w:r>
        <w:t xml:space="preserve"> </w:t>
      </w:r>
      <w:r>
        <w:t xml:space="preserve">The production of components, particularly the Printed Circuit Board (PCB) and Lithium-ion Battery, contributes substantially to the overall footprint.</w:t>
      </w:r>
    </w:p>
    <w:p>
      <w:pPr>
        <w:numPr>
          <w:ilvl w:val="0"/>
          <w:numId w:val="1011"/>
        </w:numPr>
        <w:pStyle w:val="Compact"/>
      </w:pPr>
      <w:r>
        <w:rPr>
          <w:bCs/>
          <w:b/>
        </w:rPr>
        <w:t xml:space="preserve">Use Phase (10.5 kg CO2e):</w:t>
      </w:r>
      <w:r>
        <w:t xml:space="preserve"> </w:t>
      </w:r>
      <w:r>
        <w:t xml:space="preserve">Energy consumption during the product\'s lifespan is a notable contributor, despite its relatively short assumed lifespan.</w:t>
      </w:r>
    </w:p>
    <w:p>
      <w:pPr>
        <w:numPr>
          <w:ilvl w:val="0"/>
          <w:numId w:val="1011"/>
        </w:numPr>
        <w:pStyle w:val="Compact"/>
      </w:pPr>
      <w:r>
        <w:rPr>
          <w:bCs/>
          <w:b/>
        </w:rPr>
        <w:t xml:space="preserve">Manufacturing Energy (0.75 kg CO2e):</w:t>
      </w:r>
      <w:r>
        <w:t xml:space="preserve"> </w:t>
      </w:r>
      <w:r>
        <w:t xml:space="preserve">While electricity consumption is inherent to manufacturing, its impact is significantly mitigated by the stated 75% renewable energy usage.</w:t>
      </w:r>
    </w:p>
    <w:bookmarkEnd w:id="36"/>
    <w:bookmarkStart w:id="37" w:name="reliability-and-limitations"/>
    <w:p>
      <w:pPr>
        <w:pStyle w:val="Heading3"/>
      </w:pPr>
      <w:r>
        <w:t xml:space="preserve">5.2. Reliability and Limitations</w:t>
      </w:r>
    </w:p>
    <w:p>
      <w:pPr>
        <w:pStyle w:val="FirstParagraph"/>
      </w:pPr>
      <w:r>
        <w:t xml:space="preserve">The reliability of this PCF analysis is high due to its adherence to GHG Protocol standards and the integration of specific operational data where provided. However, certain limitations exist:</w:t>
      </w:r>
    </w:p>
    <w:p>
      <w:pPr>
        <w:numPr>
          <w:ilvl w:val="0"/>
          <w:numId w:val="1012"/>
        </w:numPr>
        <w:pStyle w:val="Compact"/>
      </w:pPr>
      <w:r>
        <w:rPr>
          <w:bCs/>
          <w:b/>
        </w:rPr>
        <w:t xml:space="preserve">Data Interpretation:</w:t>
      </w:r>
      <w:r>
        <w:t xml:space="preserve"> </w:t>
      </w:r>
      <w:r>
        <w:t xml:space="preserve">Several parameters (`oqsjypdy`, `Select Mode`, `jruhjfwlvd`, `Delivery Type`, `llmuorzqpf`, `ygriyvlxgr`, `emgiorklrt`, `fdzvnvxqse`, `ogpkqyriwd`, `uylsfridfr`) were provided as descriptive strings. For calculation purposes, numerical or specific categorical interpretations were made, which may differ from actual specific values not explicitly provided.</w:t>
      </w:r>
    </w:p>
    <w:p>
      <w:pPr>
        <w:numPr>
          <w:ilvl w:val="0"/>
          <w:numId w:val="1012"/>
        </w:numPr>
        <w:pStyle w:val="Compact"/>
      </w:pPr>
      <w:r>
        <w:rPr>
          <w:bCs/>
          <w:b/>
        </w:rPr>
        <w:t xml:space="preserve">Emission Factor Selection:</w:t>
      </w:r>
      <w:r>
        <w:t xml:space="preserve"> </w:t>
      </w:r>
      <w:r>
        <w:t xml:space="preserve">Industry-standard emission factors (e.g., from Ecoinvent/DEFRA equivalents) have been used. Variations in specific supplier data and precise geographical context could alter results.</w:t>
      </w:r>
    </w:p>
    <w:p>
      <w:pPr>
        <w:numPr>
          <w:ilvl w:val="0"/>
          <w:numId w:val="1012"/>
        </w:numPr>
        <w:pStyle w:val="Compact"/>
      </w:pPr>
      <w:r>
        <w:rPr>
          <w:bCs/>
          <w:b/>
        </w:rPr>
        <w:t xml:space="preserve">LSR Implementation:</w:t>
      </w:r>
      <w:r>
        <w:t xml:space="preserve"> </w:t>
      </w:r>
      <w:r>
        <w:t xml:space="preserve">Full, granular implementation of the 2026 LSR Standard requires specific land-use impact data for each material, which was not available.</w:t>
      </w:r>
    </w:p>
    <w:p>
      <w:pPr>
        <w:numPr>
          <w:ilvl w:val="0"/>
          <w:numId w:val="1012"/>
        </w:numPr>
        <w:pStyle w:val="Compact"/>
      </w:pPr>
      <w:r>
        <w:rPr>
          <w:bCs/>
          <w:b/>
        </w:rPr>
        <w:t xml:space="preserve">Dynamic Usage Patterns:</w:t>
      </w:r>
      <w:r>
        <w:t xml:space="preserve"> </w:t>
      </w:r>
      <w:r>
        <w:t xml:space="preserve">The use phase calculation assumes a constant energy consumption over the product\'s lifespan; actual user behavior and varying grid mixes globally may lead to different results.</w:t>
      </w:r>
    </w:p>
    <w:bookmarkEnd w:id="37"/>
    <w:bookmarkStart w:id="38" w:name="recommendations-for-reduction"/>
    <w:p>
      <w:pPr>
        <w:pStyle w:val="Heading3"/>
      </w:pPr>
      <w:r>
        <w:t xml:space="preserve">5.3. Recommendations for Reduction</w:t>
      </w:r>
    </w:p>
    <w:p>
      <w:pPr>
        <w:pStyle w:val="FirstParagraph"/>
      </w:pPr>
      <w:r>
        <w:t xml:space="preserve">Based on the identified hotspots,</w:t>
      </w:r>
      <w:r>
        <w:t xml:space="preserve"> </w:t>
      </w:r>
      <w:r>
        <w:rPr>
          <w:bCs/>
          <w:b/>
        </w:rPr>
        <w:t xml:space="preserve">fjxznhvlmz</w:t>
      </w:r>
      <w:r>
        <w:t xml:space="preserve"> </w:t>
      </w:r>
      <w:r>
        <w:t xml:space="preserve">can focus on the following strategies to reduce the carbon footprint of</w:t>
      </w:r>
      <w:r>
        <w:t xml:space="preserve"> </w:t>
      </w:r>
      <w:r>
        <w:rPr>
          <w:bCs/>
          <w:b/>
        </w:rPr>
        <w:t xml:space="preserve">xyluzehmdq</w:t>
      </w:r>
      <w:r>
        <w:t xml:space="preserve">:</w:t>
      </w:r>
    </w:p>
    <w:p>
      <w:pPr>
        <w:numPr>
          <w:ilvl w:val="0"/>
          <w:numId w:val="1013"/>
        </w:numPr>
        <w:pStyle w:val="Compact"/>
      </w:pPr>
      <w:r>
        <w:rPr>
          <w:bCs/>
          <w:b/>
        </w:rPr>
        <w:t xml:space="preserve">Supply Chain Optimization:</w:t>
      </w:r>
    </w:p>
    <w:p>
      <w:pPr>
        <w:numPr>
          <w:ilvl w:val="1"/>
          <w:numId w:val="1014"/>
        </w:numPr>
        <w:pStyle w:val="Compact"/>
      </w:pPr>
      <w:r>
        <w:t xml:space="preserve">Explore options to source materials and components closer to the final production facility in China to reduce transport distances, or optimize routing and load factors for existing supply chains.</w:t>
      </w:r>
    </w:p>
    <w:p>
      <w:pPr>
        <w:numPr>
          <w:ilvl w:val="1"/>
          <w:numId w:val="1014"/>
        </w:numPr>
        <w:pStyle w:val="Compact"/>
      </w:pPr>
      <w:r>
        <w:t xml:space="preserve">Investigate lower-carbon transport modes for freight, such as rail or advanced biofuels for sea freight, where feasible.</w:t>
      </w:r>
    </w:p>
    <w:p>
      <w:pPr>
        <w:numPr>
          <w:ilvl w:val="0"/>
          <w:numId w:val="1013"/>
        </w:numPr>
        <w:pStyle w:val="Compact"/>
      </w:pPr>
      <w:r>
        <w:rPr>
          <w:bCs/>
          <w:b/>
        </w:rPr>
        <w:t xml:space="preserve">Material Innovation:</w:t>
      </w:r>
    </w:p>
    <w:p>
      <w:pPr>
        <w:numPr>
          <w:ilvl w:val="1"/>
          <w:numId w:val="1015"/>
        </w:numPr>
        <w:pStyle w:val="Compact"/>
      </w:pPr>
      <w:r>
        <w:t xml:space="preserve">Prioritize materials with inherently lower carbon footprints, especially for high-impact components like PCBs and batteries, or those with higher recycled content.</w:t>
      </w:r>
    </w:p>
    <w:p>
      <w:pPr>
        <w:numPr>
          <w:ilvl w:val="1"/>
          <w:numId w:val="1015"/>
        </w:numPr>
        <w:pStyle w:val="Compact"/>
      </w:pPr>
      <w:r>
        <w:t xml:space="preserve">Collaborate with suppliers to obtain product-specific or supplier-specific emission data for BOM items.</w:t>
      </w:r>
    </w:p>
    <w:p>
      <w:pPr>
        <w:numPr>
          <w:ilvl w:val="0"/>
          <w:numId w:val="1013"/>
        </w:numPr>
        <w:pStyle w:val="Compact"/>
      </w:pPr>
      <w:r>
        <w:rPr>
          <w:bCs/>
          <w:b/>
        </w:rPr>
        <w:t xml:space="preserve">Manufacturing Efficiency:</w:t>
      </w:r>
    </w:p>
    <w:p>
      <w:pPr>
        <w:numPr>
          <w:ilvl w:val="1"/>
          <w:numId w:val="1016"/>
        </w:numPr>
        <w:pStyle w:val="Compact"/>
      </w:pPr>
      <w:r>
        <w:t xml:space="preserve">Strive for 100% renewable energy procurement at manufacturing facilities to eliminate remaining Scope 2 emissions.</w:t>
      </w:r>
    </w:p>
    <w:p>
      <w:pPr>
        <w:numPr>
          <w:ilvl w:val="1"/>
          <w:numId w:val="1016"/>
        </w:numPr>
        <w:pStyle w:val="Compact"/>
      </w:pPr>
      <w:r>
        <w:t xml:space="preserve">Implement further process optimizations to reduce energy intensity (`ygriyvlxgr`) during production.</w:t>
      </w:r>
    </w:p>
    <w:p>
      <w:pPr>
        <w:numPr>
          <w:ilvl w:val="0"/>
          <w:numId w:val="1013"/>
        </w:numPr>
        <w:pStyle w:val="Compact"/>
      </w:pPr>
      <w:r>
        <w:rPr>
          <w:bCs/>
          <w:b/>
        </w:rPr>
        <w:t xml:space="preserve">Use Phase Improvement:</w:t>
      </w:r>
    </w:p>
    <w:p>
      <w:pPr>
        <w:numPr>
          <w:ilvl w:val="1"/>
          <w:numId w:val="1017"/>
        </w:numPr>
        <w:pStyle w:val="Compact"/>
      </w:pPr>
      <w:r>
        <w:t xml:space="preserve">Design for enhanced energy efficiency to reduce product energy consumption during its lifespan (`fdzvnvxqse`).</w:t>
      </w:r>
    </w:p>
    <w:p>
      <w:pPr>
        <w:numPr>
          <w:ilvl w:val="1"/>
          <w:numId w:val="1017"/>
        </w:numPr>
        <w:pStyle w:val="Compact"/>
      </w:pPr>
      <w:r>
        <w:t xml:space="preserve">Educate consumers on energy-saving usage and maintenance to maximize product lifespan (`emgiorklrt`).</w:t>
      </w:r>
    </w:p>
    <w:p>
      <w:pPr>
        <w:numPr>
          <w:ilvl w:val="0"/>
          <w:numId w:val="1013"/>
        </w:numPr>
        <w:pStyle w:val="Compact"/>
      </w:pPr>
      <w:r>
        <w:rPr>
          <w:bCs/>
          <w:b/>
        </w:rPr>
        <w:t xml:space="preserve">Circular Economy Enhancement:</w:t>
      </w:r>
    </w:p>
    <w:p>
      <w:pPr>
        <w:numPr>
          <w:ilvl w:val="1"/>
          <w:numId w:val="1018"/>
        </w:numPr>
        <w:pStyle w:val="Compact"/>
      </w:pPr>
      <w:r>
        <w:t xml:space="preserve">Strengthen and expand product take-back programs (`uylsfridfr`) to ensure maximum collection and recycling rates (`ogpkqyriwd`).</w:t>
      </w:r>
    </w:p>
    <w:p>
      <w:pPr>
        <w:numPr>
          <w:ilvl w:val="1"/>
          <w:numId w:val="1018"/>
        </w:numPr>
        <w:pStyle w:val="Compact"/>
      </w:pPr>
      <w:r>
        <w:t xml:space="preserve">Explore opportunities for product refurbishment, repair, and re-manufacturing to extend product utility and delay end-of-life.</w:t>
      </w:r>
    </w:p>
    <w:p>
      <w:r>
        <w:pict>
          <v:rect style="width:0;height:1.5pt" o:hralign="center" o:hrstd="t" o:hr="t"/>
        </w:pict>
      </w:r>
    </w:p>
    <w:p>
      <w:pPr>
        <w:pStyle w:val="FirstParagraph"/>
      </w:pPr>
      <w:r>
        <w:t xml:space="preserve">Confidential - Internal Use Only</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xyluzehmdq</dc:title>
  <dc:creator/>
  <dc:description>Product Carbon Footprint (PCF) analysis report for product xyluzehmdq by fjxznhvlmz, adhering to GHG Protocol standards and 2026 LSR updates.</dc:description>
  <dc:language>en</dc:language>
  <cp:keywords/>
  <dcterms:created xsi:type="dcterms:W3CDTF">2026-07-15T12:39:10Z</dcterms:created>
  <dcterms:modified xsi:type="dcterms:W3CDTF">2026-07-15T12:39:10Z</dcterms:modified>
</cp:coreProperties>
</file>

<file path=docProps/custom.xml><?xml version="1.0" encoding="utf-8"?>
<Properties xmlns="http://schemas.openxmlformats.org/officeDocument/2006/custom-properties" xmlns:vt="http://schemas.openxmlformats.org/officeDocument/2006/docPropsVTypes"/>
</file>