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xyltroxfdk</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xyltroxfdk"/>
    <w:p>
      <w:pPr>
        <w:pStyle w:val="Heading2"/>
      </w:pPr>
      <w:r>
        <w:t xml:space="preserve">for Product: xyltroxfdk</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tqtywmdmyy</w:t>
      </w:r>
    </w:p>
    <w:p>
      <w:pPr>
        <w:pStyle w:val="BodyText"/>
      </w:pPr>
      <w:r>
        <w:rPr>
          <w:bCs/>
          <w:b/>
        </w:rPr>
        <w:t xml:space="preserve">Senior Sustainability Consultant:</w:t>
      </w:r>
      <w:r>
        <w:t xml:space="preserve"> </w:t>
      </w:r>
      <w:r>
        <w:t xml:space="preserve">zroekyligh</w:t>
      </w:r>
    </w:p>
    <w:p>
      <w:pPr>
        <w:pStyle w:val="BodyText"/>
      </w:pPr>
      <w:r>
        <w:t xml:space="preserve">Disclaimer: This report is generated based on available data and industry standards. Due to placeholder values provided for several key parameters (BOM details, transport mode, distance, energy usage, product lifespan, consumption, recyclability, and circular programs), the calculations herein are illustrative and rely on reasonable assumptions and hypothetical data to demonstrate the methodology. Actual results would require precise, primary data for these parameters.</w:t>
      </w:r>
    </w:p>
    <w:bookmarkEnd w:id="20"/>
    <w:bookmarkEnd w:id="21"/>
    <w:bookmarkStart w:id="22" w:name="X971674abea124600d1da843e575deb36530c8de"/>
    <w:p>
      <w:pPr>
        <w:pStyle w:val="Heading1"/>
      </w:pPr>
      <w:r>
        <w:t xml:space="preserve">Product Carbon Footprint Analysis Report for xyltroxfdk</w:t>
      </w:r>
    </w:p>
    <w:p>
      <w:pPr>
        <w:pStyle w:val="FirstParagraph"/>
      </w:pPr>
      <w:r>
        <w:t xml:space="preserve">Generated Date: May 29,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\'xyltroxfdk\', a product manufactured by tqtywmdmyy. The analysis was conducted by zroekyligh, Senior Sustainability Consultant, adhering to the Greenhouse Gas (GHG) Protocol standards, including considerations for the upcoming 2026 Land Sector and Removals (LSR) Standard update and stringent Scope 3 reporting requirements. This assessment covers the entire lifecycle of the product from raw material acquisition through end-of-life, categorizing emissions into Scope 1, 2, and 3. Due to the placeholder nature of some input parameters, certain data points in this report are based on reasonable industry assumptions for illustrative purposes. The total estimated Product Carbon Footprint for xyltroxfdk is 43.2 kgCO2e per functional unit.</w:t>
      </w:r>
    </w:p>
    <w:p>
      <w:r>
        <w:pict>
          <v:rect style="width:0;height:1.5pt" o:hralign="center" o:hrstd="t" o:hr="t"/>
        </w:pict>
      </w:r>
    </w:p>
    <w:bookmarkEnd w:id="23"/>
    <w:bookmarkStart w:id="28" w:name="introduction-and-scope-definition"/>
    <w:p>
      <w:pPr>
        <w:pStyle w:val="Heading2"/>
      </w:pPr>
      <w:r>
        <w:t xml:space="preserve">1. Introduction and Scope Definition</w:t>
      </w:r>
    </w:p>
    <w:p>
      <w:pPr>
        <w:pStyle w:val="FirstParagraph"/>
      </w:pPr>
      <w:r>
        <w:t xml:space="preserve">This Product Carbon Footprint (PCF) analysis evaluates the greenhouse gas (GHG) emissions associated with the product</w:t>
      </w:r>
      <w:r>
        <w:t xml:space="preserve"> </w:t>
      </w:r>
      <w:r>
        <w:rPr>
          <w:bCs/>
          <w:b/>
        </w:rPr>
        <w:t xml:space="preserve">xyltroxfdk</w:t>
      </w:r>
      <w:r>
        <w:t xml:space="preserve">, produced by</w:t>
      </w:r>
      <w:r>
        <w:t xml:space="preserve"> </w:t>
      </w:r>
      <w:r>
        <w:rPr>
          <w:bCs/>
          <w:b/>
        </w:rPr>
        <w:t xml:space="preserve">tqtywmdmyy</w:t>
      </w:r>
      <w:r>
        <w:t xml:space="preserve">. The assessment has been performed by</w:t>
      </w:r>
      <w:r>
        <w:t xml:space="preserve"> </w:t>
      </w:r>
      <w:r>
        <w:rPr>
          <w:bCs/>
          <w:b/>
        </w:rPr>
        <w:t xml:space="preserve">zroekyligh</w:t>
      </w:r>
      <w:r>
        <w:t xml:space="preserve">, Senior Sustainability Consultant, in accordance with the</w:t>
      </w:r>
      <w:r>
        <w:t xml:space="preserve"> </w:t>
      </w:r>
      <w:r>
        <w:rPr>
          <w:bCs/>
          <w:b/>
        </w:rPr>
        <w:t xml:space="preserve">GHG Protocol</w:t>
      </w:r>
      <w:r>
        <w:t xml:space="preserve">.</w:t>
      </w:r>
    </w:p>
    <w:bookmarkStart w:id="24" w:name="functional-unit"/>
    <w:p>
      <w:pPr>
        <w:pStyle w:val="Heading3"/>
      </w:pPr>
      <w:r>
        <w:t xml:space="preserve">1.1 Functional Unit</w:t>
      </w:r>
    </w:p>
    <w:p>
      <w:pPr>
        <w:pStyle w:val="FirstParagraph"/>
      </w:pPr>
      <w:r>
        <w:t xml:space="preserve">The functional unit for this PCF study is defined as</w:t>
      </w:r>
      <w:r>
        <w:t xml:space="preserve"> </w:t>
      </w:r>
      <w:r>
        <w:rPr>
          <w:bCs/>
          <w:b/>
        </w:rPr>
        <w:t xml:space="preserve">1.0 unit</w:t>
      </w:r>
      <w:r>
        <w:t xml:space="preserve"> </w:t>
      </w:r>
      <w:r>
        <w:t xml:space="preserve">of xyltroxfdk. All emissions are normalized to this unit.</w:t>
      </w:r>
    </w:p>
    <w:bookmarkEnd w:id="24"/>
    <w:bookmarkStart w:id="25" w:name="system-boundary"/>
    <w:p>
      <w:pPr>
        <w:pStyle w:val="Heading3"/>
      </w:pPr>
      <w:r>
        <w:t xml:space="preserve">1.2 System Boundary</w:t>
      </w:r>
    </w:p>
    <w:p>
      <w:pPr>
        <w:pStyle w:val="FirstParagraph"/>
      </w:pPr>
      <w:r>
        <w:t xml:space="preserve">The system boundary for this analysis is "</w:t>
      </w:r>
      <w:r>
        <w:rPr>
          <w:bCs/>
          <w:b/>
        </w:rPr>
        <w:t xml:space="preserve">factory_gate</w:t>
      </w:r>
      <w:r>
        <w:t xml:space="preserve">," encompassing all processes from raw material extraction (cradle) up to the point where the finished product leaves the factory gate, as well as downstream phases of transport, product use, and end-of-life. This cradle-to-grave approach ensures a comprehensive understanding of the product\'s environmental impact across its entire value chain.</w:t>
      </w:r>
    </w:p>
    <w:bookmarkEnd w:id="25"/>
    <w:bookmarkStart w:id="26"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6"/>
    <w:bookmarkStart w:id="27" w:name="allocation"/>
    <w:p>
      <w:pPr>
        <w:pStyle w:val="Heading3"/>
      </w:pPr>
      <w:r>
        <w:t xml:space="preserve">1.4 Allocation</w:t>
      </w:r>
    </w:p>
    <w:p>
      <w:pPr>
        <w:pStyle w:val="FirstParagraph"/>
      </w:pPr>
      <w:r>
        <w:t xml:space="preserve">Emissions are directly allocated to the functional unit (1.0 unit of xyltroxfdk). Where shared processes or facilities are involved, emissions are allocated based on mass or direct attribution to the specific product, ensuring no double counting.</w:t>
      </w:r>
    </w:p>
    <w:p>
      <w:r>
        <w:pict>
          <v:rect style="width:0;height:1.5pt" o:hralign="center" o:hrstd="t" o:hr="t"/>
        </w:pict>
      </w:r>
    </w:p>
    <w:bookmarkEnd w:id="27"/>
    <w:bookmarkEnd w:id="28"/>
    <w:bookmarkStart w:id="32" w:name="methodology"/>
    <w:p>
      <w:pPr>
        <w:pStyle w:val="Heading2"/>
      </w:pPr>
      <w:r>
        <w:t xml:space="preserve">2. Methodology</w:t>
      </w:r>
    </w:p>
    <w:p>
      <w:pPr>
        <w:pStyle w:val="FirstParagraph"/>
      </w:pPr>
      <w:r>
        <w:t xml:space="preserve">The PCF analysis adheres strictly to the GHG Protocol, following a structured 5-step methodology:</w:t>
      </w:r>
    </w:p>
    <w:p>
      <w:pPr>
        <w:numPr>
          <w:ilvl w:val="0"/>
          <w:numId w:val="1002"/>
        </w:numPr>
        <w:pStyle w:val="Compact"/>
      </w:pPr>
      <w:r>
        <w:rPr>
          <w:bCs/>
          <w:b/>
        </w:rPr>
        <w:t xml:space="preserve">Define Scope:</w:t>
      </w:r>
      <w:r>
        <w:t xml:space="preserve"> </w:t>
      </w:r>
      <w:r>
        <w:t xml:space="preserve">Clearly establishing the functional unit, system boundaries, geographic scope, and allocation rules.</w:t>
      </w:r>
    </w:p>
    <w:p>
      <w:pPr>
        <w:numPr>
          <w:ilvl w:val="0"/>
          <w:numId w:val="1002"/>
        </w:numPr>
        <w:pStyle w:val="Compact"/>
      </w:pPr>
      <w:r>
        <w:rPr>
          <w:bCs/>
          <w:b/>
        </w:rPr>
        <w:t xml:space="preserve">Map Lifecycle (LCI Inventory Stages):</w:t>
      </w:r>
      <w:r>
        <w:t xml:space="preserve"> </w:t>
      </w:r>
      <w:r>
        <w:t xml:space="preserve">Identifying all relevant processes and stages throughout the product\'s lifecycle, from raw material extraction to end-of-life.</w:t>
      </w:r>
    </w:p>
    <w:p>
      <w:pPr>
        <w:numPr>
          <w:ilvl w:val="0"/>
          <w:numId w:val="1002"/>
        </w:numPr>
        <w:pStyle w:val="Compact"/>
      </w:pPr>
      <w:r>
        <w:rPr>
          <w:bCs/>
          <w:b/>
        </w:rPr>
        <w:t xml:space="preserve">Collect Data (Primary/Secondary Data Points):</w:t>
      </w:r>
      <w:r>
        <w:t xml:space="preserve"> </w:t>
      </w:r>
      <w:r>
        <w:t xml:space="preserve">Gathering quantitative data on material inputs, energy consumption, transportation, and waste management.</w:t>
      </w:r>
    </w:p>
    <w:p>
      <w:pPr>
        <w:numPr>
          <w:ilvl w:val="0"/>
          <w:numId w:val="1002"/>
        </w:numPr>
        <w:pStyle w:val="Compact"/>
      </w:pPr>
      <w:r>
        <w:rPr>
          <w:bCs/>
          <w:b/>
        </w:rPr>
        <w:t xml:space="preserve">Calculate Emissions (Activity * Emission Factor = CO2e):</w:t>
      </w:r>
      <w:r>
        <w:t xml:space="preserve"> </w:t>
      </w:r>
      <w:r>
        <w:t xml:space="preserve">Applying appropriate emission factors to activity data to quantify GHG emissions in CO2 equivalents (CO2e).</w:t>
      </w:r>
    </w:p>
    <w:p>
      <w:pPr>
        <w:numPr>
          <w:ilvl w:val="0"/>
          <w:numId w:val="1002"/>
        </w:numPr>
        <w:pStyle w:val="Compact"/>
      </w:pPr>
      <w:r>
        <w:rPr>
          <w:bCs/>
          <w:b/>
        </w:rPr>
        <w:t xml:space="preserve">Review &amp; Report:</w:t>
      </w:r>
      <w:r>
        <w:t xml:space="preserve"> </w:t>
      </w:r>
      <w:r>
        <w:t xml:space="preserve">Analyzing results, identifying hotspots, assessing reliability, and presenting findings in a transparent manner.</w:t>
      </w:r>
    </w:p>
    <w:bookmarkStart w:id="29" w:name="adherence-to-ghg-protocol-standards"/>
    <w:p>
      <w:pPr>
        <w:pStyle w:val="Heading3"/>
      </w:pPr>
      <w:r>
        <w:t xml:space="preserve">2.1 Adherence to GHG Protocol Standards</w:t>
      </w:r>
    </w:p>
    <w:p>
      <w:pPr>
        <w:pStyle w:val="FirstParagraph"/>
      </w:pPr>
      <w:r>
        <w:t xml:space="preserve">Emissions are categorized into the three scopes as defined by the GHG Protocol:</w:t>
      </w:r>
    </w:p>
    <w:p>
      <w:pPr>
        <w:numPr>
          <w:ilvl w:val="0"/>
          <w:numId w:val="1003"/>
        </w:numPr>
        <w:pStyle w:val="Compact"/>
      </w:pPr>
      <w:r>
        <w:rPr>
          <w:bCs/>
          <w:b/>
        </w:rPr>
        <w:t xml:space="preserve">Scope 1:</w:t>
      </w:r>
      <w:r>
        <w:t xml:space="preserve"> </w:t>
      </w:r>
      <w:r>
        <w:t xml:space="preserve">Direct GHG emissions from sources owned or controlled by tqtywmdmyy (e.g., fuel combustion in owned vehicles or facilities).</w:t>
      </w:r>
    </w:p>
    <w:p>
      <w:pPr>
        <w:numPr>
          <w:ilvl w:val="0"/>
          <w:numId w:val="1003"/>
        </w:numPr>
        <w:pStyle w:val="Compact"/>
      </w:pPr>
      <w:r>
        <w:rPr>
          <w:bCs/>
          <w:b/>
        </w:rPr>
        <w:t xml:space="preserve">Scope 2:</w:t>
      </w:r>
      <w:r>
        <w:t xml:space="preserve"> </w:t>
      </w:r>
      <w:r>
        <w:t xml:space="preserve">Indirect GHG emissions from the generation of purchased electricity, heat, or steam consumed by tqtywmdmyy.</w:t>
      </w:r>
    </w:p>
    <w:p>
      <w:pPr>
        <w:numPr>
          <w:ilvl w:val="0"/>
          <w:numId w:val="1003"/>
        </w:numPr>
        <w:pStyle w:val="Compact"/>
      </w:pPr>
      <w:r>
        <w:rPr>
          <w:bCs/>
          <w:b/>
        </w:rPr>
        <w:t xml:space="preserve">Scope 3:</w:t>
      </w:r>
      <w:r>
        <w:t xml:space="preserve"> </w:t>
      </w:r>
      <w:r>
        <w:t xml:space="preserve">All other indirect GHG emissions occurring in the value chain of tqtywmdmyy, both upstream (e.g., purchased goods and services, upstream transportation) and downstream (e.g., use of sold products, end-of-life treatment of sold products). For many companies, Scope 3 emissions represent the majority of their total carbon footprint.</w:t>
      </w:r>
    </w:p>
    <w:bookmarkEnd w:id="29"/>
    <w:bookmarkStart w:id="30" w:name="X504f4a86e01fdcfa46a4589bb1b5e0cfaad8629"/>
    <w:p>
      <w:pPr>
        <w:pStyle w:val="Heading3"/>
      </w:pPr>
      <w:r>
        <w:t xml:space="preserve">2.2 2026 Land Sector and Removals (LSR) Standard Update</w:t>
      </w:r>
    </w:p>
    <w:p>
      <w:pPr>
        <w:pStyle w:val="FirstParagraph"/>
      </w:pPr>
      <w:r>
        <w:t xml:space="preserve">The analysis incorporates considerations from the GHG Protocol\'s Land Sector and Removals (LSR) Standard, which was released on January 30, 2026, and is set to take effect on January 1, 2027. This standard provides requirements and guidance for quantifying, reporting, and tracking land emissions, CO2 removals, and emissions from biogenic products. The accompanying Guidance document is expected in Q2 2026. It is noted that forest carbon accounting is not included in this initial version of the LSR Standard. Where applicable, potential land-based removals or emissions would be accounted for in alignment with this standard.</w:t>
      </w:r>
    </w:p>
    <w:bookmarkEnd w:id="30"/>
    <w:bookmarkStart w:id="31" w:name="scope-3-compliance"/>
    <w:p>
      <w:pPr>
        <w:pStyle w:val="Heading3"/>
      </w:pPr>
      <w:r>
        <w:t xml:space="preserve">2.3 Scope 3 Compliance</w:t>
      </w:r>
    </w:p>
    <w:p>
      <w:pPr>
        <w:pStyle w:val="FirstParagraph"/>
      </w:pPr>
      <w:r>
        <w:t xml:space="preserve">In line with 2026 requirements, this report aims for at least 95% coverage for Scope 3 reporting, ensuring a comprehensive assessment of value chain emissions.</w:t>
      </w:r>
    </w:p>
    <w:p>
      <w:r>
        <w:pict>
          <v:rect style="width:0;height:1.5pt" o:hralign="center" o:hrstd="t" o:hr="t"/>
        </w:pict>
      </w:r>
    </w:p>
    <w:bookmarkEnd w:id="31"/>
    <w:bookmarkEnd w:id="32"/>
    <w:bookmarkStart w:id="38" w:name="X939a47aef72a4a28c08ea406bdad185696e1f66"/>
    <w:p>
      <w:pPr>
        <w:pStyle w:val="Heading2"/>
      </w:pPr>
      <w:r>
        <w:t xml:space="preserve">3. Lifecycle Inventory (LCI) and Data Collection</w:t>
      </w:r>
    </w:p>
    <w:p>
      <w:pPr>
        <w:pStyle w:val="FirstParagraph"/>
      </w:pPr>
      <w:r>
        <w:t xml:space="preserve">This section details the inputs and processes mapped across the product\'s lifecycle, with data collected from various sources. Given that the provided parameter values for BOM, transport, energy, lifespan, and EoL were placeholders, this report utilizes hypothetical, yet representative, data and industry-standard emission factors to demonstrate the methodology. All assumptions are explicitly stated.</w:t>
      </w:r>
    </w:p>
    <w:bookmarkStart w:id="33" w:name="Xf7b7fa26ca8dd83121280dee98bd239e1038fc8"/>
    <w:p>
      <w:pPr>
        <w:pStyle w:val="Heading3"/>
      </w:pPr>
      <w:r>
        <w:t xml:space="preserve">3.1 Bill of Materials (BOM) - Upstream Materials</w:t>
      </w:r>
    </w:p>
    <w:p>
      <w:pPr>
        <w:pStyle w:val="FirstParagraph"/>
      </w:pPr>
      <w:r>
        <w:t xml:space="preserve">The detailed Bill of Materials (BOM) is a critical input for calculating the upstream material impact (part of Scope 3). Since the parameter \'exjfzuxs\' was provided as a placeholder string, a hypothetical BOM has been constructed following the specified format (ID, Description, Category, Process, Qty, Unit, Emission Factor, Total Carbon) to illustrate the calculation. These \'Total Carbon\' values represent the Cradle-to-Gate emissions for each material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Frame</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M002</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3.0</w:t>
            </w:r>
          </w:p>
        </w:tc>
        <w:tc>
          <w:tcPr/>
          <w:p>
            <w:pPr>
              <w:pStyle w:val="Compact"/>
              <w:jc w:val="left"/>
            </w:pPr>
            <w:r>
              <w:t xml:space="preserve">3.6</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w:t>
            </w:r>
          </w:p>
        </w:tc>
      </w:tr>
    </w:tbl>
    <w:p>
      <w:pPr>
        <w:pStyle w:val="BodyText"/>
      </w:pPr>
      <w:r>
        <w:rPr>
          <w:bCs/>
          <w:b/>
        </w:rPr>
        <w:t xml:space="preserve">Total Upstream Material Emissions (Hypothetical):</w:t>
      </w:r>
      <w:r>
        <w:t xml:space="preserve"> </w:t>
      </w:r>
      <w:r>
        <w:t xml:space="preserve">13.6 kgCO2e</w:t>
      </w:r>
    </w:p>
    <w:bookmarkEnd w:id="33"/>
    <w:bookmarkStart w:id="34" w:name="energy-inputs---production-phase"/>
    <w:p>
      <w:pPr>
        <w:pStyle w:val="Heading3"/>
      </w:pPr>
      <w:r>
        <w:t xml:space="preserve">3.2 Energy Inputs - Production Phase</w:t>
      </w:r>
    </w:p>
    <w:p>
      <w:pPr>
        <w:pStyle w:val="FirstParagraph"/>
      </w:pPr>
      <w:r>
        <w:t xml:space="preserve">The energy consumption during the production phase is crucial for Scope 2 emissions. The provided parameters \'kxpwxlqtps\' (Renewable Energy Usage) and \'myzszhxpfm\' (Energy Intensity) are placeholders. For demonstration:</w:t>
      </w:r>
    </w:p>
    <w:p>
      <w:pPr>
        <w:numPr>
          <w:ilvl w:val="0"/>
          <w:numId w:val="1004"/>
        </w:numPr>
        <w:pStyle w:val="Compact"/>
      </w:pPr>
      <w:r>
        <w:rPr>
          <w:bCs/>
          <w:b/>
        </w:rPr>
        <w:t xml:space="preserve">Energy Intensity (myzszhxpfm):</w:t>
      </w:r>
      <w:r>
        <w:t xml:space="preserve"> </w:t>
      </w:r>
      <w:r>
        <w:t xml:space="preserve">10 kWh/unit (hypothetically assumed)</w:t>
      </w:r>
    </w:p>
    <w:p>
      <w:pPr>
        <w:numPr>
          <w:ilvl w:val="0"/>
          <w:numId w:val="1004"/>
        </w:numPr>
        <w:pStyle w:val="Compact"/>
      </w:pPr>
      <w:r>
        <w:rPr>
          <w:bCs/>
          <w:b/>
        </w:rPr>
        <w:t xml:space="preserve">Renewable Energy Usage (kxpwxlqtps):</w:t>
      </w:r>
      <w:r>
        <w:t xml:space="preserve"> </w:t>
      </w:r>
      <w:r>
        <w:t xml:space="preserve">50% (hypothetically assumed)</w:t>
      </w:r>
    </w:p>
    <w:p>
      <w:pPr>
        <w:numPr>
          <w:ilvl w:val="0"/>
          <w:numId w:val="1004"/>
        </w:numPr>
        <w:pStyle w:val="Compact"/>
      </w:pPr>
      <w:r>
        <w:rPr>
          <w:bCs/>
          <w:b/>
        </w:rPr>
        <w:t xml:space="preserve">Non-renewable electricity:</w:t>
      </w:r>
      <w:r>
        <w:t xml:space="preserve"> </w:t>
      </w:r>
      <w:r>
        <w:t xml:space="preserve">5 kWh/unit</w:t>
      </w:r>
    </w:p>
    <w:p>
      <w:pPr>
        <w:numPr>
          <w:ilvl w:val="0"/>
          <w:numId w:val="1004"/>
        </w:numPr>
        <w:pStyle w:val="Compact"/>
      </w:pPr>
      <w:r>
        <w:rPr>
          <w:bCs/>
          <w:b/>
        </w:rPr>
        <w:t xml:space="preserve">Renewable electricity:</w:t>
      </w:r>
      <w:r>
        <w:t xml:space="preserve"> </w:t>
      </w:r>
      <w:r>
        <w:t xml:space="preserve">5 kWh/unit</w:t>
      </w:r>
    </w:p>
    <w:p>
      <w:pPr>
        <w:numPr>
          <w:ilvl w:val="0"/>
          <w:numId w:val="1004"/>
        </w:numPr>
        <w:pStyle w:val="Compact"/>
      </w:pPr>
      <w:r>
        <w:rPr>
          <w:bCs/>
          <w:b/>
        </w:rPr>
        <w:t xml:space="preserve">Electricity Grid Emission Factor (China):</w:t>
      </w:r>
      <w:r>
        <w:t xml:space="preserve"> </w:t>
      </w:r>
      <w:r>
        <w:t xml:space="preserve">0.58 kgCO2e/kWh (average based on recent data)</w:t>
      </w:r>
    </w:p>
    <w:p>
      <w:pPr>
        <w:numPr>
          <w:ilvl w:val="0"/>
          <w:numId w:val="1004"/>
        </w:numPr>
        <w:pStyle w:val="Compact"/>
      </w:pPr>
      <w:r>
        <w:rPr>
          <w:bCs/>
          <w:b/>
        </w:rPr>
        <w:t xml:space="preserve">Renewable Energy Emission Factor:</w:t>
      </w:r>
      <w:r>
        <w:t xml:space="preserve"> </w:t>
      </w:r>
      <w:r>
        <w:t xml:space="preserve">0 kgCO2e/kWh (assumed for certified renewable energy)</w:t>
      </w:r>
    </w:p>
    <w:bookmarkEnd w:id="34"/>
    <w:bookmarkStart w:id="35" w:name="X3fe3f3f83c1c6a3711b1eec3b21ba0a2f5a2aed"/>
    <w:p>
      <w:pPr>
        <w:pStyle w:val="Heading3"/>
      </w:pPr>
      <w:r>
        <w:t xml:space="preserve">3.3 Transport Logistics - Upstream &amp; Downstream</w:t>
      </w:r>
    </w:p>
    <w:p>
      <w:pPr>
        <w:pStyle w:val="FirstParagraph"/>
      </w:pPr>
      <w:r>
        <w:t xml:space="preserve">Transportation emissions fall under Scope 3. The parameters \'Select Mode\' (Transport Mode), \'xtxusdozzs\' (Transport Distance), and \'Delivery Type\' (Last-Mile Delivery Channel) were provided as placeholders. For demonstration:</w:t>
      </w:r>
    </w:p>
    <w:p>
      <w:pPr>
        <w:numPr>
          <w:ilvl w:val="0"/>
          <w:numId w:val="1005"/>
        </w:numPr>
        <w:pStyle w:val="Compact"/>
      </w:pPr>
      <w:r>
        <w:rPr>
          <w:bCs/>
          <w:b/>
        </w:rPr>
        <w:t xml:space="preserve">Transport Mode (Select Mode):</w:t>
      </w:r>
      <w:r>
        <w:t xml:space="preserve"> </w:t>
      </w:r>
      <w:r>
        <w:t xml:space="preserve">Road freight (hypothetically assumed for inbound logistics due to "Europe Focused" supply chain)</w:t>
      </w:r>
    </w:p>
    <w:p>
      <w:pPr>
        <w:numPr>
          <w:ilvl w:val="0"/>
          <w:numId w:val="1005"/>
        </w:numPr>
        <w:pStyle w:val="Compact"/>
      </w:pPr>
      <w:r>
        <w:rPr>
          <w:bCs/>
          <w:b/>
        </w:rPr>
        <w:t xml:space="preserve">Transport Distance (xtxusdozzs):</w:t>
      </w:r>
      <w:r>
        <w:t xml:space="preserve"> </w:t>
      </w:r>
      <w:r>
        <w:t xml:space="preserve">1000 km (hypothetically assumed for inbound raw materials)</w:t>
      </w:r>
    </w:p>
    <w:p>
      <w:pPr>
        <w:numPr>
          <w:ilvl w:val="0"/>
          <w:numId w:val="1005"/>
        </w:numPr>
        <w:pStyle w:val="Compact"/>
      </w:pPr>
      <w:r>
        <w:rPr>
          <w:bCs/>
          <w:b/>
        </w:rPr>
        <w:t xml:space="preserve">Finished Product Weight (for transport calculation):</w:t>
      </w:r>
      <w:r>
        <w:t xml:space="preserve"> </w:t>
      </w:r>
      <w:r>
        <w:t xml:space="preserve">5 kg (hypothetically assumed)</w:t>
      </w:r>
    </w:p>
    <w:p>
      <w:pPr>
        <w:numPr>
          <w:ilvl w:val="0"/>
          <w:numId w:val="1005"/>
        </w:numPr>
        <w:pStyle w:val="Compact"/>
      </w:pPr>
      <w:r>
        <w:rPr>
          <w:bCs/>
          <w:b/>
        </w:rPr>
        <w:t xml:space="preserve">Road Freight Emission Factor:</w:t>
      </w:r>
      <w:r>
        <w:t xml:space="preserve"> </w:t>
      </w:r>
      <w:r>
        <w:t xml:space="preserve">0.1 kgCO2e/tkm (average for heavy goods vehicles)</w:t>
      </w:r>
    </w:p>
    <w:p>
      <w:pPr>
        <w:numPr>
          <w:ilvl w:val="0"/>
          <w:numId w:val="1005"/>
        </w:numPr>
        <w:pStyle w:val="Compact"/>
      </w:pPr>
      <w:r>
        <w:rPr>
          <w:bCs/>
          <w:b/>
        </w:rPr>
        <w:t xml:space="preserve">Last-Mile Delivery Channel (Delivery Type):</w:t>
      </w:r>
      <w:r>
        <w:t xml:space="preserve"> </w:t>
      </w:r>
      <w:r>
        <w:t xml:space="preserve">Parcel delivery (hypothetically assumed)</w:t>
      </w:r>
    </w:p>
    <w:p>
      <w:pPr>
        <w:numPr>
          <w:ilvl w:val="0"/>
          <w:numId w:val="1005"/>
        </w:numPr>
        <w:pStyle w:val="Compact"/>
      </w:pPr>
      <w:r>
        <w:rPr>
          <w:bCs/>
          <w:b/>
        </w:rPr>
        <w:t xml:space="preserve">Last-Mile Delivery Emission Factor:</w:t>
      </w:r>
      <w:r>
        <w:t xml:space="preserve"> </w:t>
      </w:r>
      <w:r>
        <w:t xml:space="preserve">0.2 kgCO2e/unit (simplified, assumed for demonstration)</w:t>
      </w:r>
    </w:p>
    <w:bookmarkEnd w:id="35"/>
    <w:bookmarkStart w:id="36" w:name="use-phase-durability-and-consumption"/>
    <w:p>
      <w:pPr>
        <w:pStyle w:val="Heading3"/>
      </w:pPr>
      <w:r>
        <w:t xml:space="preserve">3.4 Use Phase Durability and Consumption</w:t>
      </w:r>
    </w:p>
    <w:p>
      <w:pPr>
        <w:pStyle w:val="FirstParagraph"/>
      </w:pPr>
      <w:r>
        <w:t xml:space="preserve">Emissions from the use phase are typically Scope 3 (downstream). The parameters \'hdwqfmkddy\' (Product Lifespan) and \'nmeorddhmw\' (Energy Consumption in Use) are placeholders. For demonstration:</w:t>
      </w:r>
    </w:p>
    <w:p>
      <w:pPr>
        <w:numPr>
          <w:ilvl w:val="0"/>
          <w:numId w:val="1006"/>
        </w:numPr>
        <w:pStyle w:val="Compact"/>
      </w:pPr>
      <w:r>
        <w:rPr>
          <w:bCs/>
          <w:b/>
        </w:rPr>
        <w:t xml:space="preserve">Product Lifespan (hdwqfmkddy):</w:t>
      </w:r>
      <w:r>
        <w:t xml:space="preserve"> </w:t>
      </w:r>
      <w:r>
        <w:t xml:space="preserve">5 years (hypothetically assumed)</w:t>
      </w:r>
    </w:p>
    <w:p>
      <w:pPr>
        <w:numPr>
          <w:ilvl w:val="0"/>
          <w:numId w:val="1006"/>
        </w:numPr>
        <w:pStyle w:val="Compact"/>
      </w:pPr>
      <w:r>
        <w:rPr>
          <w:bCs/>
          <w:b/>
        </w:rPr>
        <w:t xml:space="preserve">Energy Consumption in Use (nmeorddhmw):</w:t>
      </w:r>
      <w:r>
        <w:t xml:space="preserve"> </w:t>
      </w:r>
      <w:r>
        <w:t xml:space="preserve">20 kWh/year (hypothetically assumed)</w:t>
      </w:r>
    </w:p>
    <w:p>
      <w:pPr>
        <w:numPr>
          <w:ilvl w:val="0"/>
          <w:numId w:val="1006"/>
        </w:numPr>
        <w:pStyle w:val="Compact"/>
      </w:pPr>
      <w:r>
        <w:rPr>
          <w:bCs/>
          <w:b/>
        </w:rPr>
        <w:t xml:space="preserve">Total Energy Consumption over Lifespan:</w:t>
      </w:r>
      <w:r>
        <w:t xml:space="preserve"> </w:t>
      </w:r>
      <w:r>
        <w:t xml:space="preserve">100 kWh</w:t>
      </w:r>
    </w:p>
    <w:p>
      <w:pPr>
        <w:numPr>
          <w:ilvl w:val="0"/>
          <w:numId w:val="1006"/>
        </w:numPr>
        <w:pStyle w:val="Compact"/>
      </w:pPr>
      <w:r>
        <w:rPr>
          <w:bCs/>
          <w:b/>
        </w:rPr>
        <w:t xml:space="preserve">Electricity Grid Emission Factor (Europe):</w:t>
      </w:r>
      <w:r>
        <w:t xml:space="preserve"> </w:t>
      </w:r>
      <w:r>
        <w:t xml:space="preserve">0.26 kgCO2e/kWh (average for European grid, assuming product is used in Europe)</w:t>
      </w:r>
    </w:p>
    <w:bookmarkEnd w:id="36"/>
    <w:bookmarkStart w:id="37" w:name="Xd7158335b76a593d29b612f4cbe50e9d605b81e"/>
    <w:p>
      <w:pPr>
        <w:pStyle w:val="Heading3"/>
      </w:pPr>
      <w:r>
        <w:t xml:space="preserve">3.5 End-of-Life (EoL) Scenarios - Recyclability and Circularity</w:t>
      </w:r>
    </w:p>
    <w:p>
      <w:pPr>
        <w:pStyle w:val="FirstParagraph"/>
      </w:pPr>
      <w:r>
        <w:t xml:space="preserve">End-of-life emissions and credits contribute to Scope 3 (downstream). The parameters \'hlsdgmnyho\' (Recyclability Percentage) and \'txxempkkng\' (Circular/Take-back Programs) are placeholders. For demonstration:</w:t>
      </w:r>
    </w:p>
    <w:p>
      <w:pPr>
        <w:numPr>
          <w:ilvl w:val="0"/>
          <w:numId w:val="1007"/>
        </w:numPr>
        <w:pStyle w:val="Compact"/>
      </w:pPr>
      <w:r>
        <w:rPr>
          <w:bCs/>
          <w:b/>
        </w:rPr>
        <w:t xml:space="preserve">Recyclability Percentage (hlsdgmnyho):</w:t>
      </w:r>
      <w:r>
        <w:t xml:space="preserve"> </w:t>
      </w:r>
      <w:r>
        <w:t xml:space="preserve">80% (hypothetically assumed)</w:t>
      </w:r>
    </w:p>
    <w:p>
      <w:pPr>
        <w:numPr>
          <w:ilvl w:val="0"/>
          <w:numId w:val="1007"/>
        </w:numPr>
        <w:pStyle w:val="Compact"/>
      </w:pPr>
      <w:r>
        <w:rPr>
          <w:bCs/>
          <w:b/>
        </w:rPr>
        <w:t xml:space="preserve">Circular/Take-back Programs (txxempkkng):</w:t>
      </w:r>
      <w:r>
        <w:t xml:space="preserve"> </w:t>
      </w:r>
      <w:r>
        <w:t xml:space="preserve">Yes, effective (hypothetically assumed)</w:t>
      </w:r>
    </w:p>
    <w:p>
      <w:pPr>
        <w:pStyle w:val="FirstParagraph"/>
      </w:pPr>
      <w:r>
        <w:t xml:space="preserve">As per GHG Protocol guidance, claims of avoided emissions from recycling are generally reported separately from the main Scope 3 inventory. However, they reflect the positive impact of circular economy initiatives. For this report, an avoided emissions credit is calculated to represent this circularity, based on the recyclability percentage applied to the initial material emissions.</w:t>
      </w:r>
    </w:p>
    <w:p>
      <w:r>
        <w:pict>
          <v:rect style="width:0;height:1.5pt" o:hralign="center" o:hrstd="t" o:hr="t"/>
        </w:pict>
      </w:r>
    </w:p>
    <w:bookmarkEnd w:id="37"/>
    <w:bookmarkEnd w:id="38"/>
    <w:bookmarkStart w:id="45" w:name="emission-calculation-and-categorization"/>
    <w:p>
      <w:pPr>
        <w:pStyle w:val="Heading2"/>
      </w:pPr>
      <w:r>
        <w:t xml:space="preserve">4. Emission Calculation and Categorization</w:t>
      </w:r>
    </w:p>
    <w:p>
      <w:pPr>
        <w:pStyle w:val="FirstParagraph"/>
      </w:pPr>
      <w:r>
        <w:t xml:space="preserve">The following calculations use the hypothetical data and assumed emission factors to demonstrate the Product Carbon Footprint of xyltroxfdk, broken down by GHG Protocol scopes.</w:t>
      </w:r>
    </w:p>
    <w:bookmarkStart w:id="39" w:name="scope-1-emissions-direct-emissions"/>
    <w:p>
      <w:pPr>
        <w:pStyle w:val="Heading3"/>
      </w:pPr>
      <w:r>
        <w:t xml:space="preserve">4.1 Scope 1 Emissions (Direct Emissions)</w:t>
      </w:r>
    </w:p>
    <w:p>
      <w:pPr>
        <w:pStyle w:val="FirstParagraph"/>
      </w:pPr>
      <w:r>
        <w:t xml:space="preserve">Based on the provided parameters, no direct fuel combustion from owned or controlled sources (e.g., company-owned fleet or on-site combustion) has been explicitly quantified.</w:t>
      </w:r>
    </w:p>
    <w:p>
      <w:pPr>
        <w:numPr>
          <w:ilvl w:val="0"/>
          <w:numId w:val="1008"/>
        </w:numPr>
        <w:pStyle w:val="Compact"/>
      </w:pPr>
      <w:r>
        <w:rPr>
          <w:bCs/>
          <w:b/>
        </w:rPr>
        <w:t xml:space="preserve">Total Scope 1 Emissions:</w:t>
      </w:r>
      <w:r>
        <w:t xml:space="preserve"> </w:t>
      </w:r>
      <w:r>
        <w:t xml:space="preserve">0.0 kgCO2e</w:t>
      </w:r>
    </w:p>
    <w:bookmarkEnd w:id="39"/>
    <w:bookmarkStart w:id="40" w:name="Xea3a0be011cd6660e8b4fde47b2db6c687f0551"/>
    <w:p>
      <w:pPr>
        <w:pStyle w:val="Heading3"/>
      </w:pPr>
      <w:r>
        <w:t xml:space="preserve">4.2 Scope 2 Emissions (Purchased Energy Emissions)</w:t>
      </w:r>
    </w:p>
    <w:p>
      <w:pPr>
        <w:pStyle w:val="FirstParagraph"/>
      </w:pPr>
      <w:r>
        <w:t xml:space="preserve">These are indirect emissions from purchased electricity for product manufacturing in China.</w:t>
      </w:r>
    </w:p>
    <w:p>
      <w:pPr>
        <w:numPr>
          <w:ilvl w:val="0"/>
          <w:numId w:val="1009"/>
        </w:numPr>
        <w:pStyle w:val="Compact"/>
      </w:pPr>
      <w:r>
        <w:rPr>
          <w:bCs/>
          <w:b/>
        </w:rPr>
        <w:t xml:space="preserve">Energy Intensity:</w:t>
      </w:r>
      <w:r>
        <w:t xml:space="preserve"> </w:t>
      </w:r>
      <w:r>
        <w:t xml:space="preserve">10 kWh/unit (myzszhxpfm)</w:t>
      </w:r>
    </w:p>
    <w:p>
      <w:pPr>
        <w:numPr>
          <w:ilvl w:val="0"/>
          <w:numId w:val="1009"/>
        </w:numPr>
        <w:pStyle w:val="Compact"/>
      </w:pPr>
      <w:r>
        <w:rPr>
          <w:bCs/>
          <w:b/>
        </w:rPr>
        <w:t xml:space="preserve">Renewable Energy Usage:</w:t>
      </w:r>
      <w:r>
        <w:t xml:space="preserve"> </w:t>
      </w:r>
      <w:r>
        <w:t xml:space="preserve">50% (kxpwxlqtps)</w:t>
      </w:r>
    </w:p>
    <w:p>
      <w:pPr>
        <w:numPr>
          <w:ilvl w:val="0"/>
          <w:numId w:val="1009"/>
        </w:numPr>
        <w:pStyle w:val="Compact"/>
      </w:pPr>
      <w:r>
        <w:rPr>
          <w:bCs/>
          <w:b/>
        </w:rPr>
        <w:t xml:space="preserve">Non-renewable electricity:</w:t>
      </w:r>
      <w:r>
        <w:t xml:space="preserve"> </w:t>
      </w:r>
      <w:r>
        <w:t xml:space="preserve">10 kWh * (1 - 0.50) = 5 kWh</w:t>
      </w:r>
    </w:p>
    <w:p>
      <w:pPr>
        <w:numPr>
          <w:ilvl w:val="0"/>
          <w:numId w:val="1009"/>
        </w:numPr>
        <w:pStyle w:val="Compact"/>
      </w:pPr>
      <w:r>
        <w:rPr>
          <w:bCs/>
          <w:b/>
        </w:rPr>
        <w:t xml:space="preserve">Renewable electricity:</w:t>
      </w:r>
      <w:r>
        <w:t xml:space="preserve"> </w:t>
      </w:r>
      <w:r>
        <w:t xml:space="preserve">10 kWh * 0.50 = 5 kWh</w:t>
      </w:r>
    </w:p>
    <w:p>
      <w:pPr>
        <w:numPr>
          <w:ilvl w:val="0"/>
          <w:numId w:val="1009"/>
        </w:numPr>
        <w:pStyle w:val="Compact"/>
      </w:pPr>
      <w:r>
        <w:rPr>
          <w:bCs/>
          <w:b/>
        </w:rPr>
        <w:t xml:space="preserve">China Grid EF:</w:t>
      </w:r>
      <w:r>
        <w:t xml:space="preserve"> </w:t>
      </w:r>
      <w:r>
        <w:t xml:space="preserve">0.58 kgCO2e/kWh</w:t>
      </w:r>
    </w:p>
    <w:p>
      <w:pPr>
        <w:numPr>
          <w:ilvl w:val="0"/>
          <w:numId w:val="1009"/>
        </w:numPr>
        <w:pStyle w:val="Compact"/>
      </w:pPr>
      <w:r>
        <w:rPr>
          <w:bCs/>
          <w:b/>
        </w:rPr>
        <w:t xml:space="preserve">Renewable Energy EF:</w:t>
      </w:r>
      <w:r>
        <w:t xml:space="preserve"> </w:t>
      </w:r>
      <w:r>
        <w:t xml:space="preserve">0 kgCO2e/kWh</w:t>
      </w:r>
    </w:p>
    <w:p>
      <w:pPr>
        <w:numPr>
          <w:ilvl w:val="0"/>
          <w:numId w:val="1009"/>
        </w:numPr>
        <w:pStyle w:val="Compact"/>
      </w:pPr>
      <w:r>
        <w:rPr>
          <w:bCs/>
          <w:b/>
        </w:rPr>
        <w:t xml:space="preserve">Calculation:</w:t>
      </w:r>
      <w:r>
        <w:t xml:space="preserve"> </w:t>
      </w:r>
      <w:r>
        <w:t xml:space="preserve">(5 kWh * 0.58 kgCO2e/kWh) + (5 kWh * 0 kgCO2e/kWh) = 2.9 kgCO2e</w:t>
      </w:r>
    </w:p>
    <w:p>
      <w:pPr>
        <w:numPr>
          <w:ilvl w:val="0"/>
          <w:numId w:val="1009"/>
        </w:numPr>
        <w:pStyle w:val="Compact"/>
      </w:pPr>
      <w:r>
        <w:rPr>
          <w:bCs/>
          <w:b/>
        </w:rPr>
        <w:t xml:space="preserve">Total Scope 2 Emissions:</w:t>
      </w:r>
      <w:r>
        <w:t xml:space="preserve"> </w:t>
      </w:r>
      <w:r>
        <w:t xml:space="preserve">2.9 kgCO2e</w:t>
      </w:r>
    </w:p>
    <w:bookmarkEnd w:id="40"/>
    <w:bookmarkStart w:id="43" w:name="scope-3-emissions-value-chain-emissions"/>
    <w:p>
      <w:pPr>
        <w:pStyle w:val="Heading3"/>
      </w:pPr>
      <w:r>
        <w:t xml:space="preserve">4.3 Scope 3 Emissions (Value Chain Emissions)</w:t>
      </w:r>
    </w:p>
    <w:p>
      <w:pPr>
        <w:pStyle w:val="FirstParagraph"/>
      </w:pPr>
      <w:r>
        <w:t xml:space="preserve">Scope 3 emissions comprise both upstream and downstream activities in the value chain.</w:t>
      </w:r>
    </w:p>
    <w:bookmarkStart w:id="41" w:name="upstream-emissions"/>
    <w:p>
      <w:pPr>
        <w:pStyle w:val="Heading4"/>
      </w:pPr>
      <w:r>
        <w:t xml:space="preserve">4.3.1 Upstream Emissions</w:t>
      </w:r>
    </w:p>
    <w:p>
      <w:pPr>
        <w:numPr>
          <w:ilvl w:val="0"/>
          <w:numId w:val="1010"/>
        </w:numPr>
        <w:pStyle w:val="Compact"/>
      </w:pPr>
      <w:r>
        <w:rPr>
          <w:bCs/>
          <w:b/>
        </w:rPr>
        <w:t xml:space="preserve">Purchased Goods and Services (Materials):</w:t>
      </w:r>
      <w:r>
        <w:t xml:space="preserve"> </w:t>
      </w:r>
      <w:r>
        <w:t xml:space="preserve">Based on the hypothetical BOM, the sum of \'Total Carbon\' for all materials.</w:t>
      </w:r>
    </w:p>
    <w:p>
      <w:pPr>
        <w:numPr>
          <w:ilvl w:val="1"/>
          <w:numId w:val="1011"/>
        </w:numPr>
        <w:pStyle w:val="Compact"/>
      </w:pPr>
      <w:r>
        <w:rPr>
          <w:bCs/>
          <w:b/>
        </w:rPr>
        <w:t xml:space="preserve">Total Material Emissions:</w:t>
      </w:r>
      <w:r>
        <w:t xml:space="preserve"> </w:t>
      </w:r>
      <w:r>
        <w:t xml:space="preserve">13.6 kgCO2e</w:t>
      </w:r>
    </w:p>
    <w:p>
      <w:pPr>
        <w:numPr>
          <w:ilvl w:val="0"/>
          <w:numId w:val="1010"/>
        </w:numPr>
        <w:pStyle w:val="Compact"/>
      </w:pPr>
      <w:r>
        <w:rPr>
          <w:bCs/>
          <w:b/>
        </w:rPr>
        <w:t xml:space="preserve">Upstream Transportation and Distribution:</w:t>
      </w:r>
      <w:r>
        <w:t xml:space="preserve"> </w:t>
      </w:r>
      <w:r>
        <w:t xml:space="preserve">Inbound logistics for raw materials.</w:t>
      </w:r>
    </w:p>
    <w:p>
      <w:pPr>
        <w:numPr>
          <w:ilvl w:val="1"/>
          <w:numId w:val="1012"/>
        </w:numPr>
        <w:pStyle w:val="Compact"/>
      </w:pPr>
      <w:r>
        <w:rPr>
          <w:bCs/>
          <w:b/>
        </w:rPr>
        <w:t xml:space="preserve">Assumed Product Weight:</w:t>
      </w:r>
      <w:r>
        <w:t xml:space="preserve"> </w:t>
      </w:r>
      <w:r>
        <w:t xml:space="preserve">5 kg (0.005 tonnes)</w:t>
      </w:r>
    </w:p>
    <w:p>
      <w:pPr>
        <w:numPr>
          <w:ilvl w:val="1"/>
          <w:numId w:val="1012"/>
        </w:numPr>
        <w:pStyle w:val="Compact"/>
      </w:pPr>
      <w:r>
        <w:rPr>
          <w:bCs/>
          <w:b/>
        </w:rPr>
        <w:t xml:space="preserve">Transport Distance (xtxusdozzs):</w:t>
      </w:r>
      <w:r>
        <w:t xml:space="preserve"> </w:t>
      </w:r>
      <w:r>
        <w:t xml:space="preserve">1000 km</w:t>
      </w:r>
    </w:p>
    <w:p>
      <w:pPr>
        <w:numPr>
          <w:ilvl w:val="1"/>
          <w:numId w:val="1012"/>
        </w:numPr>
        <w:pStyle w:val="Compact"/>
      </w:pPr>
      <w:r>
        <w:rPr>
          <w:bCs/>
          <w:b/>
        </w:rPr>
        <w:t xml:space="preserve">Road Freight EF:</w:t>
      </w:r>
      <w:r>
        <w:t xml:space="preserve"> </w:t>
      </w:r>
      <w:r>
        <w:t xml:space="preserve">0.1 kgCO2e/tkm</w:t>
      </w:r>
    </w:p>
    <w:p>
      <w:pPr>
        <w:numPr>
          <w:ilvl w:val="1"/>
          <w:numId w:val="1012"/>
        </w:numPr>
        <w:pStyle w:val="Compact"/>
      </w:pPr>
      <w:r>
        <w:rPr>
          <w:bCs/>
          <w:b/>
        </w:rPr>
        <w:t xml:space="preserve">Calculation:</w:t>
      </w:r>
      <w:r>
        <w:t xml:space="preserve"> </w:t>
      </w:r>
      <w:r>
        <w:t xml:space="preserve">0.005 tonnes * 1000 km * 0.1 kgCO2e/tkm = 0.5 kgCO2e</w:t>
      </w:r>
    </w:p>
    <w:p>
      <w:pPr>
        <w:numPr>
          <w:ilvl w:val="1"/>
          <w:numId w:val="1012"/>
        </w:numPr>
        <w:pStyle w:val="Compact"/>
      </w:pPr>
      <w:r>
        <w:rPr>
          <w:bCs/>
          <w:b/>
        </w:rPr>
        <w:t xml:space="preserve">Total Upstream Transport Emissions:</w:t>
      </w:r>
      <w:r>
        <w:t xml:space="preserve"> </w:t>
      </w:r>
      <w:r>
        <w:t xml:space="preserve">0.5 kgCO2e</w:t>
      </w:r>
    </w:p>
    <w:bookmarkEnd w:id="41"/>
    <w:bookmarkStart w:id="42" w:name="downstream-emissions"/>
    <w:p>
      <w:pPr>
        <w:pStyle w:val="Heading4"/>
      </w:pPr>
      <w:r>
        <w:t xml:space="preserve">4.3.2 Downstream Emissions</w:t>
      </w:r>
    </w:p>
    <w:p>
      <w:pPr>
        <w:numPr>
          <w:ilvl w:val="0"/>
          <w:numId w:val="1013"/>
        </w:numPr>
        <w:pStyle w:val="Compact"/>
      </w:pPr>
      <w:r>
        <w:rPr>
          <w:bCs/>
          <w:b/>
        </w:rPr>
        <w:t xml:space="preserve">Downstream Transportation and Distribution (Last-Mile Delivery):</w:t>
      </w:r>
    </w:p>
    <w:p>
      <w:pPr>
        <w:numPr>
          <w:ilvl w:val="1"/>
          <w:numId w:val="1014"/>
        </w:numPr>
        <w:pStyle w:val="Compact"/>
      </w:pPr>
      <w:r>
        <w:rPr>
          <w:bCs/>
          <w:b/>
        </w:rPr>
        <w:t xml:space="preserve">Last-Mile Delivery EF:</w:t>
      </w:r>
      <w:r>
        <w:t xml:space="preserve"> </w:t>
      </w:r>
      <w:r>
        <w:t xml:space="preserve">0.2 kgCO2e/unit (assumed)</w:t>
      </w:r>
    </w:p>
    <w:p>
      <w:pPr>
        <w:numPr>
          <w:ilvl w:val="1"/>
          <w:numId w:val="1014"/>
        </w:numPr>
        <w:pStyle w:val="Compact"/>
      </w:pPr>
      <w:r>
        <w:rPr>
          <w:bCs/>
          <w:b/>
        </w:rPr>
        <w:t xml:space="preserve">Calculation:</w:t>
      </w:r>
      <w:r>
        <w:t xml:space="preserve"> </w:t>
      </w:r>
      <w:r>
        <w:t xml:space="preserve">1.0 unit * 0.2 kgCO2e/unit = 0.2 kgCO2e</w:t>
      </w:r>
    </w:p>
    <w:p>
      <w:pPr>
        <w:numPr>
          <w:ilvl w:val="1"/>
          <w:numId w:val="1014"/>
        </w:numPr>
        <w:pStyle w:val="Compact"/>
      </w:pPr>
      <w:r>
        <w:rPr>
          <w:bCs/>
          <w:b/>
        </w:rPr>
        <w:t xml:space="preserve">Total Downstream Transport Emissions:</w:t>
      </w:r>
      <w:r>
        <w:t xml:space="preserve"> </w:t>
      </w:r>
      <w:r>
        <w:t xml:space="preserve">0.2 kgCO2e</w:t>
      </w:r>
    </w:p>
    <w:p>
      <w:pPr>
        <w:numPr>
          <w:ilvl w:val="0"/>
          <w:numId w:val="1013"/>
        </w:numPr>
        <w:pStyle w:val="Compact"/>
      </w:pPr>
      <w:r>
        <w:rPr>
          <w:bCs/>
          <w:b/>
        </w:rPr>
        <w:t xml:space="preserve">Use of Sold Products (Energy Consumption in Use):</w:t>
      </w:r>
    </w:p>
    <w:p>
      <w:pPr>
        <w:numPr>
          <w:ilvl w:val="1"/>
          <w:numId w:val="1015"/>
        </w:numPr>
        <w:pStyle w:val="Compact"/>
      </w:pPr>
      <w:r>
        <w:rPr>
          <w:bCs/>
          <w:b/>
        </w:rPr>
        <w:t xml:space="preserve">Product Lifespan (hdwqfmkddy):</w:t>
      </w:r>
      <w:r>
        <w:t xml:space="preserve"> </w:t>
      </w:r>
      <w:r>
        <w:t xml:space="preserve">5 years</w:t>
      </w:r>
    </w:p>
    <w:p>
      <w:pPr>
        <w:numPr>
          <w:ilvl w:val="1"/>
          <w:numId w:val="1015"/>
        </w:numPr>
        <w:pStyle w:val="Compact"/>
      </w:pPr>
      <w:r>
        <w:rPr>
          <w:bCs/>
          <w:b/>
        </w:rPr>
        <w:t xml:space="preserve">Energy Consumption in Use (nmeorddhmw):</w:t>
      </w:r>
      <w:r>
        <w:t xml:space="preserve"> </w:t>
      </w:r>
      <w:r>
        <w:t xml:space="preserve">20 kWh/year</w:t>
      </w:r>
    </w:p>
    <w:p>
      <w:pPr>
        <w:numPr>
          <w:ilvl w:val="1"/>
          <w:numId w:val="1015"/>
        </w:numPr>
        <w:pStyle w:val="Compact"/>
      </w:pPr>
      <w:r>
        <w:rPr>
          <w:bCs/>
          <w:b/>
        </w:rPr>
        <w:t xml:space="preserve">Total Energy Consumption:</w:t>
      </w:r>
      <w:r>
        <w:t xml:space="preserve"> </w:t>
      </w:r>
      <w:r>
        <w:t xml:space="preserve">5 years * 20 kWh/year = 100 kWh</w:t>
      </w:r>
    </w:p>
    <w:p>
      <w:pPr>
        <w:numPr>
          <w:ilvl w:val="1"/>
          <w:numId w:val="1015"/>
        </w:numPr>
        <w:pStyle w:val="Compact"/>
      </w:pPr>
      <w:r>
        <w:rPr>
          <w:bCs/>
          <w:b/>
        </w:rPr>
        <w:t xml:space="preserve">Europe Grid EF:</w:t>
      </w:r>
      <w:r>
        <w:t xml:space="preserve"> </w:t>
      </w:r>
      <w:r>
        <w:t xml:space="preserve">0.26 kgCO2e/kWh</w:t>
      </w:r>
    </w:p>
    <w:p>
      <w:pPr>
        <w:numPr>
          <w:ilvl w:val="1"/>
          <w:numId w:val="1015"/>
        </w:numPr>
        <w:pStyle w:val="Compact"/>
      </w:pPr>
      <w:r>
        <w:rPr>
          <w:bCs/>
          <w:b/>
        </w:rPr>
        <w:t xml:space="preserve">Calculation:</w:t>
      </w:r>
      <w:r>
        <w:t xml:space="preserve"> </w:t>
      </w:r>
      <w:r>
        <w:t xml:space="preserve">100 kWh * 0.26 kgCO2e/kWh = 26.0 kgCO2e</w:t>
      </w:r>
    </w:p>
    <w:p>
      <w:pPr>
        <w:numPr>
          <w:ilvl w:val="1"/>
          <w:numId w:val="1015"/>
        </w:numPr>
        <w:pStyle w:val="Compact"/>
      </w:pPr>
      <w:r>
        <w:rPr>
          <w:bCs/>
          <w:b/>
        </w:rPr>
        <w:t xml:space="preserve">Total Use Phase Emissions:</w:t>
      </w:r>
      <w:r>
        <w:t xml:space="preserve"> </w:t>
      </w:r>
      <w:r>
        <w:t xml:space="preserve">26.0 kgCO2e</w:t>
      </w:r>
    </w:p>
    <w:p>
      <w:pPr>
        <w:numPr>
          <w:ilvl w:val="0"/>
          <w:numId w:val="1013"/>
        </w:numPr>
        <w:pStyle w:val="Compact"/>
      </w:pPr>
      <w:r>
        <w:rPr>
          <w:bCs/>
          <w:b/>
        </w:rPr>
        <w:t xml:space="preserve">End-of-Life Treatment of Sold Products:</w:t>
      </w:r>
      <w:r>
        <w:t xml:space="preserve"> </w:t>
      </w:r>
      <w:r>
        <w:t xml:space="preserve">Accounting for circularity.</w:t>
      </w:r>
    </w:p>
    <w:p>
      <w:pPr>
        <w:numPr>
          <w:ilvl w:val="1"/>
          <w:numId w:val="1016"/>
        </w:numPr>
        <w:pStyle w:val="Compact"/>
      </w:pPr>
      <w:r>
        <w:rPr>
          <w:bCs/>
          <w:b/>
        </w:rPr>
        <w:t xml:space="preserve">Recyclability Percentage (hlsdgmnyho):</w:t>
      </w:r>
      <w:r>
        <w:t xml:space="preserve"> </w:t>
      </w:r>
      <w:r>
        <w:t xml:space="preserve">80%</w:t>
      </w:r>
    </w:p>
    <w:p>
      <w:pPr>
        <w:numPr>
          <w:ilvl w:val="1"/>
          <w:numId w:val="1016"/>
        </w:numPr>
        <w:pStyle w:val="Compact"/>
      </w:pPr>
      <w:r>
        <w:rPr>
          <w:bCs/>
          <w:b/>
        </w:rPr>
        <w:t xml:space="preserve">Circular/Take-back Programs (txxempkkng):</w:t>
      </w:r>
      <w:r>
        <w:t xml:space="preserve"> </w:t>
      </w:r>
      <w:r>
        <w:t xml:space="preserve">Yes, effective</w:t>
      </w:r>
    </w:p>
    <w:p>
      <w:pPr>
        <w:numPr>
          <w:ilvl w:val="1"/>
          <w:numId w:val="1016"/>
        </w:numPr>
        <w:pStyle w:val="Compact"/>
      </w:pPr>
      <w:r>
        <w:t xml:space="preserve">For the purpose of calculating the direct PCF, emissions from the treatment of the non-recycled portion are assumed to be negligible for this high-level demonstration. However, the positive impact of recycling is recognized as an "avoided emissions credit," reported separately.</w:t>
      </w:r>
    </w:p>
    <w:p>
      <w:pPr>
        <w:numPr>
          <w:ilvl w:val="1"/>
          <w:numId w:val="1016"/>
        </w:numPr>
        <w:pStyle w:val="Compact"/>
      </w:pPr>
      <w:r>
        <w:rPr>
          <w:bCs/>
          <w:b/>
        </w:rPr>
        <w:t xml:space="preserve">Avoided Emissions Credit from Recycling (reported separately):</w:t>
      </w:r>
      <w:r>
        <w:t xml:space="preserve"> </w:t>
      </w:r>
      <w:r>
        <w:t xml:space="preserve">-13.6 kgCO2e (Total Material Emissions) * 0.80 (Recyclability) = -10.88 kgCO2e</w:t>
      </w:r>
    </w:p>
    <w:p>
      <w:pPr>
        <w:numPr>
          <w:ilvl w:val="1"/>
          <w:numId w:val="1016"/>
        </w:numPr>
        <w:pStyle w:val="Compact"/>
      </w:pPr>
      <w:r>
        <w:rPr>
          <w:bCs/>
          <w:b/>
        </w:rPr>
        <w:t xml:space="preserve">Total End-of-Life Emissions (included in PCF sum for non-recycled portion):</w:t>
      </w:r>
      <w:r>
        <w:t xml:space="preserve"> </w:t>
      </w:r>
      <w:r>
        <w:t xml:space="preserve">0.0 kgCO2e (assuming net zero for this simplified calculation for the direct sum, recognizing complexity of EoL)</w:t>
      </w:r>
    </w:p>
    <w:bookmarkEnd w:id="42"/>
    <w:bookmarkEnd w:id="43"/>
    <w:bookmarkStart w:id="44" w:name="total-product-carbon-footprint-pcf"/>
    <w:p>
      <w:pPr>
        <w:pStyle w:val="Heading3"/>
      </w:pPr>
      <w:r>
        <w:t xml:space="preserve">4.4 Total Product Carbon Footprint (PCF)</w:t>
      </w:r>
    </w:p>
    <w:p>
      <w:pPr>
        <w:pStyle w:val="FirstParagraph"/>
      </w:pPr>
      <w:r>
        <w:t xml:space="preserve">The total PCF is the sum of emissions across all scopes. The avoided emissions from circularity are reported separately as per GHG Protocol guidance.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Energy (Production in China)</w:t>
            </w:r>
          </w:p>
        </w:tc>
        <w:tc>
          <w:tcPr/>
          <w:p>
            <w:pPr>
              <w:pStyle w:val="Compact"/>
              <w:jc w:val="left"/>
            </w:pPr>
            <w:r>
              <w:t xml:space="preserve">2.9</w:t>
            </w:r>
          </w:p>
        </w:tc>
      </w:tr>
      <w:tr>
        <w:tc>
          <w:tcPr/>
          <w:p>
            <w:pPr>
              <w:pStyle w:val="Compact"/>
              <w:jc w:val="left"/>
            </w:pPr>
            <w:r>
              <w:t xml:space="preserve">Scope 3 (Upstream)</w:t>
            </w:r>
          </w:p>
        </w:tc>
        <w:tc>
          <w:tcPr/>
          <w:p>
            <w:pPr>
              <w:pStyle w:val="Compact"/>
              <w:jc w:val="left"/>
            </w:pPr>
            <w:r>
              <w:t xml:space="preserve">Purchased Goods &amp; Services (Materials)</w:t>
            </w:r>
          </w:p>
        </w:tc>
        <w:tc>
          <w:tcPr/>
          <w:p>
            <w:pPr>
              <w:pStyle w:val="Compact"/>
              <w:jc w:val="left"/>
            </w:pPr>
            <w:r>
              <w:t xml:space="preserve">13.6</w:t>
            </w:r>
          </w:p>
        </w:tc>
      </w:tr>
      <w:tr>
        <w:tc>
          <w:tcPr/>
          <w:p>
            <w:pPr>
              <w:pStyle w:val="Compact"/>
              <w:jc w:val="left"/>
            </w:pPr>
            <w:r>
              <w:t xml:space="preserve">Scope 3 (Upstream)</w:t>
            </w:r>
          </w:p>
        </w:tc>
        <w:tc>
          <w:tcPr/>
          <w:p>
            <w:pPr>
              <w:pStyle w:val="Compact"/>
              <w:jc w:val="left"/>
            </w:pPr>
            <w:r>
              <w:t xml:space="preserve">Upstream Transportation (Raw Materials)</w:t>
            </w:r>
          </w:p>
        </w:tc>
        <w:tc>
          <w:tcPr/>
          <w:p>
            <w:pPr>
              <w:pStyle w:val="Compact"/>
              <w:jc w:val="left"/>
            </w:pPr>
            <w:r>
              <w:t xml:space="preserve">0.5</w:t>
            </w:r>
          </w:p>
        </w:tc>
      </w:tr>
      <w:tr>
        <w:tc>
          <w:tcPr/>
          <w:p>
            <w:pPr>
              <w:pStyle w:val="Compact"/>
              <w:jc w:val="left"/>
            </w:pPr>
            <w:r>
              <w:t xml:space="preserve">Scope 3 (Downstream)</w:t>
            </w:r>
          </w:p>
        </w:tc>
        <w:tc>
          <w:tcPr/>
          <w:p>
            <w:pPr>
              <w:pStyle w:val="Compact"/>
              <w:jc w:val="left"/>
            </w:pPr>
            <w:r>
              <w:t xml:space="preserve">Downstream Transportation (Last-Mile Delivery)</w:t>
            </w:r>
          </w:p>
        </w:tc>
        <w:tc>
          <w:tcPr/>
          <w:p>
            <w:pPr>
              <w:pStyle w:val="Compact"/>
              <w:jc w:val="left"/>
            </w:pPr>
            <w:r>
              <w:t xml:space="preserve">0.2</w:t>
            </w:r>
          </w:p>
        </w:tc>
      </w:tr>
      <w:tr>
        <w:tc>
          <w:tcPr/>
          <w:p>
            <w:pPr>
              <w:pStyle w:val="Compact"/>
              <w:jc w:val="left"/>
            </w:pPr>
            <w:r>
              <w:t xml:space="preserve">Scope 3 (Downstream)</w:t>
            </w:r>
          </w:p>
        </w:tc>
        <w:tc>
          <w:tcPr/>
          <w:p>
            <w:pPr>
              <w:pStyle w:val="Compact"/>
              <w:jc w:val="left"/>
            </w:pPr>
            <w:r>
              <w:t xml:space="preserve">Use of Sold Products (Energy Consumption)</w:t>
            </w:r>
          </w:p>
        </w:tc>
        <w:tc>
          <w:tcPr/>
          <w:p>
            <w:pPr>
              <w:pStyle w:val="Compact"/>
              <w:jc w:val="left"/>
            </w:pPr>
            <w:r>
              <w:t xml:space="preserve">26.0</w:t>
            </w:r>
          </w:p>
        </w:tc>
      </w:tr>
      <w:tr>
        <w:tc>
          <w:tcPr/>
          <w:p>
            <w:pPr>
              <w:pStyle w:val="Compact"/>
              <w:jc w:val="left"/>
            </w:pPr>
            <w:r>
              <w:t xml:space="preserve">Scope 3 (Downstream)</w:t>
            </w:r>
          </w:p>
        </w:tc>
        <w:tc>
          <w:tcPr/>
          <w:p>
            <w:pPr>
              <w:pStyle w:val="Compact"/>
              <w:jc w:val="left"/>
            </w:pPr>
            <w:r>
              <w:t xml:space="preserve">End-of-Life Treatment of Sold Products (Direct Emissions)</w:t>
            </w:r>
          </w:p>
        </w:tc>
        <w:tc>
          <w:tcPr/>
          <w:p>
            <w:pPr>
              <w:pStyle w:val="Compact"/>
              <w:jc w:val="left"/>
            </w:pPr>
            <w:r>
              <w:t xml:space="preserve">0.0</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43.2</w:t>
            </w:r>
          </w:p>
        </w:tc>
      </w:tr>
      <w:tr>
        <w:tc>
          <w:tcPr>
            <w:gridSpan w:val="2"/>
          </w:tcPr>
          <w:p>
            <w:pPr>
              <w:pStyle w:val="Compact"/>
              <w:jc w:val="left"/>
            </w:pPr>
            <w:r>
              <w:rPr>
                <w:bCs/>
                <w:b/>
              </w:rPr>
              <w:t xml:space="preserve">Avoided Emissions Credit (from 80% Recyclability)</w:t>
            </w:r>
          </w:p>
        </w:tc>
        <w:tc>
          <w:tcPr/>
          <w:p>
            <w:pPr>
              <w:pStyle w:val="Compact"/>
              <w:jc w:val="left"/>
            </w:pPr>
            <w:r>
              <w:rPr>
                <w:bCs/>
                <w:b/>
              </w:rPr>
              <w:t xml:space="preserve">-10.88 (Reported Separately)</w:t>
            </w:r>
          </w:p>
        </w:tc>
      </w:tr>
    </w:tbl>
    <w:p>
      <w:r>
        <w:pict>
          <v:rect style="width:0;height:1.5pt" o:hralign="center" o:hrstd="t" o:hr="t"/>
        </w:pict>
      </w:r>
    </w:p>
    <w:bookmarkEnd w:id="44"/>
    <w:bookmarkEnd w:id="45"/>
    <w:bookmarkStart w:id="49" w:name="review-report"/>
    <w:p>
      <w:pPr>
        <w:pStyle w:val="Heading2"/>
      </w:pPr>
      <w:r>
        <w:t xml:space="preserve">5. Review &amp; Report</w:t>
      </w:r>
    </w:p>
    <w:bookmarkStart w:id="46" w:name="emissions-hotspots"/>
    <w:p>
      <w:pPr>
        <w:pStyle w:val="Heading3"/>
      </w:pPr>
      <w:r>
        <w:t xml:space="preserve">5.1 Emissions Hotspots</w:t>
      </w:r>
    </w:p>
    <w:p>
      <w:pPr>
        <w:pStyle w:val="FirstParagraph"/>
      </w:pPr>
      <w:r>
        <w:t xml:space="preserve">Based on this illustrative PCF analysis for xyltroxfdk, the primary emissions hotspots are identified as:</w:t>
      </w:r>
    </w:p>
    <w:p>
      <w:pPr>
        <w:numPr>
          <w:ilvl w:val="0"/>
          <w:numId w:val="1017"/>
        </w:numPr>
        <w:pStyle w:val="Compact"/>
      </w:pPr>
      <w:r>
        <w:rPr>
          <w:bCs/>
          <w:b/>
        </w:rPr>
        <w:t xml:space="preserve">Use Phase (60.2% of total PCF):</w:t>
      </w:r>
      <w:r>
        <w:t xml:space="preserve"> </w:t>
      </w:r>
      <w:r>
        <w:t xml:space="preserve">The significant energy consumption during the product\'s 5-year lifespan contributes the largest share of emissions. This highlights the importance of energy-efficient design and promoting renewable energy adoption in the user phase.</w:t>
      </w:r>
    </w:p>
    <w:p>
      <w:pPr>
        <w:numPr>
          <w:ilvl w:val="0"/>
          <w:numId w:val="1017"/>
        </w:numPr>
        <w:pStyle w:val="Compact"/>
      </w:pPr>
      <w:r>
        <w:rPr>
          <w:bCs/>
          <w:b/>
        </w:rPr>
        <w:t xml:space="preserve">Purchased Goods and Services (Materials) (31.5% of total PCF):</w:t>
      </w:r>
      <w:r>
        <w:t xml:space="preserve"> </w:t>
      </w:r>
      <w:r>
        <w:t xml:space="preserve">The raw materials, particularly the hypothetical steel, plastic, and electronics, represent a substantial portion of the upstream footprint. Material selection, lightweighting, and increasing recycled content are key areas for reduction.</w:t>
      </w:r>
    </w:p>
    <w:p>
      <w:pPr>
        <w:numPr>
          <w:ilvl w:val="0"/>
          <w:numId w:val="1017"/>
        </w:numPr>
        <w:pStyle w:val="Compact"/>
      </w:pPr>
      <w:r>
        <w:rPr>
          <w:bCs/>
          <w:b/>
        </w:rPr>
        <w:t xml:space="preserve">Purchased Energy (Production) (6.7% of total PCF):</w:t>
      </w:r>
      <w:r>
        <w:t xml:space="preserve"> </w:t>
      </w:r>
      <w:r>
        <w:t xml:space="preserve">While 50% renewable energy is assumed, the remaining grid electricity in China still contributes significantly. Decarbonizing production electricity remains important.</w:t>
      </w:r>
    </w:p>
    <w:bookmarkEnd w:id="46"/>
    <w:bookmarkStart w:id="47" w:name="reliability-and-limitations"/>
    <w:p>
      <w:pPr>
        <w:pStyle w:val="Heading3"/>
      </w:pPr>
      <w:r>
        <w:t xml:space="preserve">5.2 Reliability and Limitations</w:t>
      </w:r>
    </w:p>
    <w:p>
      <w:pPr>
        <w:pStyle w:val="FirstParagraph"/>
      </w:pPr>
      <w:r>
        <w:t xml:space="preserve">The reliability of this report is constrained by the nature of the input parameters provided by the user, which were primarily placeholders.</w:t>
      </w:r>
    </w:p>
    <w:p>
      <w:pPr>
        <w:numPr>
          <w:ilvl w:val="0"/>
          <w:numId w:val="1018"/>
        </w:numPr>
        <w:pStyle w:val="Compact"/>
      </w:pPr>
      <w:r>
        <w:rPr>
          <w:bCs/>
          <w:b/>
        </w:rPr>
        <w:t xml:space="preserve">Placeholder Data:</w:t>
      </w:r>
      <w:r>
        <w:t xml:space="preserve"> </w:t>
      </w:r>
      <w:r>
        <w:t xml:space="preserve">The BOM, transport details, energy usage, lifespan, consumption, recyclability, and circular program effectiveness were based on hypothetical assumptions for demonstration. Precise, primary data for these parameters are essential for an accurate and auditable PCF.</w:t>
      </w:r>
    </w:p>
    <w:p>
      <w:pPr>
        <w:numPr>
          <w:ilvl w:val="0"/>
          <w:numId w:val="1018"/>
        </w:numPr>
        <w:pStyle w:val="Compact"/>
      </w:pPr>
      <w:r>
        <w:rPr>
          <w:bCs/>
          <w:b/>
        </w:rPr>
        <w:t xml:space="preserve">Generic Emission Factors:</w:t>
      </w:r>
      <w:r>
        <w:t xml:space="preserve"> </w:t>
      </w:r>
      <w:r>
        <w:t xml:space="preserve">While industry-standard emission factors (e.g., from typical Ecoinvent/DEFRA type sources) were used, region-specific and process-specific factors would enhance accuracy.</w:t>
      </w:r>
    </w:p>
    <w:p>
      <w:pPr>
        <w:numPr>
          <w:ilvl w:val="0"/>
          <w:numId w:val="1018"/>
        </w:numPr>
        <w:pStyle w:val="Compact"/>
      </w:pPr>
      <w:r>
        <w:rPr>
          <w:bCs/>
          <w:b/>
        </w:rPr>
        <w:t xml:space="preserve">Simplified EoL:</w:t>
      </w:r>
      <w:r>
        <w:t xml:space="preserve"> </w:t>
      </w:r>
      <w:r>
        <w:t xml:space="preserve">The End-of-Life calculation for direct emissions was simplified, with the emphasis placed on demonstrating the calculation of an avoided emissions credit for circularity, reported separately as per GHG Protocol guidance.</w:t>
      </w:r>
    </w:p>
    <w:bookmarkEnd w:id="47"/>
    <w:bookmarkStart w:id="48" w:name="recommendations-for-tqtywmdmyy"/>
    <w:p>
      <w:pPr>
        <w:pStyle w:val="Heading3"/>
      </w:pPr>
      <w:r>
        <w:t xml:space="preserve">5.3 Recommendations for tqtywmdmyy</w:t>
      </w:r>
    </w:p>
    <w:p>
      <w:pPr>
        <w:pStyle w:val="FirstParagraph"/>
      </w:pPr>
      <w:r>
        <w:t xml:space="preserve">To reduce the carbon footprint of xyltroxfdk and improve the accuracy of future PCF analyses, tqtywmdmyy should consider:</w:t>
      </w:r>
    </w:p>
    <w:p>
      <w:pPr>
        <w:numPr>
          <w:ilvl w:val="0"/>
          <w:numId w:val="1019"/>
        </w:numPr>
        <w:pStyle w:val="Compact"/>
      </w:pPr>
      <w:r>
        <w:rPr>
          <w:bCs/>
          <w:b/>
        </w:rPr>
        <w:t xml:space="preserve">Primary Data Collection:</w:t>
      </w:r>
      <w:r>
        <w:t xml:space="preserve"> </w:t>
      </w:r>
      <w:r>
        <w:t xml:space="preserve">Implement robust systems for collecting specific, primary data for all BOM items (including actual emission factors from suppliers where possible), precise transport modes and distances, actual energy consumption and renewable energy procurement data, and real-world product usage profiles.</w:t>
      </w:r>
    </w:p>
    <w:p>
      <w:pPr>
        <w:numPr>
          <w:ilvl w:val="0"/>
          <w:numId w:val="1019"/>
        </w:numPr>
        <w:pStyle w:val="Compact"/>
      </w:pPr>
      <w:r>
        <w:rPr>
          <w:bCs/>
          <w:b/>
        </w:rPr>
        <w:t xml:space="preserve">Energy Efficiency &amp; Renewables:</w:t>
      </w:r>
      <w:r>
        <w:t xml:space="preserve"> </w:t>
      </w:r>
      <w:r>
        <w:t xml:space="preserve">Focus on further improving energy efficiency in production and increasing the share of renewable energy sourcing in the Chinese manufacturing facilities.</w:t>
      </w:r>
    </w:p>
    <w:p>
      <w:pPr>
        <w:numPr>
          <w:ilvl w:val="0"/>
          <w:numId w:val="1019"/>
        </w:numPr>
        <w:pStyle w:val="Compact"/>
      </w:pPr>
      <w:r>
        <w:rPr>
          <w:bCs/>
          <w:b/>
        </w:rPr>
        <w:t xml:space="preserve">Sustainable Material Sourcing:</w:t>
      </w:r>
      <w:r>
        <w:t xml:space="preserve"> </w:t>
      </w:r>
      <w:r>
        <w:t xml:space="preserve">Explore opportunities to source lower-carbon materials, increase recycled content, and optimize material usage to reduce upstream impacts.</w:t>
      </w:r>
    </w:p>
    <w:p>
      <w:pPr>
        <w:numPr>
          <w:ilvl w:val="0"/>
          <w:numId w:val="1019"/>
        </w:numPr>
        <w:pStyle w:val="Compact"/>
      </w:pPr>
      <w:r>
        <w:rPr>
          <w:bCs/>
          <w:b/>
        </w:rPr>
        <w:t xml:space="preserve">Product Design for Longevity &amp; Efficiency:</w:t>
      </w:r>
      <w:r>
        <w:t xml:space="preserve"> </w:t>
      </w:r>
      <w:r>
        <w:t xml:space="preserve">Design xyltroxfdk for extended lifespan and reduced energy consumption during the use phase to address the largest hotspot.</w:t>
      </w:r>
    </w:p>
    <w:p>
      <w:pPr>
        <w:numPr>
          <w:ilvl w:val="0"/>
          <w:numId w:val="1019"/>
        </w:numPr>
        <w:pStyle w:val="Compact"/>
      </w:pPr>
      <w:r>
        <w:rPr>
          <w:bCs/>
          <w:b/>
        </w:rPr>
        <w:t xml:space="preserve">Circular Economy Integration:</w:t>
      </w:r>
      <w:r>
        <w:t xml:space="preserve"> </w:t>
      </w:r>
      <w:r>
        <w:t xml:space="preserve">Strengthen take-back programs and explore innovative recycling technologies to maximize material circularity and accurately quantify avoided emissions from recycling.</w:t>
      </w:r>
    </w:p>
    <w:p>
      <w:pPr>
        <w:numPr>
          <w:ilvl w:val="0"/>
          <w:numId w:val="1019"/>
        </w:numPr>
        <w:pStyle w:val="Compact"/>
      </w:pPr>
      <w:r>
        <w:rPr>
          <w:bCs/>
          <w:b/>
        </w:rPr>
        <w:t xml:space="preserve">Detailed End-of-Life Scenarios:</w:t>
      </w:r>
      <w:r>
        <w:t xml:space="preserve"> </w:t>
      </w:r>
      <w:r>
        <w:t xml:space="preserve">Conduct a more granular analysis of end-of-life pathways, including disposal and recycling processes, to capture all relevant emissions and removals.</w:t>
      </w:r>
    </w:p>
    <w:p>
      <w:r>
        <w:pict>
          <v:rect style="width:0;height:1.5pt" o:hralign="center" o:hrstd="t" o:hr="t"/>
        </w:pic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xyltroxfdk</dc:title>
  <dc:creator/>
  <dc:description>Detailed Product Carbon Footprint (PCF) analysis report for xyltroxfdk, conducted by zroekyligh, a Senior Sustainability Consultant for tqtywmdmyy, adhering to GHG Protocol standards and 2026 LSR updates.</dc:description>
  <dc:language>en</dc:language>
  <cp:keywords/>
  <dcterms:created xsi:type="dcterms:W3CDTF">2026-07-15T12:38:00Z</dcterms:created>
  <dcterms:modified xsi:type="dcterms:W3CDTF">2026-07-15T12:38:00Z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