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xvtpnhmhnv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xvtpnhmhnv</w:t>
      </w:r>
    </w:p>
    <w:p>
      <w:pPr>
        <w:pStyle w:val="BodyText"/>
      </w:pPr>
      <w:r>
        <w:rPr>
          <w:bCs/>
          <w:b/>
        </w:rPr>
        <w:t xml:space="preserve">Company Name:</w:t>
      </w:r>
      <w:r>
        <w:t xml:space="preserve"> </w:t>
      </w:r>
      <w:r>
        <w:t xml:space="preserve">ktkorkunex</w:t>
      </w:r>
    </w:p>
    <w:p>
      <w:pPr>
        <w:pStyle w:val="BodyText"/>
      </w:pPr>
      <w:r>
        <w:rPr>
          <w:bCs/>
          <w:b/>
        </w:rPr>
        <w:t xml:space="preserve">Senior Sustainability Consultant:</w:t>
      </w:r>
      <w:r>
        <w:t xml:space="preserve"> </w:t>
      </w:r>
      <w:r>
        <w:t xml:space="preserve">vjpihimjvs</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calculations provided are illustrative, using plausible emission factors and data assumptions where specific primary data for all parameters were not supplied, as indicated by placeholder values in the original request. While every effort has been made to ensure accuracy and adherence to the GHG Protocol, results should be used for informational purposes and may require further refinement with company-specific primary data for definitive reporting.</w:t>
      </w:r>
    </w:p>
    <w:bookmarkEnd w:id="20"/>
    <w:p>
      <w:pPr>
        <w:pStyle w:val="BodyText"/>
      </w:pPr>
      <w:r>
        <w:t xml:space="preserve">Product Carbon Footprint Report - xvtpnhmhnv | Generated Date: May 20,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 xvtpnhmhnv, manufactured by ktkorkunex. The analysis was conducted by vjpihimjvs, a Senior Sustainability Consultant specializing in GHG Protocol, to quantify the greenhouse gas (GHG) emissions associated with the product\'s lifecycle. Adhering strictly to the GHG Protocol Product Life Cycle Accounting and Reporting Standard, this study provides an inventory of emissions from raw material acquisition, manufacturing, transportation, use, and end-of-life stages. Key updates from the 2026 Land Sector and Removals (LSR) Standard and stringent Scope 3 compliance requirements have been incorporated. The functional unit for this analysis is 1.0 unit of xvtpnhmhnv, with a system boundary set at \'factory_gate\' for primary manufacturing, extended to \'cradle-to-grave\' for a comprehensive view, and a geographic scope focusing on China for final production and Europe for supply chain focus.</w:t>
      </w:r>
    </w:p>
    <w:p>
      <w:pPr>
        <w:pStyle w:val="BodyText"/>
      </w:pPr>
      <w:r>
        <w:t xml:space="preserve">The analysis identifies key emission hotspots across the product\'s lifecycle, providing ktkorkunex with actionable insights for emission reduction strategies and enhanced sustainability performance.</w:t>
      </w:r>
    </w:p>
    <w:p>
      <w:r>
        <w:pict>
          <v:rect style="width:0;height:1.5pt" o:hralign="center" o:hrstd="t" o:hr="t"/>
        </w:pict>
      </w:r>
    </w:p>
    <w:bookmarkStart w:id="27" w:name="scope-definition-and-boundaries"/>
    <w:p>
      <w:pPr>
        <w:pStyle w:val="Heading2"/>
      </w:pPr>
      <w:r>
        <w:t xml:space="preserve">1. Scope Definition and Boundaries</w:t>
      </w:r>
    </w:p>
    <w:bookmarkStart w:id="21" w:name="functional-unit"/>
    <w:p>
      <w:pPr>
        <w:pStyle w:val="Heading3"/>
      </w:pPr>
      <w:r>
        <w:t xml:space="preserve">1.1 Functional Unit</w:t>
      </w:r>
    </w:p>
    <w:p>
      <w:pPr>
        <w:pStyle w:val="FirstParagraph"/>
      </w:pPr>
      <w:r>
        <w:t xml:space="preserve">The functional unit is defined as</w:t>
      </w:r>
      <w:r>
        <w:t xml:space="preserve"> </w:t>
      </w:r>
      <w:r>
        <w:rPr>
          <w:bCs/>
          <w:b/>
        </w:rPr>
        <w:t xml:space="preserve">1.0 unit</w:t>
      </w:r>
      <w:r>
        <w:t xml:space="preserve"> </w:t>
      </w:r>
      <w:r>
        <w:t xml:space="preserve">of xvtpnhmhnv. This represents the quantified performance of the studied product, serving as the basis for all calculations and comparisons within this PCF analysis.</w:t>
      </w:r>
    </w:p>
    <w:bookmarkEnd w:id="21"/>
    <w:bookmarkStart w:id="22" w:name="system-boundary"/>
    <w:p>
      <w:pPr>
        <w:pStyle w:val="Heading3"/>
      </w:pPr>
      <w:r>
        <w:t xml:space="preserve">1.2 System Boundary</w:t>
      </w:r>
    </w:p>
    <w:p>
      <w:pPr>
        <w:pStyle w:val="FirstParagraph"/>
      </w:pPr>
      <w:r>
        <w:t xml:space="preserve">The primary system boundary for the manufacturing phase is \'factory_gate\', encompassing all processes from raw material extraction (cradle) up to the point where the product leaves the ktkorkunex factory. For a comprehensive Product Carbon Footprint, the analysis has been extended to a \'cradle-to-grave\' approach, including downstream stages such as transportation to the customer, the use phase, and the end-of-life treatment of the product.</w:t>
      </w:r>
    </w:p>
    <w:bookmarkEnd w:id="22"/>
    <w:bookmarkStart w:id="23"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to market)</w:t>
      </w:r>
    </w:p>
    <w:bookmarkEnd w:id="23"/>
    <w:bookmarkStart w:id="24" w:name="allocation"/>
    <w:p>
      <w:pPr>
        <w:pStyle w:val="Heading3"/>
      </w:pPr>
      <w:r>
        <w:t xml:space="preserve">1.4 Allocation</w:t>
      </w:r>
    </w:p>
    <w:p>
      <w:pPr>
        <w:pStyle w:val="FirstParagraph"/>
      </w:pPr>
      <w:r>
        <w:t xml:space="preserve">Emissions have been allocated to the product xvtpnhmhnv based on mass and energy consumption attributable to its production and lifecycle stages. Where processes serve multiple products, standard allocation methods, such as mass-based allocation for shared transport or energy-based allocation for shared utilities, have been applied in alignment with GHG Protocol guidance.</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This standard provides requirements and guidance for quantifying and publicly reporting GHG emissions and removals associated with a specific product.</w:t>
      </w:r>
    </w:p>
    <w:bookmarkEnd w:id="25"/>
    <w:bookmarkStart w:id="26" w:name="ghg-protocol-scopes-and-2026-updates"/>
    <w:p>
      <w:pPr>
        <w:pStyle w:val="Heading3"/>
      </w:pPr>
      <w:r>
        <w:t xml:space="preserve">1.6 GHG Protocol Scopes and 2026 Updates</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ktkorkunex. For this product-level analysis, direct operational emissions at the factory gate are considered.</w:t>
      </w:r>
    </w:p>
    <w:p>
      <w:pPr>
        <w:numPr>
          <w:ilvl w:val="0"/>
          <w:numId w:val="1002"/>
        </w:numPr>
        <w:pStyle w:val="Compact"/>
      </w:pPr>
      <w:r>
        <w:rPr>
          <w:bCs/>
          <w:b/>
        </w:rPr>
        <w:t xml:space="preserve">Scope 2:</w:t>
      </w:r>
      <w:r>
        <w:t xml:space="preserve"> </w:t>
      </w:r>
      <w:r>
        <w:t xml:space="preserve">Indirect GHG emissions from the consumption of purchased electricity, heat, or steam.</w:t>
      </w:r>
    </w:p>
    <w:p>
      <w:pPr>
        <w:numPr>
          <w:ilvl w:val="0"/>
          <w:numId w:val="1002"/>
        </w:numPr>
        <w:pStyle w:val="Compact"/>
      </w:pPr>
      <w:r>
        <w:rPr>
          <w:bCs/>
          <w:b/>
        </w:rPr>
        <w:t xml:space="preserve">Scope 3:</w:t>
      </w:r>
      <w:r>
        <w:t xml:space="preserve"> </w:t>
      </w:r>
      <w:r>
        <w:t xml:space="preserve">All other indirect emissions occurring in the value chain, both upstream (e.g., purchased goods and services, upstream transportation) and downstream (e.g., use of sold products, end-of-life treatment of sold products).</w:t>
      </w:r>
    </w:p>
    <w:p>
      <w:pPr>
        <w:numPr>
          <w:ilvl w:val="1"/>
          <w:numId w:val="1003"/>
        </w:numPr>
        <w:pStyle w:val="Compact"/>
      </w:pPr>
      <w:r>
        <w:rPr>
          <w:bCs/>
          <w:b/>
        </w:rPr>
        <w:t xml:space="preserve">2026 LSR Update:</w:t>
      </w:r>
      <w:r>
        <w:t xml:space="preserve"> </w:t>
      </w:r>
      <w:r>
        <w:t xml:space="preserve">The Land Sector and Removals (LSR) Standard, effective January 1, 2027, has been considered. This standard provides accounting requirements for land emissions, CO₂ removals, and other key metrics, as well as technological CO₂ removals. While specific guidance is expected in Q2 2026, its principles for carbon removals via circularity (e.g., recycling credits) are integrated into the End-of-Life calculations.</w:t>
      </w:r>
    </w:p>
    <w:p>
      <w:pPr>
        <w:numPr>
          <w:ilvl w:val="1"/>
          <w:numId w:val="1003"/>
        </w:numPr>
        <w:pStyle w:val="Compact"/>
      </w:pPr>
      <w:r>
        <w:rPr>
          <w:bCs/>
          <w:b/>
        </w:rPr>
        <w:t xml:space="preserve">2026 Scope 3 Compliance:</w:t>
      </w:r>
      <w:r>
        <w:t xml:space="preserve"> </w:t>
      </w:r>
      <w:r>
        <w:t xml:space="preserve">As per the March 2026 progress update on the Scope 3 Standard revisions, this report ensures at least 95% coverage of required Scope 3 emissions. Exclusions, if any, are quantified, disclosed, and justified, not exceeding the 5% cap.</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xvtpnhmhnv has been mapped into distinct stages, and data has been collected (illustrative primary and secondary data) for each. Emission factors from industry-standard databases such as Ecoinvent and DEFRA have been applied where specific data was not provided.</w:t>
      </w:r>
    </w:p>
    <w:bookmarkStart w:id="28" w:name="Xc19a74e080dd6159e2750ef1b2d48cf85f27a54"/>
    <w:p>
      <w:pPr>
        <w:pStyle w:val="Heading3"/>
      </w:pPr>
      <w:r>
        <w:t xml:space="preserve">2.1 Bill of Materials (BOM) Analysis - Upstream Emissions (Scope 3, Category 1: Purchased Goods and Services)</w:t>
      </w:r>
    </w:p>
    <w:p>
      <w:pPr>
        <w:pStyle w:val="FirstParagraph"/>
      </w:pPr>
      <w:r>
        <w:t xml:space="preserve">The detailed Bill of Materials (BOM) (yrvkmuwv) for xvtpnhmhnv is used to calculate the material-specific carbon impact. The following table provides illustrative data based on the specified format and plausible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Metals</w:t>
            </w:r>
          </w:p>
        </w:tc>
        <w:tc>
          <w:tcPr/>
          <w:p>
            <w:pPr>
              <w:pStyle w:val="Compact"/>
              <w:jc w:val="left"/>
            </w:pPr>
            <w:r>
              <w:t xml:space="preserve">Steel Production (Electric Arc Furnace)</w:t>
            </w:r>
          </w:p>
        </w:tc>
        <w:tc>
          <w:tcPr/>
          <w:p>
            <w:pPr>
              <w:pStyle w:val="Compact"/>
              <w:jc w:val="left"/>
            </w:pPr>
            <w:r>
              <w:t xml:space="preserve">5.00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1.20</w:t>
            </w:r>
          </w:p>
        </w:tc>
        <w:tc>
          <w:tcPr/>
          <w:p>
            <w:pPr>
              <w:pStyle w:val="Compact"/>
              <w:jc w:val="left"/>
            </w:pPr>
            <w:r>
              <w:t xml:space="preserve">kg</w:t>
            </w:r>
          </w:p>
        </w:tc>
        <w:tc>
          <w:tcPr/>
          <w:p>
            <w:pPr>
              <w:pStyle w:val="Compact"/>
              <w:jc w:val="left"/>
            </w:pPr>
            <w:r>
              <w:t xml:space="preserve">3.80</w:t>
            </w:r>
          </w:p>
        </w:tc>
        <w:tc>
          <w:tcPr/>
          <w:p>
            <w:pPr>
              <w:pStyle w:val="Compact"/>
              <w:jc w:val="left"/>
            </w:pPr>
            <w:r>
              <w:t xml:space="preserve">4.56</w:t>
            </w:r>
          </w:p>
        </w:tc>
      </w:tr>
      <w:tr>
        <w:tc>
          <w:tcPr/>
          <w:p>
            <w:pPr>
              <w:pStyle w:val="Compact"/>
              <w:jc w:val="left"/>
            </w:pPr>
            <w:r>
              <w:t xml:space="preserve">M003</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Copper Extrusion &amp; Drawing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Integrated Circuit (Logic)</w:t>
            </w:r>
          </w:p>
        </w:tc>
        <w:tc>
          <w:tcPr/>
          <w:p>
            <w:pPr>
              <w:pStyle w:val="Compact"/>
              <w:jc w:val="left"/>
            </w:pPr>
            <w:r>
              <w:t xml:space="preserve">Electronics</w:t>
            </w:r>
          </w:p>
        </w:tc>
        <w:tc>
          <w:tcPr/>
          <w:p>
            <w:pPr>
              <w:pStyle w:val="Compact"/>
              <w:jc w:val="left"/>
            </w:pPr>
            <w:r>
              <w:t xml:space="preserve">Semiconductor 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Corrugated Board Production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0.40</w:t>
            </w:r>
          </w:p>
        </w:tc>
      </w:tr>
    </w:tbl>
    <w:p>
      <w:pPr>
        <w:pStyle w:val="BodyText"/>
      </w:pPr>
      <w:r>
        <w:t xml:space="preserve">*Illustrative Emission Factors based on typical industry averages from sources like Ecoinvent and DEFRA for respective materials and processes.</w:t>
      </w:r>
    </w:p>
    <w:bookmarkEnd w:id="28"/>
    <w:bookmarkStart w:id="29" w:name="Xefa2c5e526e8d13b475f9ceed65f8ca53d55125"/>
    <w:p>
      <w:pPr>
        <w:pStyle w:val="Heading3"/>
      </w:pPr>
      <w:r>
        <w:t xml:space="preserve">2.2 Production Phase - Energy Inputs (Scope 2 &amp; Scope 1)</w:t>
      </w:r>
    </w:p>
    <w:p>
      <w:pPr>
        <w:pStyle w:val="FirstParagraph"/>
      </w:pPr>
      <w:r>
        <w:t xml:space="preserve">The energy consumption during the manufacturing of xvtpnhmhnv in China directly contributes to the product\'s carbon footprint. The following data is used for calculation:</w:t>
      </w:r>
    </w:p>
    <w:p>
      <w:pPr>
        <w:numPr>
          <w:ilvl w:val="0"/>
          <w:numId w:val="1004"/>
        </w:numPr>
        <w:pStyle w:val="Compact"/>
      </w:pPr>
      <w:r>
        <w:rPr>
          <w:bCs/>
          <w:b/>
        </w:rPr>
        <w:t xml:space="preserve">Energy Intensity (kWh/unit):</w:t>
      </w:r>
      <w:r>
        <w:t xml:space="preserve"> </w:t>
      </w:r>
      <w:r>
        <w:t xml:space="preserve">rhjstdjkgq (15 kWh/unit)</w:t>
      </w:r>
    </w:p>
    <w:p>
      <w:pPr>
        <w:numPr>
          <w:ilvl w:val="0"/>
          <w:numId w:val="1004"/>
        </w:numPr>
        <w:pStyle w:val="Compact"/>
      </w:pPr>
      <w:r>
        <w:rPr>
          <w:bCs/>
          <w:b/>
        </w:rPr>
        <w:t xml:space="preserve">Renewable Energy Usage:</w:t>
      </w:r>
      <w:r>
        <w:t xml:space="preserve"> </w:t>
      </w:r>
      <w:r>
        <w:t xml:space="preserve">miixvgpmfm (70%)</w:t>
      </w:r>
    </w:p>
    <w:p>
      <w:pPr>
        <w:numPr>
          <w:ilvl w:val="0"/>
          <w:numId w:val="1004"/>
        </w:numPr>
        <w:pStyle w:val="Compact"/>
      </w:pPr>
      <w:r>
        <w:rPr>
          <w:bCs/>
          <w:b/>
        </w:rPr>
        <w:t xml:space="preserve">China Grid Mix Emission Factor (2024):</w:t>
      </w:r>
      <w:r>
        <w:t xml:space="preserve"> </w:t>
      </w:r>
      <w:r>
        <w:t xml:space="preserve">0.6205 kgCO2e/kWh (National Average Electricity Carbon Footprint Factor, 2023 data released Jan 2025).</w:t>
      </w:r>
    </w:p>
    <w:p>
      <w:pPr>
        <w:numPr>
          <w:ilvl w:val="0"/>
          <w:numId w:val="1004"/>
        </w:numPr>
        <w:pStyle w:val="Compact"/>
      </w:pPr>
      <w:r>
        <w:rPr>
          <w:bCs/>
          <w:b/>
        </w:rPr>
        <w:t xml:space="preserve">Effective Grid Emission Factor:</w:t>
      </w:r>
      <w:r>
        <w:t xml:space="preserve"> </w:t>
      </w:r>
      <w:r>
        <w:t xml:space="preserve">(1 - 0.70) * 0.6205 kgCO2e/kWh = 0.18615 kgCO2e/kWh.</w:t>
      </w:r>
    </w:p>
    <w:p>
      <w:pPr>
        <w:numPr>
          <w:ilvl w:val="0"/>
          <w:numId w:val="1004"/>
        </w:numPr>
        <w:pStyle w:val="Compact"/>
      </w:pPr>
      <w:r>
        <w:rPr>
          <w:bCs/>
          <w:b/>
        </w:rPr>
        <w:t xml:space="preserve">Assumed Scope 1 Emissions (Direct, on-site combustion):</w:t>
      </w:r>
      <w:r>
        <w:t xml:space="preserve"> </w:t>
      </w:r>
      <w:r>
        <w:t xml:space="preserve">Negligible for manufacturing process at product level (often aggregated at corporate level unless significant direct fuel use for product-specific processes).</w:t>
      </w:r>
    </w:p>
    <w:bookmarkEnd w:id="29"/>
    <w:bookmarkStart w:id="30" w:name="X6bc976565b6e2a6cbc8c5912846fd0e9fd72481"/>
    <w:p>
      <w:pPr>
        <w:pStyle w:val="Heading3"/>
      </w:pPr>
      <w:r>
        <w:t xml:space="preserve">2.3 Transportation and Distribution (Scope 3, Category 4 &amp; 9: Upstream &amp; Downstream Transportation and Distribution)</w:t>
      </w:r>
    </w:p>
    <w:p>
      <w:pPr>
        <w:pStyle w:val="FirstParagraph"/>
      </w:pPr>
      <w:r>
        <w:t xml:space="preserve">Logistics data (Transport Mode: Select Mode, Distance: gokrsvvxmz, Last-Mile Delivery Channel: Delivery Type) has been incorporated.</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(tonnes)</w:t>
            </w:r>
          </w:p>
        </w:tc>
        <w:tc>
          <w:tcPr/>
          <w:p>
            <w:pPr>
              <w:pStyle w:val="Compact"/>
              <w:jc w:val="left"/>
            </w:pPr>
            <w:r>
              <w:t xml:space="preserve">Emission Factor (kgCO2e/tonne-km)</w:t>
            </w:r>
          </w:p>
        </w:tc>
        <w:tc>
          <w:tcPr/>
          <w:p>
            <w:pPr>
              <w:pStyle w:val="Compact"/>
              <w:jc w:val="left"/>
            </w:pPr>
            <w:r>
              <w:t xml:space="preserve">Total Carbon (kgCO2e)</w:t>
            </w:r>
          </w:p>
        </w:tc>
      </w:tr>
      <w:tr>
        <w:tc>
          <w:tcPr/>
          <w:p>
            <w:pPr>
              <w:pStyle w:val="Compact"/>
              <w:jc w:val="left"/>
            </w:pPr>
            <w:r>
              <w:t xml:space="preserve">Raw Material Inbound (Europe to China)</w:t>
            </w:r>
          </w:p>
        </w:tc>
        <w:tc>
          <w:tcPr/>
          <w:p>
            <w:pPr>
              <w:pStyle w:val="Compact"/>
              <w:jc w:val="left"/>
            </w:pPr>
            <w:r>
              <w:t xml:space="preserve">Sea Freight</w:t>
            </w:r>
          </w:p>
        </w:tc>
        <w:tc>
          <w:tcPr/>
          <w:p>
            <w:pPr>
              <w:pStyle w:val="Compact"/>
              <w:jc w:val="left"/>
            </w:pPr>
            <w:r>
              <w:t xml:space="preserve">15,000</w:t>
            </w:r>
          </w:p>
        </w:tc>
        <w:tc>
          <w:tcPr/>
          <w:p>
            <w:pPr>
              <w:pStyle w:val="Compact"/>
              <w:jc w:val="left"/>
            </w:pPr>
            <w:r>
              <w:t xml:space="preserve">0.00735</w:t>
            </w:r>
          </w:p>
        </w:tc>
        <w:tc>
          <w:tcPr/>
          <w:p>
            <w:pPr>
              <w:pStyle w:val="Compact"/>
              <w:jc w:val="left"/>
            </w:pPr>
            <w:r>
              <w:t xml:space="preserve">0.016</w:t>
            </w:r>
          </w:p>
        </w:tc>
        <w:tc>
          <w:tcPr/>
          <w:p>
            <w:pPr>
              <w:pStyle w:val="Compact"/>
              <w:jc w:val="left"/>
            </w:pPr>
            <w:r>
              <w:t xml:space="preserve">1.764</w:t>
            </w:r>
          </w:p>
        </w:tc>
      </w:tr>
      <w:tr>
        <w:tc>
          <w:tcPr/>
          <w:p>
            <w:pPr>
              <w:pStyle w:val="Compact"/>
              <w:jc w:val="left"/>
            </w:pPr>
            <w:r>
              <w:t xml:space="preserve">Finished Product Outbound (China to Europe)</w:t>
            </w:r>
          </w:p>
        </w:tc>
        <w:tc>
          <w:tcPr/>
          <w:p>
            <w:pPr>
              <w:pStyle w:val="Compact"/>
              <w:jc w:val="left"/>
            </w:pPr>
            <w:r>
              <w:t xml:space="preserve">Sea Freight</w:t>
            </w:r>
          </w:p>
        </w:tc>
        <w:tc>
          <w:tcPr/>
          <w:p>
            <w:pPr>
              <w:pStyle w:val="Compact"/>
              <w:jc w:val="left"/>
            </w:pPr>
            <w:r>
              <w:t xml:space="preserve">12,000</w:t>
            </w:r>
          </w:p>
        </w:tc>
        <w:tc>
          <w:tcPr/>
          <w:p>
            <w:pPr>
              <w:pStyle w:val="Compact"/>
              <w:jc w:val="left"/>
            </w:pPr>
            <w:r>
              <w:t xml:space="preserve">0.00735</w:t>
            </w:r>
          </w:p>
        </w:tc>
        <w:tc>
          <w:tcPr/>
          <w:p>
            <w:pPr>
              <w:pStyle w:val="Compact"/>
              <w:jc w:val="left"/>
            </w:pPr>
            <w:r>
              <w:t xml:space="preserve">0.016</w:t>
            </w:r>
          </w:p>
        </w:tc>
        <w:tc>
          <w:tcPr/>
          <w:p>
            <w:pPr>
              <w:pStyle w:val="Compact"/>
              <w:jc w:val="left"/>
            </w:pPr>
            <w:r>
              <w:t xml:space="preserve">1.411</w:t>
            </w:r>
          </w:p>
        </w:tc>
      </w:tr>
      <w:tr>
        <w:tc>
          <w:tcPr/>
          <w:p>
            <w:pPr>
              <w:pStyle w:val="Compact"/>
              <w:jc w:val="left"/>
            </w:pPr>
            <w:r>
              <w:t xml:space="preserve">Finished Product In-Country (Europe)</w:t>
            </w:r>
          </w:p>
        </w:tc>
        <w:tc>
          <w:tcPr/>
          <w:p>
            <w:pPr>
              <w:pStyle w:val="Compact"/>
              <w:jc w:val="left"/>
            </w:pPr>
            <w:r>
              <w:t xml:space="preserve">Truck (HGV)</w:t>
            </w:r>
          </w:p>
        </w:tc>
        <w:tc>
          <w:tcPr/>
          <w:p>
            <w:pPr>
              <w:pStyle w:val="Compact"/>
              <w:jc w:val="left"/>
            </w:pPr>
            <w:r>
              <w:t xml:space="preserve">800</w:t>
            </w:r>
          </w:p>
        </w:tc>
        <w:tc>
          <w:tcPr/>
          <w:p>
            <w:pPr>
              <w:pStyle w:val="Compact"/>
              <w:jc w:val="left"/>
            </w:pPr>
            <w:r>
              <w:t xml:space="preserve">0.00735</w:t>
            </w:r>
          </w:p>
        </w:tc>
        <w:tc>
          <w:tcPr/>
          <w:p>
            <w:pPr>
              <w:pStyle w:val="Compact"/>
              <w:jc w:val="left"/>
            </w:pPr>
            <w:r>
              <w:t xml:space="preserve">0.090</w:t>
            </w:r>
          </w:p>
        </w:tc>
        <w:tc>
          <w:tcPr/>
          <w:p>
            <w:pPr>
              <w:pStyle w:val="Compact"/>
              <w:jc w:val="left"/>
            </w:pPr>
            <w:r>
              <w:t xml:space="preserve">0.529</w:t>
            </w:r>
          </w:p>
        </w:tc>
      </w:tr>
      <w:tr>
        <w:tc>
          <w:tcPr/>
          <w:p>
            <w:pPr>
              <w:pStyle w:val="Compact"/>
              <w:jc w:val="left"/>
            </w:pPr>
            <w:r>
              <w:t xml:space="preserve">Last-Mile Delivery (Europe)</w:t>
            </w:r>
          </w:p>
        </w:tc>
        <w:tc>
          <w:tcPr/>
          <w:p>
            <w:pPr>
              <w:pStyle w:val="Compact"/>
              <w:jc w:val="left"/>
            </w:pPr>
            <w:r>
              <w:t xml:space="preserve">Parcel Van</w:t>
            </w:r>
          </w:p>
        </w:tc>
        <w:tc>
          <w:tcPr/>
          <w:p>
            <w:pPr>
              <w:pStyle w:val="Compact"/>
              <w:jc w:val="left"/>
            </w:pPr>
            <w:r>
              <w:t xml:space="preserve">100</w:t>
            </w:r>
          </w:p>
        </w:tc>
        <w:tc>
          <w:tcPr/>
          <w:p>
            <w:pPr>
              <w:pStyle w:val="Compact"/>
              <w:jc w:val="left"/>
            </w:pPr>
            <w:r>
              <w:t xml:space="preserve">0.00735</w:t>
            </w:r>
          </w:p>
        </w:tc>
        <w:tc>
          <w:tcPr/>
          <w:p>
            <w:pPr>
              <w:pStyle w:val="Compact"/>
              <w:jc w:val="left"/>
            </w:pPr>
            <w:r>
              <w:t xml:space="preserve">0.150</w:t>
            </w:r>
          </w:p>
        </w:tc>
        <w:tc>
          <w:tcPr/>
          <w:p>
            <w:pPr>
              <w:pStyle w:val="Compact"/>
              <w:jc w:val="left"/>
            </w:pPr>
            <w:r>
              <w:t xml:space="preserve">0.110</w:t>
            </w:r>
          </w:p>
        </w:tc>
      </w:tr>
    </w:tbl>
    <w:p>
      <w:pPr>
        <w:pStyle w:val="BodyText"/>
      </w:pPr>
      <w:r>
        <w:t xml:space="preserve">*Illustrative Emission Factors based on DEFRA and Ecoinvent data for typical transport modes. Total weight of one unit (product + packaging) is approximately 7.35 kg (0.00735 tonnes).</w:t>
      </w:r>
    </w:p>
    <w:bookmarkEnd w:id="30"/>
    <w:bookmarkStart w:id="31" w:name="Xc8d47610e025d3b1fe367d676386ecee874efa3"/>
    <w:p>
      <w:pPr>
        <w:pStyle w:val="Heading3"/>
      </w:pPr>
      <w:r>
        <w:t xml:space="preserve">2.4 Use Phase (Scope 3, Category 11: Use of Sold Products)</w:t>
      </w:r>
    </w:p>
    <w:p>
      <w:pPr>
        <w:pStyle w:val="FirstParagraph"/>
      </w:pPr>
      <w:r>
        <w:t xml:space="preserve">The use phase calculation considers the product\'s lifespan (lrxfydupwd) and energy consumption in use (wkujfkgvdm).</w:t>
      </w:r>
    </w:p>
    <w:p>
      <w:pPr>
        <w:numPr>
          <w:ilvl w:val="0"/>
          <w:numId w:val="1005"/>
        </w:numPr>
        <w:pStyle w:val="Compact"/>
      </w:pPr>
      <w:r>
        <w:rPr>
          <w:bCs/>
          <w:b/>
        </w:rPr>
        <w:t xml:space="preserve">Product Lifespan:</w:t>
      </w:r>
      <w:r>
        <w:t xml:space="preserve"> </w:t>
      </w:r>
      <w:r>
        <w:t xml:space="preserve">lrxfydupwd (5 years)</w:t>
      </w:r>
    </w:p>
    <w:p>
      <w:pPr>
        <w:numPr>
          <w:ilvl w:val="0"/>
          <w:numId w:val="1005"/>
        </w:numPr>
        <w:pStyle w:val="Compact"/>
      </w:pPr>
      <w:r>
        <w:rPr>
          <w:bCs/>
          <w:b/>
        </w:rPr>
        <w:t xml:space="preserve">Energy Consumption in Use:</w:t>
      </w:r>
      <w:r>
        <w:t xml:space="preserve"> </w:t>
      </w:r>
      <w:r>
        <w:t xml:space="preserve">wkujfkgvdm (20 kWh/year)</w:t>
      </w:r>
    </w:p>
    <w:p>
      <w:pPr>
        <w:numPr>
          <w:ilvl w:val="0"/>
          <w:numId w:val="1005"/>
        </w:numPr>
        <w:pStyle w:val="Compact"/>
      </w:pPr>
      <w:r>
        <w:rPr>
          <w:bCs/>
          <w:b/>
        </w:rPr>
        <w:t xml:space="preserve">European Grid Mix Emission Factor (Illustrative):</w:t>
      </w:r>
      <w:r>
        <w:t xml:space="preserve"> </w:t>
      </w:r>
      <w:r>
        <w:t xml:space="preserve">0.25 kgCO2e/kWh (reflecting average European electricity mix).</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End-of-Life impacts are incorporated using the recyclability percentage (vvplwmywuf) and the existence of circular/take-back programs (leugynosef).</w:t>
      </w:r>
    </w:p>
    <w:p>
      <w:pPr>
        <w:numPr>
          <w:ilvl w:val="0"/>
          <w:numId w:val="1006"/>
        </w:numPr>
        <w:pStyle w:val="Compact"/>
      </w:pPr>
      <w:r>
        <w:rPr>
          <w:bCs/>
          <w:b/>
        </w:rPr>
        <w:t xml:space="preserve">Recyclability Percentage:</w:t>
      </w:r>
      <w:r>
        <w:t xml:space="preserve"> </w:t>
      </w:r>
      <w:r>
        <w:t xml:space="preserve">vvplwmywuf (85%)</w:t>
      </w:r>
    </w:p>
    <w:p>
      <w:pPr>
        <w:numPr>
          <w:ilvl w:val="0"/>
          <w:numId w:val="1006"/>
        </w:numPr>
        <w:pStyle w:val="Compact"/>
      </w:pPr>
      <w:r>
        <w:rPr>
          <w:bCs/>
          <w:b/>
        </w:rPr>
        <w:t xml:space="preserve">Circular/Take-back Programs:</w:t>
      </w:r>
      <w:r>
        <w:t xml:space="preserve"> </w:t>
      </w:r>
      <w:r>
        <w:t xml:space="preserve">leugynosef (Active)</w:t>
      </w:r>
    </w:p>
    <w:p>
      <w:pPr>
        <w:numPr>
          <w:ilvl w:val="0"/>
          <w:numId w:val="1006"/>
        </w:numPr>
        <w:pStyle w:val="Compact"/>
      </w:pPr>
      <w:r>
        <w:rPr>
          <w:bCs/>
          <w:b/>
        </w:rPr>
        <w:t xml:space="preserve">Total Product Weight (excl. packaging):</w:t>
      </w:r>
      <w:r>
        <w:t xml:space="preserve"> </w:t>
      </w:r>
      <w:r>
        <w:t xml:space="preserve">6.55 kg</w:t>
      </w:r>
    </w:p>
    <w:p>
      <w:pPr>
        <w:numPr>
          <w:ilvl w:val="0"/>
          <w:numId w:val="1006"/>
        </w:numPr>
        <w:pStyle w:val="Compact"/>
      </w:pPr>
      <w:r>
        <w:rPr>
          <w:bCs/>
          <w:b/>
        </w:rPr>
        <w:t xml:space="preserve">Assumed EoL Scenario:</w:t>
      </w:r>
      <w:r>
        <w:t xml:space="preserve"> </w:t>
      </w:r>
      <w:r>
        <w:t xml:space="preserve">85% recycled, 15% landfilled.</w:t>
      </w:r>
    </w:p>
    <w:p>
      <w:pPr>
        <w:numPr>
          <w:ilvl w:val="0"/>
          <w:numId w:val="1006"/>
        </w:numPr>
        <w:pStyle w:val="Compact"/>
      </w:pPr>
      <w:r>
        <w:rPr>
          <w:bCs/>
          <w:b/>
        </w:rPr>
        <w:t xml:space="preserve">Illustrative Recycling Credit (avoided emissions):</w:t>
      </w:r>
      <w:r>
        <w:t xml:space="preserve"> </w:t>
      </w:r>
      <w:r>
        <w:t xml:space="preserve">-1.5 kgCO2e/kg for recycled material.</w:t>
      </w:r>
    </w:p>
    <w:p>
      <w:pPr>
        <w:numPr>
          <w:ilvl w:val="0"/>
          <w:numId w:val="1006"/>
        </w:numPr>
        <w:pStyle w:val="Compact"/>
      </w:pPr>
      <w:r>
        <w:rPr>
          <w:bCs/>
          <w:b/>
        </w:rPr>
        <w:t xml:space="preserve">Illustrative Landfill Emissions:</w:t>
      </w:r>
      <w:r>
        <w:t xml:space="preserve"> </w:t>
      </w:r>
      <w:r>
        <w:t xml:space="preserve">0.1 kgCO2e/kg for landfilled material.</w:t>
      </w:r>
    </w:p>
    <w:p>
      <w:r>
        <w:pict>
          <v:rect style="width:0;height:1.5pt" o:hralign="center" o:hrstd="t" o:hr="t"/>
        </w:pict>
      </w:r>
    </w:p>
    <w:bookmarkEnd w:id="32"/>
    <w:bookmarkEnd w:id="33"/>
    <w:bookmarkStart w:id="40" w:name="emission-calculation"/>
    <w:p>
      <w:pPr>
        <w:pStyle w:val="Heading2"/>
      </w:pPr>
      <w:r>
        <w:t xml:space="preserve">3. Emission Calculation</w:t>
      </w:r>
    </w:p>
    <w:p>
      <w:pPr>
        <w:pStyle w:val="FirstParagraph"/>
      </w:pPr>
      <w:r>
        <w:t xml:space="preserve">Emissions are calculated using the formula: Activity Data × Emission Factor = CO2e. All results are expressed in kilograms of carbon dioxide equivalent (kgCO2e).</w:t>
      </w:r>
    </w:p>
    <w:bookmarkStart w:id="34" w:name="scope-1-emissions"/>
    <w:p>
      <w:pPr>
        <w:pStyle w:val="Heading3"/>
      </w:pPr>
      <w:r>
        <w:t xml:space="preserve">3.1 Scope 1 Emissions</w:t>
      </w:r>
    </w:p>
    <w:p>
      <w:pPr>
        <w:pStyle w:val="FirstParagraph"/>
      </w:pPr>
      <w:r>
        <w:t xml:space="preserve">For this product-level PCF with a \'factory_gate\' system boundary and no specific direct fuel consumption data provided for product-specific processes, Scope 1 emissions are considered negligible at this granular level. Direct emissions from company-owned vehicles or on-site stationary combustion for general factory operations are typically accounted for at the corporate GHG inventory level.</w:t>
      </w:r>
    </w:p>
    <w:bookmarkEnd w:id="34"/>
    <w:bookmarkStart w:id="35" w:name="scope-2-emissions-purchased-electricity"/>
    <w:p>
      <w:pPr>
        <w:pStyle w:val="Heading3"/>
      </w:pPr>
      <w:r>
        <w:t xml:space="preserve">3.2 Scope 2 Emissions (Purchased Electricity)</w:t>
      </w:r>
    </w:p>
    <w:p>
      <w:pPr>
        <w:numPr>
          <w:ilvl w:val="0"/>
          <w:numId w:val="1007"/>
        </w:numPr>
        <w:pStyle w:val="Compact"/>
      </w:pPr>
      <w:r>
        <w:rPr>
          <w:bCs/>
          <w:b/>
        </w:rPr>
        <w:t xml:space="preserve">Production Energy Consumption:</w:t>
      </w:r>
      <w:r>
        <w:t xml:space="preserve"> </w:t>
      </w:r>
      <w:r>
        <w:t xml:space="preserve">15 kWh/unit</w:t>
      </w:r>
    </w:p>
    <w:p>
      <w:pPr>
        <w:numPr>
          <w:ilvl w:val="0"/>
          <w:numId w:val="1007"/>
        </w:numPr>
        <w:pStyle w:val="Compact"/>
      </w:pPr>
      <w:r>
        <w:rPr>
          <w:bCs/>
          <w:b/>
        </w:rPr>
        <w:t xml:space="preserve">Effective China Grid Emission Factor (30% non-renewable):</w:t>
      </w:r>
      <w:r>
        <w:t xml:space="preserve"> </w:t>
      </w:r>
      <w:r>
        <w:t xml:space="preserve">0.18615 kgCO2e/kWh</w:t>
      </w:r>
    </w:p>
    <w:p>
      <w:pPr>
        <w:numPr>
          <w:ilvl w:val="0"/>
          <w:numId w:val="1007"/>
        </w:numPr>
        <w:pStyle w:val="Compact"/>
      </w:pPr>
      <w:r>
        <w:rPr>
          <w:bCs/>
          <w:b/>
        </w:rPr>
        <w:t xml:space="preserve">Total Scope 2 Emissions:</w:t>
      </w:r>
      <w:r>
        <w:t xml:space="preserve"> </w:t>
      </w:r>
      <w:r>
        <w:t xml:space="preserve">15 kWh/unit × 0.18615 kgCO2e/kWh =</w:t>
      </w:r>
      <w:r>
        <w:t xml:space="preserve"> </w:t>
      </w:r>
      <w:r>
        <w:rPr>
          <w:bCs/>
          <w:b/>
        </w:rPr>
        <w:t xml:space="preserve">2.792 kgCO2e</w:t>
      </w:r>
    </w:p>
    <w:bookmarkEnd w:id="35"/>
    <w:bookmarkStart w:id="38" w:name="scope-3-emissions-value-chain"/>
    <w:p>
      <w:pPr>
        <w:pStyle w:val="Heading3"/>
      </w:pPr>
      <w:r>
        <w:t xml:space="preserve">3.3 Scope 3 Emissions (Value Chain)</w:t>
      </w:r>
    </w:p>
    <w:bookmarkStart w:id="36" w:name="upstream-emissions"/>
    <w:p>
      <w:pPr>
        <w:pStyle w:val="Heading4"/>
      </w:pPr>
      <w:r>
        <w:t xml:space="preserve">3.3.1 Upstream Emissions</w:t>
      </w:r>
    </w:p>
    <w:p>
      <w:pPr>
        <w:numPr>
          <w:ilvl w:val="0"/>
          <w:numId w:val="1008"/>
        </w:numPr>
        <w:pStyle w:val="Compact"/>
      </w:pPr>
      <w:r>
        <w:rPr>
          <w:bCs/>
          <w:b/>
        </w:rPr>
        <w:t xml:space="preserve">Materials (Category 1: Purchased Goods and Services):</w:t>
      </w:r>
    </w:p>
    <w:p>
      <w:pPr>
        <w:numPr>
          <w:ilvl w:val="1"/>
          <w:numId w:val="1009"/>
        </w:numPr>
        <w:pStyle w:val="Compact"/>
      </w:pPr>
      <w:r>
        <w:t xml:space="preserve">Steel: 12.50 kgCO2e</w:t>
      </w:r>
    </w:p>
    <w:p>
      <w:pPr>
        <w:numPr>
          <w:ilvl w:val="1"/>
          <w:numId w:val="1009"/>
        </w:numPr>
        <w:pStyle w:val="Compact"/>
      </w:pPr>
      <w:r>
        <w:t xml:space="preserve">ABS Plastic: 4.56 kgCO2e</w:t>
      </w:r>
    </w:p>
    <w:p>
      <w:pPr>
        <w:numPr>
          <w:ilvl w:val="1"/>
          <w:numId w:val="1009"/>
        </w:numPr>
        <w:pStyle w:val="Compact"/>
      </w:pPr>
      <w:r>
        <w:t xml:space="preserve">Copper Wire: 1.20 kgCO2e</w:t>
      </w:r>
    </w:p>
    <w:p>
      <w:pPr>
        <w:numPr>
          <w:ilvl w:val="1"/>
          <w:numId w:val="1009"/>
        </w:numPr>
        <w:pStyle w:val="Compact"/>
      </w:pPr>
      <w:r>
        <w:t xml:space="preserve">Integrated Circuit: 2.50 kgCO2e</w:t>
      </w:r>
    </w:p>
    <w:p>
      <w:pPr>
        <w:numPr>
          <w:ilvl w:val="1"/>
          <w:numId w:val="1009"/>
        </w:numPr>
        <w:pStyle w:val="Compact"/>
      </w:pPr>
      <w:r>
        <w:t xml:space="preserve">Cardboard Packaging: 0.40 kgCO2e</w:t>
      </w:r>
    </w:p>
    <w:p>
      <w:pPr>
        <w:numPr>
          <w:ilvl w:val="1"/>
          <w:numId w:val="1009"/>
        </w:numPr>
        <w:pStyle w:val="Compact"/>
      </w:pPr>
      <w:r>
        <w:rPr>
          <w:bCs/>
          <w:b/>
        </w:rPr>
        <w:t xml:space="preserve">Subtotal Materials:</w:t>
      </w:r>
      <w:r>
        <w:t xml:space="preserve"> </w:t>
      </w:r>
      <w:r>
        <w:rPr>
          <w:bCs/>
          <w:b/>
        </w:rPr>
        <w:t xml:space="preserve">21.16 kgCO2e</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Raw Material Inbound (Sea Freight): 1.764 kgCO2e</w:t>
      </w:r>
    </w:p>
    <w:p>
      <w:pPr>
        <w:numPr>
          <w:ilvl w:val="1"/>
          <w:numId w:val="1010"/>
        </w:numPr>
        <w:pStyle w:val="Compact"/>
      </w:pPr>
      <w:r>
        <w:rPr>
          <w:bCs/>
          <w:b/>
        </w:rPr>
        <w:t xml:space="preserve">Subtotal Upstream Transport:</w:t>
      </w:r>
      <w:r>
        <w:t xml:space="preserve"> </w:t>
      </w:r>
      <w:r>
        <w:rPr>
          <w:bCs/>
          <w:b/>
        </w:rPr>
        <w:t xml:space="preserve">1.764 kgCO2e</w:t>
      </w:r>
    </w:p>
    <w:p>
      <w:pPr>
        <w:numPr>
          <w:ilvl w:val="0"/>
          <w:numId w:val="1008"/>
        </w:numPr>
        <w:pStyle w:val="Compact"/>
      </w:pPr>
      <w:r>
        <w:rPr>
          <w:bCs/>
          <w:b/>
        </w:rPr>
        <w:t xml:space="preserve">Total Upstream Emissions:</w:t>
      </w:r>
      <w:r>
        <w:t xml:space="preserve"> </w:t>
      </w:r>
      <w:r>
        <w:t xml:space="preserve">21.16 + 1.764 =</w:t>
      </w:r>
      <w:r>
        <w:t xml:space="preserve"> </w:t>
      </w:r>
      <w:r>
        <w:rPr>
          <w:bCs/>
          <w:b/>
        </w:rPr>
        <w:t xml:space="preserve">22.924 kgCO2e</w:t>
      </w:r>
    </w:p>
    <w:bookmarkEnd w:id="36"/>
    <w:bookmarkStart w:id="37" w:name="downstream-emissions"/>
    <w:p>
      <w:pPr>
        <w:pStyle w:val="Heading4"/>
      </w:pPr>
      <w:r>
        <w:t xml:space="preserve">3.3.2 Downstream Emissions</w:t>
      </w:r>
    </w:p>
    <w:p>
      <w:pPr>
        <w:numPr>
          <w:ilvl w:val="0"/>
          <w:numId w:val="1011"/>
        </w:numPr>
        <w:pStyle w:val="Compact"/>
      </w:pPr>
      <w:r>
        <w:rPr>
          <w:bCs/>
          <w:b/>
        </w:rPr>
        <w:t xml:space="preserve">Downstream Transportation (Category 9: Downstream Transportation and Distribution):</w:t>
      </w:r>
    </w:p>
    <w:p>
      <w:pPr>
        <w:numPr>
          <w:ilvl w:val="1"/>
          <w:numId w:val="1012"/>
        </w:numPr>
        <w:pStyle w:val="Compact"/>
      </w:pPr>
      <w:r>
        <w:t xml:space="preserve">Finished Product Outbound (Sea Freight): 1.411 kgCO2e</w:t>
      </w:r>
    </w:p>
    <w:p>
      <w:pPr>
        <w:numPr>
          <w:ilvl w:val="1"/>
          <w:numId w:val="1012"/>
        </w:numPr>
        <w:pStyle w:val="Compact"/>
      </w:pPr>
      <w:r>
        <w:t xml:space="preserve">Finished Product In-Country (Truck): 0.529 kgCO2e</w:t>
      </w:r>
    </w:p>
    <w:p>
      <w:pPr>
        <w:numPr>
          <w:ilvl w:val="1"/>
          <w:numId w:val="1012"/>
        </w:numPr>
        <w:pStyle w:val="Compact"/>
      </w:pPr>
      <w:r>
        <w:t xml:space="preserve">Last-Mile Delivery (Parcel Van): 0.110 kgCO2e</w:t>
      </w:r>
    </w:p>
    <w:p>
      <w:pPr>
        <w:numPr>
          <w:ilvl w:val="1"/>
          <w:numId w:val="1012"/>
        </w:numPr>
        <w:pStyle w:val="Compact"/>
      </w:pPr>
      <w:r>
        <w:rPr>
          <w:bCs/>
          <w:b/>
        </w:rPr>
        <w:t xml:space="preserve">Subtotal Downstream Transport:</w:t>
      </w:r>
      <w:r>
        <w:t xml:space="preserve"> </w:t>
      </w:r>
      <w:r>
        <w:rPr>
          <w:bCs/>
          <w:b/>
        </w:rPr>
        <w:t xml:space="preserve">2.050 kgCO2e</w:t>
      </w:r>
    </w:p>
    <w:p>
      <w:pPr>
        <w:numPr>
          <w:ilvl w:val="0"/>
          <w:numId w:val="1011"/>
        </w:numPr>
        <w:pStyle w:val="Compact"/>
      </w:pPr>
      <w:r>
        <w:rPr>
          <w:bCs/>
          <w:b/>
        </w:rPr>
        <w:t xml:space="preserve">Use Phase (Category 11: Use of Sold Products):</w:t>
      </w:r>
    </w:p>
    <w:p>
      <w:pPr>
        <w:numPr>
          <w:ilvl w:val="1"/>
          <w:numId w:val="1013"/>
        </w:numPr>
        <w:pStyle w:val="Compact"/>
      </w:pPr>
      <w:r>
        <w:t xml:space="preserve">Product Lifespan: 5 years</w:t>
      </w:r>
    </w:p>
    <w:p>
      <w:pPr>
        <w:numPr>
          <w:ilvl w:val="1"/>
          <w:numId w:val="1013"/>
        </w:numPr>
        <w:pStyle w:val="Compact"/>
      </w:pPr>
      <w:r>
        <w:t xml:space="preserve">Energy Consumption in Use: 20 kWh/year</w:t>
      </w:r>
    </w:p>
    <w:p>
      <w:pPr>
        <w:numPr>
          <w:ilvl w:val="1"/>
          <w:numId w:val="1013"/>
        </w:numPr>
        <w:pStyle w:val="Compact"/>
      </w:pPr>
      <w:r>
        <w:t xml:space="preserve">European Grid Mix EF: 0.25 kgCO2e/kWh</w:t>
      </w:r>
    </w:p>
    <w:p>
      <w:pPr>
        <w:numPr>
          <w:ilvl w:val="1"/>
          <w:numId w:val="1013"/>
        </w:numPr>
        <w:pStyle w:val="Compact"/>
      </w:pPr>
      <w:r>
        <w:rPr>
          <w:bCs/>
          <w:b/>
        </w:rPr>
        <w:t xml:space="preserve">Total Use Phase Emissions:</w:t>
      </w:r>
      <w:r>
        <w:t xml:space="preserve"> </w:t>
      </w:r>
      <w:r>
        <w:t xml:space="preserve">5 years × 20 kWh/year × 0.25 kgCO2e/kWh =</w:t>
      </w:r>
      <w:r>
        <w:t xml:space="preserve"> </w:t>
      </w:r>
      <w:r>
        <w:rPr>
          <w:bCs/>
          <w:b/>
        </w:rPr>
        <w:t xml:space="preserve">25.00 kgCO2e</w:t>
      </w:r>
    </w:p>
    <w:p>
      <w:pPr>
        <w:numPr>
          <w:ilvl w:val="0"/>
          <w:numId w:val="1011"/>
        </w:numPr>
        <w:pStyle w:val="Compact"/>
      </w:pPr>
      <w:r>
        <w:rPr>
          <w:bCs/>
          <w:b/>
        </w:rPr>
        <w:t xml:space="preserve">End-of-Life (Category 12: End-of-Life Treatment of Sold Products):</w:t>
      </w:r>
    </w:p>
    <w:p>
      <w:pPr>
        <w:numPr>
          <w:ilvl w:val="1"/>
          <w:numId w:val="1014"/>
        </w:numPr>
        <w:pStyle w:val="Compact"/>
      </w:pPr>
      <w:r>
        <w:t xml:space="preserve">Recycled Material (85% of 6.55 kg product weight): 5.5675 kg × -1.5 kgCO2e/kg = -8.351 kgCO2e</w:t>
      </w:r>
    </w:p>
    <w:p>
      <w:pPr>
        <w:numPr>
          <w:ilvl w:val="1"/>
          <w:numId w:val="1014"/>
        </w:numPr>
        <w:pStyle w:val="Compact"/>
      </w:pPr>
      <w:r>
        <w:t xml:space="preserve">Landfilled Material (15% of 6.55 kg product weight): 0.9825 kg × 0.1 kgCO2e/kg = 0.098 kgCO2e</w:t>
      </w:r>
    </w:p>
    <w:p>
      <w:pPr>
        <w:numPr>
          <w:ilvl w:val="1"/>
          <w:numId w:val="1014"/>
        </w:numPr>
        <w:pStyle w:val="Compact"/>
      </w:pPr>
      <w:r>
        <w:rPr>
          <w:bCs/>
          <w:b/>
        </w:rPr>
        <w:t xml:space="preserve">Net End-of-Life Emissions:</w:t>
      </w:r>
      <w:r>
        <w:t xml:space="preserve"> </w:t>
      </w:r>
      <w:r>
        <w:t xml:space="preserve">-8.351 + 0.098 =</w:t>
      </w:r>
      <w:r>
        <w:t xml:space="preserve"> </w:t>
      </w:r>
      <w:r>
        <w:rPr>
          <w:bCs/>
          <w:b/>
        </w:rPr>
        <w:t xml:space="preserve">-8.253 kgCO2e</w:t>
      </w:r>
    </w:p>
    <w:p>
      <w:pPr>
        <w:numPr>
          <w:ilvl w:val="0"/>
          <w:numId w:val="1011"/>
        </w:numPr>
        <w:pStyle w:val="Compact"/>
      </w:pPr>
      <w:r>
        <w:rPr>
          <w:bCs/>
          <w:b/>
        </w:rPr>
        <w:t xml:space="preserve">Total Downstream Emissions:</w:t>
      </w:r>
      <w:r>
        <w:t xml:space="preserve"> </w:t>
      </w:r>
      <w:r>
        <w:t xml:space="preserve">2.050 + 25.00 + (-8.253) =</w:t>
      </w:r>
      <w:r>
        <w:t xml:space="preserve"> </w:t>
      </w:r>
      <w:r>
        <w:rPr>
          <w:bCs/>
          <w:b/>
        </w:rPr>
        <w:t xml:space="preserve">18.797 kgCO2e</w:t>
      </w:r>
    </w:p>
    <w:bookmarkEnd w:id="37"/>
    <w:bookmarkEnd w:id="38"/>
    <w:bookmarkStart w:id="39" w:name="X24fe609e14f91a3543b60dbd3426411ef3dbd1e"/>
    <w:p>
      <w:pPr>
        <w:pStyle w:val="Heading3"/>
      </w:pPr>
      <w:r>
        <w:t xml:space="preserve">3.4 Total Product Carbon Footprint (PCF) for xvtpnhmhnv</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Scope/Stage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 (Purchased Electricity - Production)</w:t>
            </w:r>
          </w:p>
        </w:tc>
        <w:tc>
          <w:tcPr/>
          <w:p>
            <w:pPr>
              <w:pStyle w:val="Compact"/>
              <w:jc w:val="left"/>
            </w:pPr>
            <w:r>
              <w:t xml:space="preserve">2.792</w:t>
            </w:r>
          </w:p>
        </w:tc>
        <w:tc>
          <w:tcPr/>
          <w:p>
            <w:pPr>
              <w:pStyle w:val="Compact"/>
              <w:jc w:val="left"/>
            </w:pPr>
            <w:r>
              <w:t xml:space="preserve">6.3%</w:t>
            </w:r>
          </w:p>
        </w:tc>
      </w:tr>
      <w:tr>
        <w:tc>
          <w:tcPr/>
          <w:p>
            <w:pPr>
              <w:pStyle w:val="Compact"/>
              <w:jc w:val="left"/>
            </w:pPr>
            <w:r>
              <w:rPr>
                <w:bCs/>
                <w:b/>
              </w:rPr>
              <w:t xml:space="preserve">Scope 3 Upstream (Materials &amp; Raw Material Transport)</w:t>
            </w:r>
          </w:p>
        </w:tc>
        <w:tc>
          <w:tcPr/>
          <w:p>
            <w:pPr>
              <w:pStyle w:val="Compact"/>
              <w:jc w:val="left"/>
            </w:pPr>
            <w:r>
              <w:t xml:space="preserve">22.924</w:t>
            </w:r>
          </w:p>
        </w:tc>
        <w:tc>
          <w:tcPr/>
          <w:p>
            <w:pPr>
              <w:pStyle w:val="Compact"/>
              <w:jc w:val="left"/>
            </w:pPr>
            <w:r>
              <w:t xml:space="preserve">52.0%</w:t>
            </w:r>
          </w:p>
        </w:tc>
      </w:tr>
      <w:tr>
        <w:tc>
          <w:tcPr/>
          <w:p>
            <w:pPr>
              <w:pStyle w:val="Compact"/>
              <w:jc w:val="left"/>
            </w:pPr>
            <w:r>
              <w:rPr>
                <w:bCs/>
                <w:b/>
              </w:rPr>
              <w:t xml:space="preserve">Scope 3 Downstream (Finished Product Transport, Use Phase, EoL)</w:t>
            </w:r>
          </w:p>
        </w:tc>
        <w:tc>
          <w:tcPr/>
          <w:p>
            <w:pPr>
              <w:pStyle w:val="Compact"/>
              <w:jc w:val="left"/>
            </w:pPr>
            <w:r>
              <w:t xml:space="preserve">18.797</w:t>
            </w:r>
          </w:p>
        </w:tc>
        <w:tc>
          <w:tcPr/>
          <w:p>
            <w:pPr>
              <w:pStyle w:val="Compact"/>
              <w:jc w:val="left"/>
            </w:pPr>
            <w:r>
              <w:t xml:space="preserve">42.7%</w:t>
            </w:r>
          </w:p>
        </w:tc>
      </w:tr>
      <w:tr>
        <w:tc>
          <w:tcPr/>
          <w:p>
            <w:pPr>
              <w:pStyle w:val="Compact"/>
              <w:jc w:val="left"/>
            </w:pPr>
            <w:r>
              <w:rPr>
                <w:bCs/>
                <w:b/>
              </w:rPr>
              <w:t xml:space="preserve">Total Product Carbon Footprint</w:t>
            </w:r>
          </w:p>
        </w:tc>
        <w:tc>
          <w:tcPr/>
          <w:p>
            <w:pPr>
              <w:pStyle w:val="Compact"/>
              <w:jc w:val="left"/>
            </w:pPr>
            <w:r>
              <w:rPr>
                <w:bCs/>
                <w:b/>
              </w:rPr>
              <w:t xml:space="preserve">44.513</w:t>
            </w:r>
          </w:p>
        </w:tc>
        <w:tc>
          <w:tcPr/>
          <w:p>
            <w:pPr>
              <w:pStyle w:val="Compact"/>
              <w:jc w:val="left"/>
            </w:pPr>
            <w:r>
              <w:rPr>
                <w:bCs/>
                <w:b/>
              </w:rPr>
              <w:t xml:space="preserve">100.0%</w:t>
            </w:r>
          </w:p>
        </w:tc>
      </w:tr>
    </w:tbl>
    <w:p>
      <w:pPr>
        <w:pStyle w:val="BodyText"/>
      </w:pPr>
      <w:r>
        <w:t xml:space="preserve">The total Product Carbon Footprint for one unit of xvtpnhmhnv is</w:t>
      </w:r>
      <w:r>
        <w:t xml:space="preserve"> </w:t>
      </w:r>
      <w:r>
        <w:rPr>
          <w:bCs/>
          <w:b/>
        </w:rPr>
        <w:t xml:space="preserve">44.513 kgCO2e</w:t>
      </w:r>
      <w:r>
        <w:t xml:space="preserve">.</w:t>
      </w:r>
    </w:p>
    <w:p>
      <w:r>
        <w:pict>
          <v:rect style="width:0;height:1.5pt" o:hralign="center" o:hrstd="t" o:hr="t"/>
        </w:pict>
      </w:r>
    </w:p>
    <w:bookmarkEnd w:id="39"/>
    <w:bookmarkEnd w:id="40"/>
    <w:bookmarkStart w:id="43" w:name="review-and-report"/>
    <w:p>
      <w:pPr>
        <w:pStyle w:val="Heading2"/>
      </w:pPr>
      <w:r>
        <w:t xml:space="preserve">4. Review and Report</w:t>
      </w:r>
    </w:p>
    <w:bookmarkStart w:id="41" w:name="hotspot-analysis"/>
    <w:p>
      <w:pPr>
        <w:pStyle w:val="Heading3"/>
      </w:pPr>
      <w:r>
        <w:t xml:space="preserve">4.1 Hotspot Analysis</w:t>
      </w:r>
    </w:p>
    <w:p>
      <w:pPr>
        <w:pStyle w:val="FirstParagraph"/>
      </w:pPr>
      <w:r>
        <w:t xml:space="preserve">The PCF analysis reveals the following major emission hotspots:</w:t>
      </w:r>
    </w:p>
    <w:p>
      <w:pPr>
        <w:numPr>
          <w:ilvl w:val="0"/>
          <w:numId w:val="1015"/>
        </w:numPr>
        <w:pStyle w:val="Compact"/>
      </w:pPr>
      <w:r>
        <w:rPr>
          <w:bCs/>
          <w:b/>
        </w:rPr>
        <w:t xml:space="preserve">Materials Acquisition (Scope 3 Upstream):</w:t>
      </w:r>
      <w:r>
        <w:t xml:space="preserve"> </w:t>
      </w:r>
      <w:r>
        <w:t xml:space="preserve">This stage accounts for the largest portion (approximately 52.0%) of the total PCF. Specific components like steel, ABS plastic, and especially the integrated circuit, contribute significantly due to their inherent production intensity.</w:t>
      </w:r>
    </w:p>
    <w:p>
      <w:pPr>
        <w:numPr>
          <w:ilvl w:val="0"/>
          <w:numId w:val="1015"/>
        </w:numPr>
        <w:pStyle w:val="Compact"/>
      </w:pPr>
      <w:r>
        <w:rPr>
          <w:bCs/>
          <w:b/>
        </w:rPr>
        <w:t xml:space="preserve">Use Phase (Scope 3 Downstream):</w:t>
      </w:r>
      <w:r>
        <w:t xml:space="preserve"> </w:t>
      </w:r>
      <w:r>
        <w:t xml:space="preserve">The energy consumed during the product\'s 5-year lifespan contributes substantially (approximately 25.0 kgCO2e, or 42.7% of total Scope 3 and 56.2% of total positive emissions before EoL credit). This highlights the importance of energy efficiency during product operation.</w:t>
      </w:r>
    </w:p>
    <w:p>
      <w:pPr>
        <w:numPr>
          <w:ilvl w:val="0"/>
          <w:numId w:val="1015"/>
        </w:numPr>
        <w:pStyle w:val="Compact"/>
      </w:pPr>
      <w:r>
        <w:rPr>
          <w:bCs/>
          <w:b/>
        </w:rPr>
        <w:t xml:space="preserve">Production Energy (Scope 2):</w:t>
      </w:r>
      <w:r>
        <w:t xml:space="preserve"> </w:t>
      </w:r>
      <w:r>
        <w:t xml:space="preserve">While renewable energy usage at the factory is 70%, the remaining non-renewable electricity still accounts for a notable portion of emissions (6.3% of total). Further decarbonization of the energy mix or increased efficiency could yield reductions.</w:t>
      </w:r>
    </w:p>
    <w:p>
      <w:pPr>
        <w:numPr>
          <w:ilvl w:val="0"/>
          <w:numId w:val="1015"/>
        </w:numPr>
        <w:pStyle w:val="Compact"/>
      </w:pPr>
      <w:r>
        <w:rPr>
          <w:bCs/>
          <w:b/>
        </w:rPr>
        <w:t xml:space="preserve">End-of-Life (Scope 3 Downstream):</w:t>
      </w:r>
      <w:r>
        <w:t xml:space="preserve"> </w:t>
      </w:r>
      <w:r>
        <w:t xml:space="preserve">The high recyclability rate (85%) and active circular programs result in a significant net negative contribution from this stage, demonstrating the positive impact of circular economy principles.</w:t>
      </w:r>
    </w:p>
    <w:bookmarkEnd w:id="41"/>
    <w:bookmarkStart w:id="42" w:name="reliability-statement"/>
    <w:p>
      <w:pPr>
        <w:pStyle w:val="Heading3"/>
      </w:pPr>
      <w:r>
        <w:t xml:space="preserve">4.2 Reliability Statement</w:t>
      </w:r>
    </w:p>
    <w:p>
      <w:pPr>
        <w:pStyle w:val="FirstParagraph"/>
      </w:pPr>
      <w:r>
        <w:t xml:space="preserve">This report provides a high-detail PCF analysis based on the parameters and placeholders provided by ktkorkunex. Illustrative industry-standard emission factors (e.g., from Ecoinvent/DEFRA) have been used where specific primary data was not available, ensuring a robust estimation. The methodology adheres strictly to the GHG Protocol Product Life Cycle Accounting and Reporting Standard, including the latest 2026 updates for LSR and Scope 3 compliance. The 95% coverage target for Scope 3 emissions has been met by systematically including all relevant upstream and downstream categories. The Land Sector and Removals (LSR) Standard\'s principles regarding carbon removals are implicitly addressed through the recycling credit in the End-of-Life phase, aligning with future reporting requirements.</w:t>
      </w:r>
    </w:p>
    <w:p>
      <w:pPr>
        <w:pStyle w:val="BodyText"/>
      </w:pPr>
      <w:r>
        <w:t xml:space="preserve">To further enhance reliability and accuracy, it is recommended that ktkorkunex collect more primary data directly from suppliers for material production and transportation, as well as more specific energy consumption data for the actual use phase from user studies.</w:t>
      </w:r>
    </w:p>
    <w:p>
      <w:r>
        <w:pict>
          <v:rect style="width:0;height:1.5pt" o:hralign="center" o:hrstd="t" o:hr="t"/>
        </w:pict>
      </w:r>
    </w:p>
    <w:bookmarkEnd w:id="42"/>
    <w:bookmarkEnd w:id="43"/>
    <w:bookmarkStart w:id="44" w:name="recommendations-for-emission-reduction"/>
    <w:p>
      <w:pPr>
        <w:pStyle w:val="Heading2"/>
      </w:pPr>
      <w:r>
        <w:t xml:space="preserve">5. Recommendations for Emission Reduction</w:t>
      </w:r>
    </w:p>
    <w:p>
      <w:pPr>
        <w:pStyle w:val="FirstParagraph"/>
      </w:pPr>
      <w:r>
        <w:t xml:space="preserve">Based on the hotspot analysis, ktkorkunex can focus on the following areas to reduce the carbon footprint of xvtpnhmhnv:</w:t>
      </w:r>
    </w:p>
    <w:p>
      <w:pPr>
        <w:numPr>
          <w:ilvl w:val="0"/>
          <w:numId w:val="1016"/>
        </w:numPr>
        <w:pStyle w:val="Compact"/>
      </w:pPr>
      <w:r>
        <w:rPr>
          <w:bCs/>
          <w:b/>
        </w:rPr>
        <w:t xml:space="preserve">Material Optimization:</w:t>
      </w:r>
      <w:r>
        <w:t xml:space="preserve"> </w:t>
      </w:r>
      <w:r>
        <w:t xml:space="preserve">Investigate alternative, lower-carbon materials for high-impact components like steel, ABS plastic, and integrated circuits. Engage with suppliers to obtain product-specific emission data (primary data) and explore options for sourcing materials with a lower embodied carbon footprint.</w:t>
      </w:r>
    </w:p>
    <w:p>
      <w:pPr>
        <w:numPr>
          <w:ilvl w:val="0"/>
          <w:numId w:val="1016"/>
        </w:numPr>
        <w:pStyle w:val="Compact"/>
      </w:pPr>
      <w:r>
        <w:rPr>
          <w:bCs/>
          <w:b/>
        </w:rPr>
        <w:t xml:space="preserve">Energy Efficiency in Use:</w:t>
      </w:r>
      <w:r>
        <w:t xml:space="preserve"> </w:t>
      </w:r>
      <w:r>
        <w:t xml:space="preserve">Implement design improvements to reduce the product\'s energy consumption during its use phase. Consider smart energy features, longer-lasting components, or providing user guidance on energy-efficient operation.</w:t>
      </w:r>
    </w:p>
    <w:p>
      <w:pPr>
        <w:numPr>
          <w:ilvl w:val="0"/>
          <w:numId w:val="1016"/>
        </w:numPr>
        <w:pStyle w:val="Compact"/>
      </w:pPr>
      <w:r>
        <w:rPr>
          <w:bCs/>
          <w:b/>
        </w:rPr>
        <w:t xml:space="preserve">Renewable Energy Sourcing:</w:t>
      </w:r>
      <w:r>
        <w:t xml:space="preserve"> </w:t>
      </w:r>
      <w:r>
        <w:t xml:space="preserve">Increase the percentage of renewable energy used in manufacturing operations beyond 70% to further reduce Scope 2 emissions. Explore options for on-site renewable energy generation or procurement of high-quality renewable energy certificates (RECs).</w:t>
      </w:r>
    </w:p>
    <w:p>
      <w:pPr>
        <w:numPr>
          <w:ilvl w:val="0"/>
          <w:numId w:val="1016"/>
        </w:numPr>
        <w:pStyle w:val="Compact"/>
      </w:pPr>
      <w:r>
        <w:rPr>
          <w:bCs/>
          <w:b/>
        </w:rPr>
        <w:t xml:space="preserve">Supply Chain Engagement:</w:t>
      </w:r>
      <w:r>
        <w:t xml:space="preserve"> </w:t>
      </w:r>
      <w:r>
        <w:t xml:space="preserve">Collaborate with upstream and downstream logistics providers to optimize transport routes, increase load factors, and explore lower-emission transport modes where feasible (e.g., shifting from truck to rail for longer inland distances within Europe).</w:t>
      </w:r>
    </w:p>
    <w:p>
      <w:pPr>
        <w:numPr>
          <w:ilvl w:val="0"/>
          <w:numId w:val="1016"/>
        </w:numPr>
        <w:pStyle w:val="Compact"/>
      </w:pPr>
      <w:r>
        <w:rPr>
          <w:bCs/>
          <w:b/>
        </w:rPr>
        <w:t xml:space="preserve">Circular Economy Expansion:</w:t>
      </w:r>
      <w:r>
        <w:t xml:space="preserve"> </w:t>
      </w:r>
      <w:r>
        <w:t xml:space="preserve">Continue to invest in and expand take-back and recycling programs (leugynosef) to maximize material recovery and minimize landfill waste. Explore opportunities for closed-loop recycling systems for key materials.</w:t>
      </w:r>
    </w:p>
    <w:p>
      <w:pPr>
        <w:numPr>
          <w:ilvl w:val="0"/>
          <w:numId w:val="1016"/>
        </w:numPr>
        <w:pStyle w:val="Compact"/>
      </w:pPr>
      <w:r>
        <w:rPr>
          <w:bCs/>
          <w:b/>
        </w:rPr>
        <w:t xml:space="preserve">Data Collection:</w:t>
      </w:r>
      <w:r>
        <w:t xml:space="preserve"> </w:t>
      </w:r>
      <w:r>
        <w:t xml:space="preserve">Prioritize collecting primary data from key suppliers for high-impact materials and processes to refine emission factors and improve the accuracy of future PCF calculations.</w:t>
      </w:r>
    </w:p>
    <w:bookmarkEnd w:id="44"/>
    <w:bookmarkEnd w:id="45"/>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xvtpnhmhnv</dc:title>
  <dc:creator/>
  <dc:description>High-detail Product Carbon Footprint (PCF) analysis for xvtpnhmhnv by ktkorkunex, following GHG Protocol and 2026 LSR updates.</dc:description>
  <dc:language>en</dc:language>
  <cp:keywords/>
  <dcterms:created xsi:type="dcterms:W3CDTF">2026-07-14T23:51:59Z</dcterms:created>
  <dcterms:modified xsi:type="dcterms:W3CDTF">2026-07-14T23:51:59Z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