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xvtpnhmhnv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xvtpnhmhnv</w:t>
      </w:r>
    </w:p>
    <w:p>
      <w:pPr>
        <w:pStyle w:val="BodyText"/>
      </w:pPr>
      <w:r>
        <w:rPr>
          <w:bCs/>
          <w:b/>
        </w:rPr>
        <w:t xml:space="preserve">Company Name:</w:t>
      </w:r>
      <w:r>
        <w:t xml:space="preserve"> </w:t>
      </w:r>
      <w:r>
        <w:t xml:space="preserve">ktkorkunex</w:t>
      </w:r>
    </w:p>
    <w:p>
      <w:pPr>
        <w:pStyle w:val="BodyText"/>
      </w:pPr>
      <w:r>
        <w:rPr>
          <w:bCs/>
          <w:b/>
        </w:rPr>
        <w:t xml:space="preserve">Senior Sustainability Consultant:</w:t>
      </w:r>
      <w:r>
        <w:t xml:space="preserve"> </w:t>
      </w:r>
      <w:r>
        <w:t xml:space="preserve">vjpihimjvs</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The calculations provided are illustrative, using plausible emission factors and data assumptions where specific primary data for all parameters were not supplied, as indicated by placeholder values in the original request. While every effort has been made to ensure accuracy and adherence to the GHG Protocol, results should be used for informational purposes and may require further refinement with company-specific primary data for definitive reporting.</w:t>
      </w:r>
    </w:p>
    <w:bookmarkEnd w:id="20"/>
    <w:p>
      <w:pPr>
        <w:pStyle w:val="BodyText"/>
      </w:pPr>
      <w:r>
        <w:t xml:space="preserve">Product Carbon Footprint Report - xvtpnhmhnv | Generated Date: May 20, 2026</w:t>
      </w:r>
    </w:p>
    <w:bookmarkStart w:id="45" w:name="executive-summary"/>
    <w:p>
      <w:pPr>
        <w:pStyle w:val="Heading1"/>
      </w:pPr>
      <w:r>
        <w:t xml:space="preserve">Executive Summary</w:t>
      </w:r>
    </w:p>
    <w:p>
      <w:pPr>
        <w:pStyle w:val="FirstParagraph"/>
      </w:pPr>
      <w:r>
        <w:t xml:space="preserve">This report presents a high-detail Product Carbon Footprint (PCF) analysis for the product xvtpnhmhnv, manufactured by ktkorkunex. The analysis was conducted by vjpihimjvs, a Senior Sustainability Consultant specializing in GHG Protocol, to quantify the greenhouse gas (GHG) emissions associated with the product\'s lifecycle. Adhering strictly to the GHG Protocol Product Life Cycle Accounting and Reporting Standard, this study provides an inventory of emissions from raw material acquisition, manufacturing, transportation, use, and end-of-life stages. Key updates from the 2026 Land Sector and Removals (LSR) Standard and stringent Scope 3 compliance requirements have been incorporated. The functional unit for this analysis is 1.0 unit of xvtpnhmhnv, with a system boundary set at \'factory_gate\' for primary manufacturing, extended to \'cradle-to-grave\' for a comprehensive view, and a geographic scope focusing on China for final production and Europe for supply chain focus.</w:t>
      </w:r>
    </w:p>
    <w:p>
      <w:pPr>
        <w:pStyle w:val="BodyText"/>
      </w:pPr>
      <w:r>
        <w:t xml:space="preserve">The analysis identifies key emission hotspots across the product\'s lifecycle, providing ktkorkunex with actionable insights for emission reduction strategies and enhanced sustainability performance.</w:t>
      </w:r>
    </w:p>
    <w:p>
      <w:r>
        <w:pict>
          <v:rect style="width:0;height:1.5pt" o:hralign="center" o:hrstd="t" o:hr="t"/>
        </w:pict>
      </w:r>
    </w:p>
    <w:bookmarkStart w:id="27" w:name="scope-definition-and-boundaries"/>
    <w:p>
      <w:pPr>
        <w:pStyle w:val="Heading2"/>
      </w:pPr>
      <w:r>
        <w:t xml:space="preserve">1. Scope Definition and Boundaries</w:t>
      </w:r>
    </w:p>
    <w:bookmarkStart w:id="21" w:name="functional-unit"/>
    <w:p>
      <w:pPr>
        <w:pStyle w:val="Heading3"/>
      </w:pPr>
      <w:r>
        <w:t xml:space="preserve">1.1 Functional Unit</w:t>
      </w:r>
    </w:p>
    <w:p>
      <w:pPr>
        <w:pStyle w:val="FirstParagraph"/>
      </w:pPr>
      <w:r>
        <w:t xml:space="preserve">The functional unit is defined as</w:t>
      </w:r>
      <w:r>
        <w:t xml:space="preserve"> </w:t>
      </w:r>
      <w:r>
        <w:rPr>
          <w:bCs/>
          <w:b/>
        </w:rPr>
        <w:t xml:space="preserve">1.0 unit</w:t>
      </w:r>
      <w:r>
        <w:t xml:space="preserve"> </w:t>
      </w:r>
      <w:r>
        <w:t xml:space="preserve">of xvtpnhmhnv. This represents the quantified performance of the studied product, serving as the basis for all calculations and comparisons within this PCF analysis.</w:t>
      </w:r>
    </w:p>
    <w:bookmarkEnd w:id="21"/>
    <w:bookmarkStart w:id="22" w:name="system-boundary"/>
    <w:p>
      <w:pPr>
        <w:pStyle w:val="Heading3"/>
      </w:pPr>
      <w:r>
        <w:t xml:space="preserve">1.2 System Boundary</w:t>
      </w:r>
    </w:p>
    <w:p>
      <w:pPr>
        <w:pStyle w:val="FirstParagraph"/>
      </w:pPr>
      <w:r>
        <w:t xml:space="preserve">The primary system boundary for the manufacturing phase is \'factory_gate\', encompassing all processes from raw material extraction (cradle) up to the point where the product leaves the ktkorkunex factory. For a comprehensive Product Carbon Footprint, the analysis has been extended to a \'cradle-to-grave\' approach, including downstream stages such as transportation to the customer, the use phase, and the end-of-life treatment of the product.</w:t>
      </w:r>
    </w:p>
    <w:bookmarkEnd w:id="22"/>
    <w:bookmarkStart w:id="23"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distribution to market)</w:t>
      </w:r>
    </w:p>
    <w:bookmarkEnd w:id="23"/>
    <w:bookmarkStart w:id="24" w:name="allocation"/>
    <w:p>
      <w:pPr>
        <w:pStyle w:val="Heading3"/>
      </w:pPr>
      <w:r>
        <w:t xml:space="preserve">1.4 Allocation</w:t>
      </w:r>
    </w:p>
    <w:p>
      <w:pPr>
        <w:pStyle w:val="FirstParagraph"/>
      </w:pPr>
      <w:r>
        <w:t xml:space="preserve">Emissions have been allocated to the product xvtpnhmhnv based on mass and energy consumption attributable to its production and lifecycle stages. Where processes serve multiple products, standard allocation methods, such as mass-based allocation for shared transport or energy-based allocation for shared utilities, have been applied in alignment with GHG Protocol guidance.</w:t>
      </w:r>
    </w:p>
    <w:bookmarkEnd w:id="24"/>
    <w:bookmarkStart w:id="25"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 Product Life Cycle Accounting and Reporting Standard</w:t>
      </w:r>
      <w:r>
        <w:t xml:space="preserve">. This standard provides requirements and guidance for quantifying and publicly reporting GHG emissions and removals associated with a specific product.</w:t>
      </w:r>
    </w:p>
    <w:bookmarkEnd w:id="25"/>
    <w:bookmarkStart w:id="26" w:name="ghg-protocol-scopes-and-2026-updates"/>
    <w:p>
      <w:pPr>
        <w:pStyle w:val="Heading3"/>
      </w:pPr>
      <w:r>
        <w:t xml:space="preserve">1.6 GHG Protocol Scopes and 2026 Updates</w:t>
      </w:r>
    </w:p>
    <w:p>
      <w:pPr>
        <w:pStyle w:val="FirstParagraph"/>
      </w:pPr>
      <w:r>
        <w:t xml:space="preserve">Emissions are categorized into three scopes as defined by the GHG Protocol:</w:t>
      </w:r>
    </w:p>
    <w:p>
      <w:pPr>
        <w:numPr>
          <w:ilvl w:val="0"/>
          <w:numId w:val="1002"/>
        </w:numPr>
        <w:pStyle w:val="Compact"/>
      </w:pPr>
      <w:r>
        <w:rPr>
          <w:bCs/>
          <w:b/>
        </w:rPr>
        <w:t xml:space="preserve">Scope 1:</w:t>
      </w:r>
      <w:r>
        <w:t xml:space="preserve"> </w:t>
      </w:r>
      <w:r>
        <w:t xml:space="preserve">Direct GHG emissions from sources owned or controlled by ktkorkunex. For this product-level analysis, direct operational emissions at the factory gate are considered.</w:t>
      </w:r>
    </w:p>
    <w:p>
      <w:pPr>
        <w:numPr>
          <w:ilvl w:val="0"/>
          <w:numId w:val="1002"/>
        </w:numPr>
        <w:pStyle w:val="Compact"/>
      </w:pPr>
      <w:r>
        <w:rPr>
          <w:bCs/>
          <w:b/>
        </w:rPr>
        <w:t xml:space="preserve">Scope 2:</w:t>
      </w:r>
      <w:r>
        <w:t xml:space="preserve"> </w:t>
      </w:r>
      <w:r>
        <w:t xml:space="preserve">Indirect GHG emissions from the consumption of purchased electricity, heat, or steam.</w:t>
      </w:r>
    </w:p>
    <w:p>
      <w:pPr>
        <w:numPr>
          <w:ilvl w:val="0"/>
          <w:numId w:val="1002"/>
        </w:numPr>
        <w:pStyle w:val="Compact"/>
      </w:pPr>
      <w:r>
        <w:rPr>
          <w:bCs/>
          <w:b/>
        </w:rPr>
        <w:t xml:space="preserve">Scope 3:</w:t>
      </w:r>
      <w:r>
        <w:t xml:space="preserve"> </w:t>
      </w:r>
      <w:r>
        <w:t xml:space="preserve">All other indirect emissions occurring in the value chain, both upstream (e.g., purchased goods and services, upstream transportation) and downstream (e.g., use of sold products, end-of-life treatment of sold products).</w:t>
      </w:r>
    </w:p>
    <w:p>
      <w:pPr>
        <w:numPr>
          <w:ilvl w:val="1"/>
          <w:numId w:val="1003"/>
        </w:numPr>
        <w:pStyle w:val="Compact"/>
      </w:pPr>
      <w:r>
        <w:rPr>
          <w:bCs/>
          <w:b/>
        </w:rPr>
        <w:t xml:space="preserve">2026 LSR Update:</w:t>
      </w:r>
      <w:r>
        <w:t xml:space="preserve"> </w:t>
      </w:r>
      <w:r>
        <w:t xml:space="preserve">The Land Sector and Removals (LSR) Standard, effective January 1, 2027, has been considered. This standard provides accounting requirements for land emissions, CO₂ removals, and other key metrics, as well as technological CO₂ removals. While specific guidance is expected in Q2 2026, its principles for carbon removals via circularity (e.g., recycling credits) are integrated into the End-of-Life calculations.</w:t>
      </w:r>
    </w:p>
    <w:p>
      <w:pPr>
        <w:numPr>
          <w:ilvl w:val="1"/>
          <w:numId w:val="1003"/>
        </w:numPr>
        <w:pStyle w:val="Compact"/>
      </w:pPr>
      <w:r>
        <w:rPr>
          <w:bCs/>
          <w:b/>
        </w:rPr>
        <w:t xml:space="preserve">2026 Scope 3 Compliance:</w:t>
      </w:r>
      <w:r>
        <w:t xml:space="preserve"> </w:t>
      </w:r>
      <w:r>
        <w:t xml:space="preserve">As per the March 2026 progress update on the Scope 3 Standard revisions, this report ensures at least 95% coverage of required Scope 3 emissions. Exclusions, if any, are quantified, disclosed, and justified, not exceeding the 5% cap.</w:t>
      </w:r>
    </w:p>
    <w:p>
      <w:r>
        <w:pict>
          <v:rect style="width:0;height:1.5pt" o:hralign="center" o:hrstd="t" o:hr="t"/>
        </w:pict>
      </w:r>
    </w:p>
    <w:bookmarkEnd w:id="26"/>
    <w:bookmarkEnd w:id="27"/>
    <w:bookmarkStart w:id="33" w:name="lifecycle-mapping-and-data-collection"/>
    <w:p>
      <w:pPr>
        <w:pStyle w:val="Heading2"/>
      </w:pPr>
      <w:r>
        <w:t xml:space="preserve">2. Lifecycle Mapping and Data Collection</w:t>
      </w:r>
    </w:p>
    <w:p>
      <w:pPr>
        <w:pStyle w:val="FirstParagraph"/>
      </w:pPr>
      <w:r>
        <w:t xml:space="preserve">The lifecycle of xvtpnhmhnv has been mapped into distinct stages, and data has been collected (illustrative primary and secondary data) for each. Emission factors from industry-standard databases such as Ecoinvent and DEFRA have been applied where specific data was not provided.</w:t>
      </w:r>
    </w:p>
    <w:bookmarkStart w:id="28" w:name="Xc19a74e080dd6159e2750ef1b2d48cf85f27a54"/>
    <w:p>
      <w:pPr>
        <w:pStyle w:val="Heading3"/>
      </w:pPr>
      <w:r>
        <w:t xml:space="preserve">2.1 Bill of Materials (BOM) Analysis - Upstream Emissions (Scope 3, Category 1: Purchased Goods and Services)</w:t>
      </w:r>
    </w:p>
    <w:p>
      <w:pPr>
        <w:pStyle w:val="FirstParagraph"/>
      </w:pPr>
      <w:r>
        <w:t xml:space="preserve">The detailed Bill of Materials (BOM) (yrvkmuwv) for xvtpnhmhnv is used to calculate the material-specific carbon impact. The following table provides illustrative data based on the specified format and plausible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Steel (Component A)</w:t>
            </w:r>
          </w:p>
        </w:tc>
        <w:tc>
          <w:tcPr/>
          <w:p>
            <w:pPr>
              <w:pStyle w:val="Compact"/>
              <w:jc w:val="left"/>
            </w:pPr>
            <w:r>
              <w:t xml:space="preserve">Metals</w:t>
            </w:r>
          </w:p>
        </w:tc>
        <w:tc>
          <w:tcPr/>
          <w:p>
            <w:pPr>
              <w:pStyle w:val="Compact"/>
              <w:jc w:val="left"/>
            </w:pPr>
            <w:r>
              <w:t xml:space="preserve">Steel Production (Electric Arc Furnace)</w:t>
            </w:r>
          </w:p>
        </w:tc>
        <w:tc>
          <w:tcPr/>
          <w:p>
            <w:pPr>
              <w:pStyle w:val="Compact"/>
              <w:jc w:val="left"/>
            </w:pPr>
            <w:r>
              <w:t xml:space="preserve">5.00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Polymerization &amp; Molding</w:t>
            </w:r>
          </w:p>
        </w:tc>
        <w:tc>
          <w:tcPr/>
          <w:p>
            <w:pPr>
              <w:pStyle w:val="Compact"/>
              <w:jc w:val="left"/>
            </w:pPr>
            <w:r>
              <w:t xml:space="preserve">1.20</w:t>
            </w:r>
          </w:p>
        </w:tc>
        <w:tc>
          <w:tcPr/>
          <w:p>
            <w:pPr>
              <w:pStyle w:val="Compact"/>
              <w:jc w:val="left"/>
            </w:pPr>
            <w:r>
              <w:t xml:space="preserve">kg</w:t>
            </w:r>
          </w:p>
        </w:tc>
        <w:tc>
          <w:tcPr/>
          <w:p>
            <w:pPr>
              <w:pStyle w:val="Compact"/>
              <w:jc w:val="left"/>
            </w:pPr>
            <w:r>
              <w:t xml:space="preserve">3.80</w:t>
            </w:r>
          </w:p>
        </w:tc>
        <w:tc>
          <w:tcPr/>
          <w:p>
            <w:pPr>
              <w:pStyle w:val="Compact"/>
              <w:jc w:val="left"/>
            </w:pPr>
            <w:r>
              <w:t xml:space="preserve">4.56</w:t>
            </w:r>
          </w:p>
        </w:tc>
      </w:tr>
      <w:tr>
        <w:tc>
          <w:tcPr/>
          <w:p>
            <w:pPr>
              <w:pStyle w:val="Compact"/>
              <w:jc w:val="left"/>
            </w:pPr>
            <w:r>
              <w:t xml:space="preserve">M003</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Copper Extrusion &amp; Drawing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4.00</w:t>
            </w:r>
          </w:p>
        </w:tc>
        <w:tc>
          <w:tcPr/>
          <w:p>
            <w:pPr>
              <w:pStyle w:val="Compact"/>
              <w:jc w:val="left"/>
            </w:pPr>
            <w:r>
              <w:t xml:space="preserve">1.20</w:t>
            </w:r>
          </w:p>
        </w:tc>
      </w:tr>
      <w:tr>
        <w:tc>
          <w:tcPr/>
          <w:p>
            <w:pPr>
              <w:pStyle w:val="Compact"/>
              <w:jc w:val="left"/>
            </w:pPr>
            <w:r>
              <w:t xml:space="preserve">M004</w:t>
            </w:r>
          </w:p>
        </w:tc>
        <w:tc>
          <w:tcPr/>
          <w:p>
            <w:pPr>
              <w:pStyle w:val="Compact"/>
              <w:jc w:val="left"/>
            </w:pPr>
            <w:r>
              <w:t xml:space="preserve">Integrated Circuit (Logic)</w:t>
            </w:r>
          </w:p>
        </w:tc>
        <w:tc>
          <w:tcPr/>
          <w:p>
            <w:pPr>
              <w:pStyle w:val="Compact"/>
              <w:jc w:val="left"/>
            </w:pPr>
            <w:r>
              <w:t xml:space="preserve">Electronics</w:t>
            </w:r>
          </w:p>
        </w:tc>
        <w:tc>
          <w:tcPr/>
          <w:p>
            <w:pPr>
              <w:pStyle w:val="Compact"/>
              <w:jc w:val="left"/>
            </w:pPr>
            <w:r>
              <w:t xml:space="preserve">Semiconductor Manufacturing &amp;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Cardboard Packaging</w:t>
            </w:r>
          </w:p>
        </w:tc>
        <w:tc>
          <w:tcPr/>
          <w:p>
            <w:pPr>
              <w:pStyle w:val="Compact"/>
              <w:jc w:val="left"/>
            </w:pPr>
            <w:r>
              <w:t xml:space="preserve">Paper &amp; Board</w:t>
            </w:r>
          </w:p>
        </w:tc>
        <w:tc>
          <w:tcPr/>
          <w:p>
            <w:pPr>
              <w:pStyle w:val="Compact"/>
              <w:jc w:val="left"/>
            </w:pPr>
            <w:r>
              <w:t xml:space="preserve">Corrugated Board Production</w:t>
            </w:r>
          </w:p>
        </w:tc>
        <w:tc>
          <w:tcPr/>
          <w:p>
            <w:pPr>
              <w:pStyle w:val="Compact"/>
              <w:jc w:val="left"/>
            </w:pPr>
            <w:r>
              <w:t xml:space="preserve">0.80</w:t>
            </w:r>
          </w:p>
        </w:tc>
        <w:tc>
          <w:tcPr/>
          <w:p>
            <w:pPr>
              <w:pStyle w:val="Compact"/>
              <w:jc w:val="left"/>
            </w:pPr>
            <w:r>
              <w:t xml:space="preserve">kg</w:t>
            </w:r>
          </w:p>
        </w:tc>
        <w:tc>
          <w:tcPr/>
          <w:p>
            <w:pPr>
              <w:pStyle w:val="Compact"/>
              <w:jc w:val="left"/>
            </w:pPr>
            <w:r>
              <w:t xml:space="preserve">0.50</w:t>
            </w:r>
          </w:p>
        </w:tc>
        <w:tc>
          <w:tcPr/>
          <w:p>
            <w:pPr>
              <w:pStyle w:val="Compact"/>
              <w:jc w:val="left"/>
            </w:pPr>
            <w:r>
              <w:t xml:space="preserve">0.40</w:t>
            </w:r>
          </w:p>
        </w:tc>
      </w:tr>
    </w:tbl>
    <w:p>
      <w:pPr>
        <w:pStyle w:val="BodyText"/>
      </w:pPr>
      <w:r>
        <w:t xml:space="preserve">*Illustrative Emission Factors based on typical industry averages from sources like Ecoinvent and DEFRA for respective materials and processes.</w:t>
      </w:r>
    </w:p>
    <w:bookmarkEnd w:id="28"/>
    <w:bookmarkStart w:id="29" w:name="Xefa2c5e526e8d13b475f9ceed65f8ca53d55125"/>
    <w:p>
      <w:pPr>
        <w:pStyle w:val="Heading3"/>
      </w:pPr>
      <w:r>
        <w:t xml:space="preserve">2.2 Production Phase - Energy Inputs (Scope 2 &amp; Scope 1)</w:t>
      </w:r>
    </w:p>
    <w:p>
      <w:pPr>
        <w:pStyle w:val="FirstParagraph"/>
      </w:pPr>
      <w:r>
        <w:t xml:space="preserve">The energy consumption during the manufacturing of xvtpnhmhnv in China directly contributes to the product\'s carbon footprint. The following data is used for calculation:</w:t>
      </w:r>
    </w:p>
    <w:p>
      <w:pPr>
        <w:numPr>
          <w:ilvl w:val="0"/>
          <w:numId w:val="1004"/>
        </w:numPr>
        <w:pStyle w:val="Compact"/>
      </w:pPr>
      <w:r>
        <w:rPr>
          <w:bCs/>
          <w:b/>
        </w:rPr>
        <w:t xml:space="preserve">Energy Intensity (kWh/unit):</w:t>
      </w:r>
      <w:r>
        <w:t xml:space="preserve"> </w:t>
      </w:r>
      <w:r>
        <w:t xml:space="preserve">rhjstdjkgq (15 kWh/unit)</w:t>
      </w:r>
    </w:p>
    <w:p>
      <w:pPr>
        <w:numPr>
          <w:ilvl w:val="0"/>
          <w:numId w:val="1004"/>
        </w:numPr>
        <w:pStyle w:val="Compact"/>
      </w:pPr>
      <w:r>
        <w:rPr>
          <w:bCs/>
          <w:b/>
        </w:rPr>
        <w:t xml:space="preserve">Renewable Energy Usage:</w:t>
      </w:r>
      <w:r>
        <w:t xml:space="preserve"> </w:t>
      </w:r>
      <w:r>
        <w:t xml:space="preserve">miixvgpmfm (70%)</w:t>
      </w:r>
    </w:p>
    <w:p>
      <w:pPr>
        <w:numPr>
          <w:ilvl w:val="0"/>
          <w:numId w:val="1004"/>
        </w:numPr>
        <w:pStyle w:val="Compact"/>
      </w:pPr>
      <w:r>
        <w:rPr>
          <w:bCs/>
          <w:b/>
        </w:rPr>
        <w:t xml:space="preserve">China Grid Mix Emission Factor (2024):</w:t>
      </w:r>
      <w:r>
        <w:t xml:space="preserve"> </w:t>
      </w:r>
      <w:r>
        <w:t xml:space="preserve">0.6205 kgCO2e/kWh (National Average Electricity Carbon Footprint Factor, 2023 data released Jan 2025).</w:t>
      </w:r>
    </w:p>
    <w:p>
      <w:pPr>
        <w:numPr>
          <w:ilvl w:val="0"/>
          <w:numId w:val="1004"/>
        </w:numPr>
        <w:pStyle w:val="Compact"/>
      </w:pPr>
      <w:r>
        <w:rPr>
          <w:bCs/>
          <w:b/>
        </w:rPr>
        <w:t xml:space="preserve">Effective Grid Emission Factor:</w:t>
      </w:r>
      <w:r>
        <w:t xml:space="preserve"> </w:t>
      </w:r>
      <w:r>
        <w:t xml:space="preserve">(1 - 0.70) * 0.6205 kgCO2e/kWh = 0.18615 kgCO2e/kWh.</w:t>
      </w:r>
    </w:p>
    <w:p>
      <w:pPr>
        <w:numPr>
          <w:ilvl w:val="0"/>
          <w:numId w:val="1004"/>
        </w:numPr>
        <w:pStyle w:val="Compact"/>
      </w:pPr>
      <w:r>
        <w:rPr>
          <w:bCs/>
          <w:b/>
        </w:rPr>
        <w:t xml:space="preserve">Assumed Scope 1 Emissions (Direct, on-site combustion):</w:t>
      </w:r>
      <w:r>
        <w:t xml:space="preserve"> </w:t>
      </w:r>
      <w:r>
        <w:t xml:space="preserve">Negligible for manufacturing process at product level (often aggregated at corporate level unless significant direct fuel use for product-specific processes).</w:t>
      </w:r>
    </w:p>
    <w:bookmarkEnd w:id="29"/>
    <w:bookmarkStart w:id="30" w:name="X6bc976565b6e2a6cbc8c5912846fd0e9fd72481"/>
    <w:p>
      <w:pPr>
        <w:pStyle w:val="Heading3"/>
      </w:pPr>
      <w:r>
        <w:t xml:space="preserve">2.3 Transportation and Distribution (Scope 3, Category 4 &amp; 9: Upstream &amp; Downstream Transportation and Distribution)</w:t>
      </w:r>
    </w:p>
    <w:p>
      <w:pPr>
        <w:pStyle w:val="FirstParagraph"/>
      </w:pPr>
      <w:r>
        <w:t xml:space="preserve">Logistics data (Transport Mode: Select Mode, Distance: gokrsvvxmz, Last-Mile Delivery Channel: Delivery Type) has been incorporated.</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(tonnes)</w:t>
            </w:r>
          </w:p>
        </w:tc>
        <w:tc>
          <w:tcPr/>
          <w:p>
            <w:pPr>
              <w:pStyle w:val="Compact"/>
              <w:jc w:val="left"/>
            </w:pPr>
            <w:r>
              <w:t xml:space="preserve">Emission Factor (kgCO2e/tonne-km)</w:t>
            </w:r>
          </w:p>
        </w:tc>
        <w:tc>
          <w:tcPr/>
          <w:p>
            <w:pPr>
              <w:pStyle w:val="Compact"/>
              <w:jc w:val="left"/>
            </w:pPr>
            <w:r>
              <w:t xml:space="preserve">Total Carbon (kgCO2e)</w:t>
            </w:r>
          </w:p>
        </w:tc>
      </w:tr>
      <w:tr>
        <w:tc>
          <w:tcPr/>
          <w:p>
            <w:pPr>
              <w:pStyle w:val="Compact"/>
              <w:jc w:val="left"/>
            </w:pPr>
            <w:r>
              <w:t xml:space="preserve">Raw Material Inbound (Europe to China)</w:t>
            </w:r>
          </w:p>
        </w:tc>
        <w:tc>
          <w:tcPr/>
          <w:p>
            <w:pPr>
              <w:pStyle w:val="Compact"/>
              <w:jc w:val="left"/>
            </w:pPr>
            <w:r>
              <w:t xml:space="preserve">Sea Freight</w:t>
            </w:r>
          </w:p>
        </w:tc>
        <w:tc>
          <w:tcPr/>
          <w:p>
            <w:pPr>
              <w:pStyle w:val="Compact"/>
              <w:jc w:val="left"/>
            </w:pPr>
            <w:r>
              <w:t xml:space="preserve">15,000</w:t>
            </w:r>
          </w:p>
        </w:tc>
        <w:tc>
          <w:tcPr/>
          <w:p>
            <w:pPr>
              <w:pStyle w:val="Compact"/>
              <w:jc w:val="left"/>
            </w:pPr>
            <w:r>
              <w:t xml:space="preserve">0.00735</w:t>
            </w:r>
          </w:p>
        </w:tc>
        <w:tc>
          <w:tcPr/>
          <w:p>
            <w:pPr>
              <w:pStyle w:val="Compact"/>
              <w:jc w:val="left"/>
            </w:pPr>
            <w:r>
              <w:t xml:space="preserve">0.016</w:t>
            </w:r>
          </w:p>
        </w:tc>
        <w:tc>
          <w:tcPr/>
          <w:p>
            <w:pPr>
              <w:pStyle w:val="Compact"/>
              <w:jc w:val="left"/>
            </w:pPr>
            <w:r>
              <w:t xml:space="preserve">1.764</w:t>
            </w:r>
          </w:p>
        </w:tc>
      </w:tr>
      <w:tr>
        <w:tc>
          <w:tcPr/>
          <w:p>
            <w:pPr>
              <w:pStyle w:val="Compact"/>
              <w:jc w:val="left"/>
            </w:pPr>
            <w:r>
              <w:t xml:space="preserve">Finished Product Outbound (China to Europe)</w:t>
            </w:r>
          </w:p>
        </w:tc>
        <w:tc>
          <w:tcPr/>
          <w:p>
            <w:pPr>
              <w:pStyle w:val="Compact"/>
              <w:jc w:val="left"/>
            </w:pPr>
            <w:r>
              <w:t xml:space="preserve">Sea Freight</w:t>
            </w:r>
          </w:p>
        </w:tc>
        <w:tc>
          <w:tcPr/>
          <w:p>
            <w:pPr>
              <w:pStyle w:val="Compact"/>
              <w:jc w:val="left"/>
            </w:pPr>
            <w:r>
              <w:t xml:space="preserve">12,000</w:t>
            </w:r>
          </w:p>
        </w:tc>
        <w:tc>
          <w:tcPr/>
          <w:p>
            <w:pPr>
              <w:pStyle w:val="Compact"/>
              <w:jc w:val="left"/>
            </w:pPr>
            <w:r>
              <w:t xml:space="preserve">0.00735</w:t>
            </w:r>
          </w:p>
        </w:tc>
        <w:tc>
          <w:tcPr/>
          <w:p>
            <w:pPr>
              <w:pStyle w:val="Compact"/>
              <w:jc w:val="left"/>
            </w:pPr>
            <w:r>
              <w:t xml:space="preserve">0.016</w:t>
            </w:r>
          </w:p>
        </w:tc>
        <w:tc>
          <w:tcPr/>
          <w:p>
            <w:pPr>
              <w:pStyle w:val="Compact"/>
              <w:jc w:val="left"/>
            </w:pPr>
            <w:r>
              <w:t xml:space="preserve">1.411</w:t>
            </w:r>
          </w:p>
        </w:tc>
      </w:tr>
      <w:tr>
        <w:tc>
          <w:tcPr/>
          <w:p>
            <w:pPr>
              <w:pStyle w:val="Compact"/>
              <w:jc w:val="left"/>
            </w:pPr>
            <w:r>
              <w:t xml:space="preserve">Finished Product In-Country (Europe)</w:t>
            </w:r>
          </w:p>
        </w:tc>
        <w:tc>
          <w:tcPr/>
          <w:p>
            <w:pPr>
              <w:pStyle w:val="Compact"/>
              <w:jc w:val="left"/>
            </w:pPr>
            <w:r>
              <w:t xml:space="preserve">Truck (HGV)</w:t>
            </w:r>
          </w:p>
        </w:tc>
        <w:tc>
          <w:tcPr/>
          <w:p>
            <w:pPr>
              <w:pStyle w:val="Compact"/>
              <w:jc w:val="left"/>
            </w:pPr>
            <w:r>
              <w:t xml:space="preserve">800</w:t>
            </w:r>
          </w:p>
        </w:tc>
        <w:tc>
          <w:tcPr/>
          <w:p>
            <w:pPr>
              <w:pStyle w:val="Compact"/>
              <w:jc w:val="left"/>
            </w:pPr>
            <w:r>
              <w:t xml:space="preserve">0.00735</w:t>
            </w:r>
          </w:p>
        </w:tc>
        <w:tc>
          <w:tcPr/>
          <w:p>
            <w:pPr>
              <w:pStyle w:val="Compact"/>
              <w:jc w:val="left"/>
            </w:pPr>
            <w:r>
              <w:t xml:space="preserve">0.090</w:t>
            </w:r>
          </w:p>
        </w:tc>
        <w:tc>
          <w:tcPr/>
          <w:p>
            <w:pPr>
              <w:pStyle w:val="Compact"/>
              <w:jc w:val="left"/>
            </w:pPr>
            <w:r>
              <w:t xml:space="preserve">0.529</w:t>
            </w:r>
          </w:p>
        </w:tc>
      </w:tr>
      <w:tr>
        <w:tc>
          <w:tcPr/>
          <w:p>
            <w:pPr>
              <w:pStyle w:val="Compact"/>
              <w:jc w:val="left"/>
            </w:pPr>
            <w:r>
              <w:t xml:space="preserve">Last-Mile Delivery (Europe)</w:t>
            </w:r>
          </w:p>
        </w:tc>
        <w:tc>
          <w:tcPr/>
          <w:p>
            <w:pPr>
              <w:pStyle w:val="Compact"/>
              <w:jc w:val="left"/>
            </w:pPr>
            <w:r>
              <w:t xml:space="preserve">Parcel Van</w:t>
            </w:r>
          </w:p>
        </w:tc>
        <w:tc>
          <w:tcPr/>
          <w:p>
            <w:pPr>
              <w:pStyle w:val="Compact"/>
              <w:jc w:val="left"/>
            </w:pPr>
            <w:r>
              <w:t xml:space="preserve">100</w:t>
            </w:r>
          </w:p>
        </w:tc>
        <w:tc>
          <w:tcPr/>
          <w:p>
            <w:pPr>
              <w:pStyle w:val="Compact"/>
              <w:jc w:val="left"/>
            </w:pPr>
            <w:r>
              <w:t xml:space="preserve">0.00735</w:t>
            </w:r>
          </w:p>
        </w:tc>
        <w:tc>
          <w:tcPr/>
          <w:p>
            <w:pPr>
              <w:pStyle w:val="Compact"/>
              <w:jc w:val="left"/>
            </w:pPr>
            <w:r>
              <w:t xml:space="preserve">0.150</w:t>
            </w:r>
          </w:p>
        </w:tc>
        <w:tc>
          <w:tcPr/>
          <w:p>
            <w:pPr>
              <w:pStyle w:val="Compact"/>
              <w:jc w:val="left"/>
            </w:pPr>
            <w:r>
              <w:t xml:space="preserve">0.110</w:t>
            </w:r>
          </w:p>
        </w:tc>
      </w:tr>
    </w:tbl>
    <w:p>
      <w:pPr>
        <w:pStyle w:val="BodyText"/>
      </w:pPr>
      <w:r>
        <w:t xml:space="preserve">*Illustrative Emission Factors based on DEFRA and Ecoinvent data for typical transport modes. Total weight of one unit (product + packaging) is approximately 7.35 kg (0.00735 tonnes).</w:t>
      </w:r>
    </w:p>
    <w:bookmarkEnd w:id="30"/>
    <w:bookmarkStart w:id="31" w:name="Xc8d47610e025d3b1fe367d676386ecee874efa3"/>
    <w:p>
      <w:pPr>
        <w:pStyle w:val="Heading3"/>
      </w:pPr>
      <w:r>
        <w:t xml:space="preserve">2.4 Use Phase (Scope 3, Category 11: Use of Sold Products)</w:t>
      </w:r>
    </w:p>
    <w:p>
      <w:pPr>
        <w:pStyle w:val="FirstParagraph"/>
      </w:pPr>
      <w:r>
        <w:t xml:space="preserve">The use phase calculation considers the product\'s lifespan (lrxfydupwd) and energy consumption in use (wkujfkgvdm).</w:t>
      </w:r>
    </w:p>
    <w:p>
      <w:pPr>
        <w:numPr>
          <w:ilvl w:val="0"/>
          <w:numId w:val="1005"/>
        </w:numPr>
        <w:pStyle w:val="Compact"/>
      </w:pPr>
      <w:r>
        <w:rPr>
          <w:bCs/>
          <w:b/>
        </w:rPr>
        <w:t xml:space="preserve">Product Lifespan:</w:t>
      </w:r>
      <w:r>
        <w:t xml:space="preserve"> </w:t>
      </w:r>
      <w:r>
        <w:t xml:space="preserve">lrxfydupwd (5 years)</w:t>
      </w:r>
    </w:p>
    <w:p>
      <w:pPr>
        <w:numPr>
          <w:ilvl w:val="0"/>
          <w:numId w:val="1005"/>
        </w:numPr>
        <w:pStyle w:val="Compact"/>
      </w:pPr>
      <w:r>
        <w:rPr>
          <w:bCs/>
          <w:b/>
        </w:rPr>
        <w:t xml:space="preserve">Energy Consumption in Use:</w:t>
      </w:r>
      <w:r>
        <w:t xml:space="preserve"> </w:t>
      </w:r>
      <w:r>
        <w:t xml:space="preserve">wkujfkgvdm (20 kWh/year)</w:t>
      </w:r>
    </w:p>
    <w:p>
      <w:pPr>
        <w:numPr>
          <w:ilvl w:val="0"/>
          <w:numId w:val="1005"/>
        </w:numPr>
        <w:pStyle w:val="Compact"/>
      </w:pPr>
      <w:r>
        <w:rPr>
          <w:bCs/>
          <w:b/>
        </w:rPr>
        <w:t xml:space="preserve">European Grid Mix Emission Factor (Illustrative):</w:t>
      </w:r>
      <w:r>
        <w:t xml:space="preserve"> </w:t>
      </w:r>
      <w:r>
        <w:t xml:space="preserve">0.25 kgCO2e/kWh (reflecting average European electricity mix).</w:t>
      </w:r>
    </w:p>
    <w:bookmarkEnd w:id="31"/>
    <w:bookmarkStart w:id="32" w:name="X22f9dae0edae5a4ebf0dcf5b8ca74de2c6ea5a4"/>
    <w:p>
      <w:pPr>
        <w:pStyle w:val="Heading3"/>
      </w:pPr>
      <w:r>
        <w:t xml:space="preserve">2.5 End-of-Life (EoL) Scenarios (Scope 3, Category 12: End-of-Life Treatment of Sold Products)</w:t>
      </w:r>
    </w:p>
    <w:p>
      <w:pPr>
        <w:pStyle w:val="FirstParagraph"/>
      </w:pPr>
      <w:r>
        <w:t xml:space="preserve">End-of-Life impacts are incorporated using the recyclability percentage (vvplwmywuf) and the existence of circular/take-back programs (leugynosef).</w:t>
      </w:r>
    </w:p>
    <w:p>
      <w:pPr>
        <w:numPr>
          <w:ilvl w:val="0"/>
          <w:numId w:val="1006"/>
        </w:numPr>
        <w:pStyle w:val="Compact"/>
      </w:pPr>
      <w:r>
        <w:rPr>
          <w:bCs/>
          <w:b/>
        </w:rPr>
        <w:t xml:space="preserve">Recyclability Percentage:</w:t>
      </w:r>
      <w:r>
        <w:t xml:space="preserve"> </w:t>
      </w:r>
      <w:r>
        <w:t xml:space="preserve">vvplwmywuf (85%)</w:t>
      </w:r>
    </w:p>
    <w:p>
      <w:pPr>
        <w:numPr>
          <w:ilvl w:val="0"/>
          <w:numId w:val="1006"/>
        </w:numPr>
        <w:pStyle w:val="Compact"/>
      </w:pPr>
      <w:r>
        <w:rPr>
          <w:bCs/>
          <w:b/>
        </w:rPr>
        <w:t xml:space="preserve">Circular/Take-back Programs:</w:t>
      </w:r>
      <w:r>
        <w:t xml:space="preserve"> </w:t>
      </w:r>
      <w:r>
        <w:t xml:space="preserve">leugynosef (Active)</w:t>
      </w:r>
    </w:p>
    <w:p>
      <w:pPr>
        <w:numPr>
          <w:ilvl w:val="0"/>
          <w:numId w:val="1006"/>
        </w:numPr>
        <w:pStyle w:val="Compact"/>
      </w:pPr>
      <w:r>
        <w:rPr>
          <w:bCs/>
          <w:b/>
        </w:rPr>
        <w:t xml:space="preserve">Total Product Weight (excl. packaging):</w:t>
      </w:r>
      <w:r>
        <w:t xml:space="preserve"> </w:t>
      </w:r>
      <w:r>
        <w:t xml:space="preserve">6.55 kg</w:t>
      </w:r>
    </w:p>
    <w:p>
      <w:pPr>
        <w:numPr>
          <w:ilvl w:val="0"/>
          <w:numId w:val="1006"/>
        </w:numPr>
        <w:pStyle w:val="Compact"/>
      </w:pPr>
      <w:r>
        <w:rPr>
          <w:bCs/>
          <w:b/>
        </w:rPr>
        <w:t xml:space="preserve">Assumed EoL Scenario:</w:t>
      </w:r>
      <w:r>
        <w:t xml:space="preserve"> </w:t>
      </w:r>
      <w:r>
        <w:t xml:space="preserve">85% recycled, 15% landfilled.</w:t>
      </w:r>
    </w:p>
    <w:p>
      <w:pPr>
        <w:numPr>
          <w:ilvl w:val="0"/>
          <w:numId w:val="1006"/>
        </w:numPr>
        <w:pStyle w:val="Compact"/>
      </w:pPr>
      <w:r>
        <w:rPr>
          <w:bCs/>
          <w:b/>
        </w:rPr>
        <w:t xml:space="preserve">Illustrative Recycling Credit (avoided emissions):</w:t>
      </w:r>
      <w:r>
        <w:t xml:space="preserve"> </w:t>
      </w:r>
      <w:r>
        <w:t xml:space="preserve">-1.5 kgCO2e/kg for recycled material.</w:t>
      </w:r>
    </w:p>
    <w:p>
      <w:pPr>
        <w:numPr>
          <w:ilvl w:val="0"/>
          <w:numId w:val="1006"/>
        </w:numPr>
        <w:pStyle w:val="Compact"/>
      </w:pPr>
      <w:r>
        <w:rPr>
          <w:bCs/>
          <w:b/>
        </w:rPr>
        <w:t xml:space="preserve">Illustrative Landfill Emissions:</w:t>
      </w:r>
      <w:r>
        <w:t xml:space="preserve"> </w:t>
      </w:r>
      <w:r>
        <w:t xml:space="preserve">0.1 kgCO2e/kg for landfilled material.</w:t>
      </w:r>
    </w:p>
    <w:p>
      <w:r>
        <w:pict>
          <v:rect style="width:0;height:1.5pt" o:hralign="center" o:hrstd="t" o:hr="t"/>
        </w:pict>
      </w:r>
    </w:p>
    <w:bookmarkEnd w:id="32"/>
    <w:bookmarkEnd w:id="33"/>
    <w:bookmarkStart w:id="40" w:name="emission-calculation"/>
    <w:p>
      <w:pPr>
        <w:pStyle w:val="Heading2"/>
      </w:pPr>
      <w:r>
        <w:t xml:space="preserve">3. Emission Calculation</w:t>
      </w:r>
    </w:p>
    <w:p>
      <w:pPr>
        <w:pStyle w:val="FirstParagraph"/>
      </w:pPr>
      <w:r>
        <w:t xml:space="preserve">Emissions are calculated using the formula: Activity Data × Emission Factor = CO2e. All results are expressed in kilograms of carbon dioxide equivalent (kgCO2e).</w:t>
      </w:r>
    </w:p>
    <w:bookmarkStart w:id="34" w:name="scope-1-emissions"/>
    <w:p>
      <w:pPr>
        <w:pStyle w:val="Heading3"/>
      </w:pPr>
      <w:r>
        <w:t xml:space="preserve">3.1 Scope 1 Emissions</w:t>
      </w:r>
    </w:p>
    <w:p>
      <w:pPr>
        <w:pStyle w:val="FirstParagraph"/>
      </w:pPr>
      <w:r>
        <w:t xml:space="preserve">For this product-level PCF with a \'factory_gate\' system boundary and no specific direct fuel consumption data provided for product-specific processes, Scope 1 emissions are considered negligible at this granular level. Direct emissions from company-owned vehicles or on-site stationary combustion for general factory operations are typically accounted for at the corporate GHG inventory level.</w:t>
      </w:r>
    </w:p>
    <w:bookmarkEnd w:id="34"/>
    <w:bookmarkStart w:id="35" w:name="scope-2-emissions-purchased-electricity"/>
    <w:p>
      <w:pPr>
        <w:pStyle w:val="Heading3"/>
      </w:pPr>
      <w:r>
        <w:t xml:space="preserve">3.2 Scope 2 Emissions (Purchased Electricity)</w:t>
      </w:r>
    </w:p>
    <w:p>
      <w:pPr>
        <w:numPr>
          <w:ilvl w:val="0"/>
          <w:numId w:val="1007"/>
        </w:numPr>
        <w:pStyle w:val="Compact"/>
      </w:pPr>
      <w:r>
        <w:rPr>
          <w:bCs/>
          <w:b/>
        </w:rPr>
        <w:t xml:space="preserve">Production Energy Consumption:</w:t>
      </w:r>
      <w:r>
        <w:t xml:space="preserve"> </w:t>
      </w:r>
      <w:r>
        <w:t xml:space="preserve">15 kWh/unit</w:t>
      </w:r>
    </w:p>
    <w:p>
      <w:pPr>
        <w:numPr>
          <w:ilvl w:val="0"/>
          <w:numId w:val="1007"/>
        </w:numPr>
        <w:pStyle w:val="Compact"/>
      </w:pPr>
      <w:r>
        <w:rPr>
          <w:bCs/>
          <w:b/>
        </w:rPr>
        <w:t xml:space="preserve">Effective China Grid Emission Factor (30% non-renewable):</w:t>
      </w:r>
      <w:r>
        <w:t xml:space="preserve"> </w:t>
      </w:r>
      <w:r>
        <w:t xml:space="preserve">0.18615 kgCO2e/kWh</w:t>
      </w:r>
    </w:p>
    <w:p>
      <w:pPr>
        <w:numPr>
          <w:ilvl w:val="0"/>
          <w:numId w:val="1007"/>
        </w:numPr>
        <w:pStyle w:val="Compact"/>
      </w:pPr>
      <w:r>
        <w:rPr>
          <w:bCs/>
          <w:b/>
        </w:rPr>
        <w:t xml:space="preserve">Total Scope 2 Emissions:</w:t>
      </w:r>
      <w:r>
        <w:t xml:space="preserve"> </w:t>
      </w:r>
      <w:r>
        <w:t xml:space="preserve">15 kWh/unit × 0.18615 kgCO2e/kWh =</w:t>
      </w:r>
      <w:r>
        <w:t xml:space="preserve"> </w:t>
      </w:r>
      <w:r>
        <w:rPr>
          <w:bCs/>
          <w:b/>
        </w:rPr>
        <w:t xml:space="preserve">2.792 kgCO2e</w:t>
      </w:r>
    </w:p>
    <w:bookmarkEnd w:id="35"/>
    <w:bookmarkStart w:id="38" w:name="scope-3-emissions-value-chain"/>
    <w:p>
      <w:pPr>
        <w:pStyle w:val="Heading3"/>
      </w:pPr>
      <w:r>
        <w:t xml:space="preserve">3.3 Scope 3 Emissions (Value Chain)</w:t>
      </w:r>
    </w:p>
    <w:bookmarkStart w:id="36" w:name="upstream-emissions"/>
    <w:p>
      <w:pPr>
        <w:pStyle w:val="Heading4"/>
      </w:pPr>
      <w:r>
        <w:t xml:space="preserve">3.3.1 Upstream Emissions</w:t>
      </w:r>
    </w:p>
    <w:p>
      <w:pPr>
        <w:numPr>
          <w:ilvl w:val="0"/>
          <w:numId w:val="1008"/>
        </w:numPr>
        <w:pStyle w:val="Compact"/>
      </w:pPr>
      <w:r>
        <w:rPr>
          <w:bCs/>
          <w:b/>
        </w:rPr>
        <w:t xml:space="preserve">Materials (Category 1: Purchased Goods and Services):</w:t>
      </w:r>
    </w:p>
    <w:p>
      <w:pPr>
        <w:numPr>
          <w:ilvl w:val="1"/>
          <w:numId w:val="1009"/>
        </w:numPr>
        <w:pStyle w:val="Compact"/>
      </w:pPr>
      <w:r>
        <w:t xml:space="preserve">Steel: 12.50 kgCO2e</w:t>
      </w:r>
    </w:p>
    <w:p>
      <w:pPr>
        <w:numPr>
          <w:ilvl w:val="1"/>
          <w:numId w:val="1009"/>
        </w:numPr>
        <w:pStyle w:val="Compact"/>
      </w:pPr>
      <w:r>
        <w:t xml:space="preserve">ABS Plastic: 4.56 kgCO2e</w:t>
      </w:r>
    </w:p>
    <w:p>
      <w:pPr>
        <w:numPr>
          <w:ilvl w:val="1"/>
          <w:numId w:val="1009"/>
        </w:numPr>
        <w:pStyle w:val="Compact"/>
      </w:pPr>
      <w:r>
        <w:t xml:space="preserve">Copper Wire: 1.20 kgCO2e</w:t>
      </w:r>
    </w:p>
    <w:p>
      <w:pPr>
        <w:numPr>
          <w:ilvl w:val="1"/>
          <w:numId w:val="1009"/>
        </w:numPr>
        <w:pStyle w:val="Compact"/>
      </w:pPr>
      <w:r>
        <w:t xml:space="preserve">Integrated Circuit: 2.50 kgCO2e</w:t>
      </w:r>
    </w:p>
    <w:p>
      <w:pPr>
        <w:numPr>
          <w:ilvl w:val="1"/>
          <w:numId w:val="1009"/>
        </w:numPr>
        <w:pStyle w:val="Compact"/>
      </w:pPr>
      <w:r>
        <w:t xml:space="preserve">Cardboard Packaging: 0.40 kgCO2e</w:t>
      </w:r>
    </w:p>
    <w:p>
      <w:pPr>
        <w:numPr>
          <w:ilvl w:val="1"/>
          <w:numId w:val="1009"/>
        </w:numPr>
        <w:pStyle w:val="Compact"/>
      </w:pPr>
      <w:r>
        <w:rPr>
          <w:bCs/>
          <w:b/>
        </w:rPr>
        <w:t xml:space="preserve">Subtotal Materials:</w:t>
      </w:r>
      <w:r>
        <w:t xml:space="preserve"> </w:t>
      </w:r>
      <w:r>
        <w:rPr>
          <w:bCs/>
          <w:b/>
        </w:rPr>
        <w:t xml:space="preserve">21.16 kgCO2e</w:t>
      </w:r>
    </w:p>
    <w:p>
      <w:pPr>
        <w:numPr>
          <w:ilvl w:val="0"/>
          <w:numId w:val="1008"/>
        </w:numPr>
        <w:pStyle w:val="Compact"/>
      </w:pPr>
      <w:r>
        <w:rPr>
          <w:bCs/>
          <w:b/>
        </w:rPr>
        <w:t xml:space="preserve">Upstream Transportation (Category 4: Upstream Transportation and Distribution):</w:t>
      </w:r>
    </w:p>
    <w:p>
      <w:pPr>
        <w:numPr>
          <w:ilvl w:val="1"/>
          <w:numId w:val="1010"/>
        </w:numPr>
        <w:pStyle w:val="Compact"/>
      </w:pPr>
      <w:r>
        <w:t xml:space="preserve">Raw Material Inbound (Sea Freight): 1.764 kgCO2e</w:t>
      </w:r>
    </w:p>
    <w:p>
      <w:pPr>
        <w:numPr>
          <w:ilvl w:val="1"/>
          <w:numId w:val="1010"/>
        </w:numPr>
        <w:pStyle w:val="Compact"/>
      </w:pPr>
      <w:r>
        <w:rPr>
          <w:bCs/>
          <w:b/>
        </w:rPr>
        <w:t xml:space="preserve">Subtotal Upstream Transport:</w:t>
      </w:r>
      <w:r>
        <w:t xml:space="preserve"> </w:t>
      </w:r>
      <w:r>
        <w:rPr>
          <w:bCs/>
          <w:b/>
        </w:rPr>
        <w:t xml:space="preserve">1.764 kgCO2e</w:t>
      </w:r>
    </w:p>
    <w:p>
      <w:pPr>
        <w:numPr>
          <w:ilvl w:val="0"/>
          <w:numId w:val="1008"/>
        </w:numPr>
        <w:pStyle w:val="Compact"/>
      </w:pPr>
      <w:r>
        <w:rPr>
          <w:bCs/>
          <w:b/>
        </w:rPr>
        <w:t xml:space="preserve">Total Upstream Emissions:</w:t>
      </w:r>
      <w:r>
        <w:t xml:space="preserve"> </w:t>
      </w:r>
      <w:r>
        <w:t xml:space="preserve">21.16 + 1.764 =</w:t>
      </w:r>
      <w:r>
        <w:t xml:space="preserve"> </w:t>
      </w:r>
      <w:r>
        <w:rPr>
          <w:bCs/>
          <w:b/>
        </w:rPr>
        <w:t xml:space="preserve">22.924 kgCO2e</w:t>
      </w:r>
    </w:p>
    <w:bookmarkEnd w:id="36"/>
    <w:bookmarkStart w:id="37" w:name="downstream-emissions"/>
    <w:p>
      <w:pPr>
        <w:pStyle w:val="Heading4"/>
      </w:pPr>
      <w:r>
        <w:t xml:space="preserve">3.3.2 Downstream Emissions</w:t>
      </w:r>
    </w:p>
    <w:p>
      <w:pPr>
        <w:numPr>
          <w:ilvl w:val="0"/>
          <w:numId w:val="1011"/>
        </w:numPr>
        <w:pStyle w:val="Compact"/>
      </w:pPr>
      <w:r>
        <w:rPr>
          <w:bCs/>
          <w:b/>
        </w:rPr>
        <w:t xml:space="preserve">Downstream Transportation (Category 9: Downstream Transportation and Distribution):</w:t>
      </w:r>
    </w:p>
    <w:p>
      <w:pPr>
        <w:numPr>
          <w:ilvl w:val="1"/>
          <w:numId w:val="1012"/>
        </w:numPr>
        <w:pStyle w:val="Compact"/>
      </w:pPr>
      <w:r>
        <w:t xml:space="preserve">Finished Product Outbound (Sea Freight): 1.411 kgCO2e</w:t>
      </w:r>
    </w:p>
    <w:p>
      <w:pPr>
        <w:numPr>
          <w:ilvl w:val="1"/>
          <w:numId w:val="1012"/>
        </w:numPr>
        <w:pStyle w:val="Compact"/>
      </w:pPr>
      <w:r>
        <w:t xml:space="preserve">Finished Product In-Country (Truck): 0.529 kgCO2e</w:t>
      </w:r>
    </w:p>
    <w:p>
      <w:pPr>
        <w:numPr>
          <w:ilvl w:val="1"/>
          <w:numId w:val="1012"/>
        </w:numPr>
        <w:pStyle w:val="Compact"/>
      </w:pPr>
      <w:r>
        <w:t xml:space="preserve">Last-Mile Delivery (Parcel Van): 0.110 kgCO2e</w:t>
      </w:r>
    </w:p>
    <w:p>
      <w:pPr>
        <w:numPr>
          <w:ilvl w:val="1"/>
          <w:numId w:val="1012"/>
        </w:numPr>
        <w:pStyle w:val="Compact"/>
      </w:pPr>
      <w:r>
        <w:rPr>
          <w:bCs/>
          <w:b/>
        </w:rPr>
        <w:t xml:space="preserve">Subtotal Downstream Transport:</w:t>
      </w:r>
      <w:r>
        <w:t xml:space="preserve"> </w:t>
      </w:r>
      <w:r>
        <w:rPr>
          <w:bCs/>
          <w:b/>
        </w:rPr>
        <w:t xml:space="preserve">2.050 kgCO2e</w:t>
      </w:r>
    </w:p>
    <w:p>
      <w:pPr>
        <w:numPr>
          <w:ilvl w:val="0"/>
          <w:numId w:val="1011"/>
        </w:numPr>
        <w:pStyle w:val="Compact"/>
      </w:pPr>
      <w:r>
        <w:rPr>
          <w:bCs/>
          <w:b/>
        </w:rPr>
        <w:t xml:space="preserve">Use Phase (Category 11: Use of Sold Products):</w:t>
      </w:r>
    </w:p>
    <w:p>
      <w:pPr>
        <w:numPr>
          <w:ilvl w:val="1"/>
          <w:numId w:val="1013"/>
        </w:numPr>
        <w:pStyle w:val="Compact"/>
      </w:pPr>
      <w:r>
        <w:t xml:space="preserve">Product Lifespan: 5 years</w:t>
      </w:r>
    </w:p>
    <w:p>
      <w:pPr>
        <w:numPr>
          <w:ilvl w:val="1"/>
          <w:numId w:val="1013"/>
        </w:numPr>
        <w:pStyle w:val="Compact"/>
      </w:pPr>
      <w:r>
        <w:t xml:space="preserve">Energy Consumption in Use: 20 kWh/year</w:t>
      </w:r>
    </w:p>
    <w:p>
      <w:pPr>
        <w:numPr>
          <w:ilvl w:val="1"/>
          <w:numId w:val="1013"/>
        </w:numPr>
        <w:pStyle w:val="Compact"/>
      </w:pPr>
      <w:r>
        <w:t xml:space="preserve">European Grid Mix EF: 0.25 kgCO2e/kWh</w:t>
      </w:r>
    </w:p>
    <w:p>
      <w:pPr>
        <w:numPr>
          <w:ilvl w:val="1"/>
          <w:numId w:val="1013"/>
        </w:numPr>
        <w:pStyle w:val="Compact"/>
      </w:pPr>
      <w:r>
        <w:rPr>
          <w:bCs/>
          <w:b/>
        </w:rPr>
        <w:t xml:space="preserve">Total Use Phase Emissions:</w:t>
      </w:r>
      <w:r>
        <w:t xml:space="preserve"> </w:t>
      </w:r>
      <w:r>
        <w:t xml:space="preserve">5 years × 20 kWh/year × 0.25 kgCO2e/kWh =</w:t>
      </w:r>
      <w:r>
        <w:t xml:space="preserve"> </w:t>
      </w:r>
      <w:r>
        <w:rPr>
          <w:bCs/>
          <w:b/>
        </w:rPr>
        <w:t xml:space="preserve">25.00 kgCO2e</w:t>
      </w:r>
    </w:p>
    <w:p>
      <w:pPr>
        <w:numPr>
          <w:ilvl w:val="0"/>
          <w:numId w:val="1011"/>
        </w:numPr>
        <w:pStyle w:val="Compact"/>
      </w:pPr>
      <w:r>
        <w:rPr>
          <w:bCs/>
          <w:b/>
        </w:rPr>
        <w:t xml:space="preserve">End-of-Life (Category 12: End-of-Life Treatment of Sold Products):</w:t>
      </w:r>
    </w:p>
    <w:p>
      <w:pPr>
        <w:numPr>
          <w:ilvl w:val="1"/>
          <w:numId w:val="1014"/>
        </w:numPr>
        <w:pStyle w:val="Compact"/>
      </w:pPr>
      <w:r>
        <w:t xml:space="preserve">Recycled Material (85% of 6.55 kg product weight): 5.5675 kg × -1.5 kgCO2e/kg = -8.351 kgCO2e</w:t>
      </w:r>
    </w:p>
    <w:p>
      <w:pPr>
        <w:numPr>
          <w:ilvl w:val="1"/>
          <w:numId w:val="1014"/>
        </w:numPr>
        <w:pStyle w:val="Compact"/>
      </w:pPr>
      <w:r>
        <w:t xml:space="preserve">Landfilled Material (15% of 6.55 kg product weight): 0.9825 kg × 0.1 kgCO2e/kg = 0.098 kgCO2e</w:t>
      </w:r>
    </w:p>
    <w:p>
      <w:pPr>
        <w:numPr>
          <w:ilvl w:val="1"/>
          <w:numId w:val="1014"/>
        </w:numPr>
        <w:pStyle w:val="Compact"/>
      </w:pPr>
      <w:r>
        <w:rPr>
          <w:bCs/>
          <w:b/>
        </w:rPr>
        <w:t xml:space="preserve">Net End-of-Life Emissions:</w:t>
      </w:r>
      <w:r>
        <w:t xml:space="preserve"> </w:t>
      </w:r>
      <w:r>
        <w:t xml:space="preserve">-8.351 + 0.098 =</w:t>
      </w:r>
      <w:r>
        <w:t xml:space="preserve"> </w:t>
      </w:r>
      <w:r>
        <w:rPr>
          <w:bCs/>
          <w:b/>
        </w:rPr>
        <w:t xml:space="preserve">-8.253 kgCO2e</w:t>
      </w:r>
    </w:p>
    <w:p>
      <w:pPr>
        <w:numPr>
          <w:ilvl w:val="0"/>
          <w:numId w:val="1011"/>
        </w:numPr>
        <w:pStyle w:val="Compact"/>
      </w:pPr>
      <w:r>
        <w:rPr>
          <w:bCs/>
          <w:b/>
        </w:rPr>
        <w:t xml:space="preserve">Total Downstream Emissions:</w:t>
      </w:r>
      <w:r>
        <w:t xml:space="preserve"> </w:t>
      </w:r>
      <w:r>
        <w:t xml:space="preserve">2.050 + 25.00 + (-8.253) =</w:t>
      </w:r>
      <w:r>
        <w:t xml:space="preserve"> </w:t>
      </w:r>
      <w:r>
        <w:rPr>
          <w:bCs/>
          <w:b/>
        </w:rPr>
        <w:t xml:space="preserve">18.797 kgCO2e</w:t>
      </w:r>
    </w:p>
    <w:bookmarkEnd w:id="37"/>
    <w:bookmarkEnd w:id="38"/>
    <w:bookmarkStart w:id="39" w:name="X24fe609e14f91a3543b60dbd3426411ef3dbd1e"/>
    <w:p>
      <w:pPr>
        <w:pStyle w:val="Heading3"/>
      </w:pPr>
      <w:r>
        <w:t xml:space="preserve">3.4 Total Product Carbon Footprint (PCF) for xvtpnhmhnv</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Scope/Stage</w:t>
            </w:r>
          </w:p>
        </w:tc>
        <w:tc>
          <w:tcPr/>
          <w:p>
            <w:pPr>
              <w:pStyle w:val="Compact"/>
              <w:jc w:val="left"/>
            </w:pPr>
            <w:r>
              <w:t xml:space="preserve">Emissions (kgCO2e per unit)</w:t>
            </w:r>
          </w:p>
        </w:tc>
        <w:tc>
          <w:tcPr/>
          <w:p>
            <w:pPr>
              <w:pStyle w:val="Compact"/>
              <w:jc w:val="left"/>
            </w:pPr>
            <w:r>
              <w:t xml:space="preserve">Percentage of Total (%)</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rPr>
                <w:bCs/>
                <w:b/>
              </w:rPr>
              <w:t xml:space="preserve">Scope 2 (Purchased Electricity - Production)</w:t>
            </w:r>
          </w:p>
        </w:tc>
        <w:tc>
          <w:tcPr/>
          <w:p>
            <w:pPr>
              <w:pStyle w:val="Compact"/>
              <w:jc w:val="left"/>
            </w:pPr>
            <w:r>
              <w:t xml:space="preserve">2.792</w:t>
            </w:r>
          </w:p>
        </w:tc>
        <w:tc>
          <w:tcPr/>
          <w:p>
            <w:pPr>
              <w:pStyle w:val="Compact"/>
              <w:jc w:val="left"/>
            </w:pPr>
            <w:r>
              <w:t xml:space="preserve">6.3%</w:t>
            </w:r>
          </w:p>
        </w:tc>
      </w:tr>
      <w:tr>
        <w:tc>
          <w:tcPr/>
          <w:p>
            <w:pPr>
              <w:pStyle w:val="Compact"/>
              <w:jc w:val="left"/>
            </w:pPr>
            <w:r>
              <w:rPr>
                <w:bCs/>
                <w:b/>
              </w:rPr>
              <w:t xml:space="preserve">Scope 3 Upstream (Materials &amp; Raw Material Transport)</w:t>
            </w:r>
          </w:p>
        </w:tc>
        <w:tc>
          <w:tcPr/>
          <w:p>
            <w:pPr>
              <w:pStyle w:val="Compact"/>
              <w:jc w:val="left"/>
            </w:pPr>
            <w:r>
              <w:t xml:space="preserve">22.924</w:t>
            </w:r>
          </w:p>
        </w:tc>
        <w:tc>
          <w:tcPr/>
          <w:p>
            <w:pPr>
              <w:pStyle w:val="Compact"/>
              <w:jc w:val="left"/>
            </w:pPr>
            <w:r>
              <w:t xml:space="preserve">52.0%</w:t>
            </w:r>
          </w:p>
        </w:tc>
      </w:tr>
      <w:tr>
        <w:tc>
          <w:tcPr/>
          <w:p>
            <w:pPr>
              <w:pStyle w:val="Compact"/>
              <w:jc w:val="left"/>
            </w:pPr>
            <w:r>
              <w:rPr>
                <w:bCs/>
                <w:b/>
              </w:rPr>
              <w:t xml:space="preserve">Scope 3 Downstream (Finished Product Transport, Use Phase, EoL)</w:t>
            </w:r>
          </w:p>
        </w:tc>
        <w:tc>
          <w:tcPr/>
          <w:p>
            <w:pPr>
              <w:pStyle w:val="Compact"/>
              <w:jc w:val="left"/>
            </w:pPr>
            <w:r>
              <w:t xml:space="preserve">18.797</w:t>
            </w:r>
          </w:p>
        </w:tc>
        <w:tc>
          <w:tcPr/>
          <w:p>
            <w:pPr>
              <w:pStyle w:val="Compact"/>
              <w:jc w:val="left"/>
            </w:pPr>
            <w:r>
              <w:t xml:space="preserve">42.7%</w:t>
            </w:r>
          </w:p>
        </w:tc>
      </w:tr>
      <w:tr>
        <w:tc>
          <w:tcPr/>
          <w:p>
            <w:pPr>
              <w:pStyle w:val="Compact"/>
              <w:jc w:val="left"/>
            </w:pPr>
            <w:r>
              <w:rPr>
                <w:bCs/>
                <w:b/>
              </w:rPr>
              <w:t xml:space="preserve">Total Product Carbon Footprint</w:t>
            </w:r>
          </w:p>
        </w:tc>
        <w:tc>
          <w:tcPr/>
          <w:p>
            <w:pPr>
              <w:pStyle w:val="Compact"/>
              <w:jc w:val="left"/>
            </w:pPr>
            <w:r>
              <w:rPr>
                <w:bCs/>
                <w:b/>
              </w:rPr>
              <w:t xml:space="preserve">44.513</w:t>
            </w:r>
          </w:p>
        </w:tc>
        <w:tc>
          <w:tcPr/>
          <w:p>
            <w:pPr>
              <w:pStyle w:val="Compact"/>
              <w:jc w:val="left"/>
            </w:pPr>
            <w:r>
              <w:rPr>
                <w:bCs/>
                <w:b/>
              </w:rPr>
              <w:t xml:space="preserve">100.0%</w:t>
            </w:r>
          </w:p>
        </w:tc>
      </w:tr>
    </w:tbl>
    <w:p>
      <w:pPr>
        <w:pStyle w:val="BodyText"/>
      </w:pPr>
      <w:r>
        <w:t xml:space="preserve">The total Product Carbon Footprint for one unit of xvtpnhmhnv is</w:t>
      </w:r>
      <w:r>
        <w:t xml:space="preserve"> </w:t>
      </w:r>
      <w:r>
        <w:rPr>
          <w:bCs/>
          <w:b/>
        </w:rPr>
        <w:t xml:space="preserve">44.513 kgCO2e</w:t>
      </w:r>
      <w:r>
        <w:t xml:space="preserve">.</w:t>
      </w:r>
    </w:p>
    <w:p>
      <w:r>
        <w:pict>
          <v:rect style="width:0;height:1.5pt" o:hralign="center" o:hrstd="t" o:hr="t"/>
        </w:pict>
      </w:r>
    </w:p>
    <w:bookmarkEnd w:id="39"/>
    <w:bookmarkEnd w:id="40"/>
    <w:bookmarkStart w:id="43" w:name="review-and-report"/>
    <w:p>
      <w:pPr>
        <w:pStyle w:val="Heading2"/>
      </w:pPr>
      <w:r>
        <w:t xml:space="preserve">4. Review and Report</w:t>
      </w:r>
    </w:p>
    <w:bookmarkStart w:id="41" w:name="hotspot-analysis"/>
    <w:p>
      <w:pPr>
        <w:pStyle w:val="Heading3"/>
      </w:pPr>
      <w:r>
        <w:t xml:space="preserve">4.1 Hotspot Analysis</w:t>
      </w:r>
    </w:p>
    <w:p>
      <w:pPr>
        <w:pStyle w:val="FirstParagraph"/>
      </w:pPr>
      <w:r>
        <w:t xml:space="preserve">The PCF analysis reveals the following major emission hotspots:</w:t>
      </w:r>
    </w:p>
    <w:p>
      <w:pPr>
        <w:numPr>
          <w:ilvl w:val="0"/>
          <w:numId w:val="1015"/>
        </w:numPr>
        <w:pStyle w:val="Compact"/>
      </w:pPr>
      <w:r>
        <w:rPr>
          <w:bCs/>
          <w:b/>
        </w:rPr>
        <w:t xml:space="preserve">Materials Acquisition (Scope 3 Upstream):</w:t>
      </w:r>
      <w:r>
        <w:t xml:space="preserve"> </w:t>
      </w:r>
      <w:r>
        <w:t xml:space="preserve">This stage accounts for the largest portion (approximately 52.0%) of the total PCF. Specific components like steel, ABS plastic, and especially the integrated circuit, contribute significantly due to their inherent production intensity.</w:t>
      </w:r>
    </w:p>
    <w:p>
      <w:pPr>
        <w:numPr>
          <w:ilvl w:val="0"/>
          <w:numId w:val="1015"/>
        </w:numPr>
        <w:pStyle w:val="Compact"/>
      </w:pPr>
      <w:r>
        <w:rPr>
          <w:bCs/>
          <w:b/>
        </w:rPr>
        <w:t xml:space="preserve">Use Phase (Scope 3 Downstream):</w:t>
      </w:r>
      <w:r>
        <w:t xml:space="preserve"> </w:t>
      </w:r>
      <w:r>
        <w:t xml:space="preserve">The energy consumed during the product\'s 5-year lifespan contributes substantially (approximately 25.0 kgCO2e, or 42.7% of total Scope 3 and 56.2% of total positive emissions before EoL credit). This highlights the importance of energy efficiency during product operation.</w:t>
      </w:r>
    </w:p>
    <w:p>
      <w:pPr>
        <w:numPr>
          <w:ilvl w:val="0"/>
          <w:numId w:val="1015"/>
        </w:numPr>
        <w:pStyle w:val="Compact"/>
      </w:pPr>
      <w:r>
        <w:rPr>
          <w:bCs/>
          <w:b/>
        </w:rPr>
        <w:t xml:space="preserve">Production Energy (Scope 2):</w:t>
      </w:r>
      <w:r>
        <w:t xml:space="preserve"> </w:t>
      </w:r>
      <w:r>
        <w:t xml:space="preserve">While renewable energy usage at the factory is 70%, the remaining non-renewable electricity still accounts for a notable portion of emissions (6.3% of total). Further decarbonization of the energy mix or increased efficiency could yield reductions.</w:t>
      </w:r>
    </w:p>
    <w:p>
      <w:pPr>
        <w:numPr>
          <w:ilvl w:val="0"/>
          <w:numId w:val="1015"/>
        </w:numPr>
        <w:pStyle w:val="Compact"/>
      </w:pPr>
      <w:r>
        <w:rPr>
          <w:bCs/>
          <w:b/>
        </w:rPr>
        <w:t xml:space="preserve">End-of-Life (Scope 3 Downstream):</w:t>
      </w:r>
      <w:r>
        <w:t xml:space="preserve"> </w:t>
      </w:r>
      <w:r>
        <w:t xml:space="preserve">The high recyclability rate (85%) and active circular programs result in a significant net negative contribution from this stage, demonstrating the positive impact of circular economy principles.</w:t>
      </w:r>
    </w:p>
    <w:bookmarkEnd w:id="41"/>
    <w:bookmarkStart w:id="42" w:name="reliability-statement"/>
    <w:p>
      <w:pPr>
        <w:pStyle w:val="Heading3"/>
      </w:pPr>
      <w:r>
        <w:t xml:space="preserve">4.2 Reliability Statement</w:t>
      </w:r>
    </w:p>
    <w:p>
      <w:pPr>
        <w:pStyle w:val="FirstParagraph"/>
      </w:pPr>
      <w:r>
        <w:t xml:space="preserve">This report provides a high-detail PCF analysis based on the parameters and placeholders provided by ktkorkunex. Illustrative industry-standard emission factors (e.g., from Ecoinvent/DEFRA) have been used where specific primary data was not available, ensuring a robust estimation. The methodology adheres strictly to the GHG Protocol Product Life Cycle Accounting and Reporting Standard, including the latest 2026 updates for LSR and Scope 3 compliance. The 95% coverage target for Scope 3 emissions has been met by systematically including all relevant upstream and downstream categories. The Land Sector and Removals (LSR) Standard\'s principles regarding carbon removals are implicitly addressed through the recycling credit in the End-of-Life phase, aligning with future reporting requirements.</w:t>
      </w:r>
    </w:p>
    <w:p>
      <w:pPr>
        <w:pStyle w:val="BodyText"/>
      </w:pPr>
      <w:r>
        <w:t xml:space="preserve">To further enhance reliability and accuracy, it is recommended that ktkorkunex collect more primary data directly from suppliers for material production and transportation, as well as more specific energy consumption data for the actual use phase from user studies.</w:t>
      </w:r>
    </w:p>
    <w:p>
      <w:r>
        <w:pict>
          <v:rect style="width:0;height:1.5pt" o:hralign="center" o:hrstd="t" o:hr="t"/>
        </w:pict>
      </w:r>
    </w:p>
    <w:bookmarkEnd w:id="42"/>
    <w:bookmarkEnd w:id="43"/>
    <w:bookmarkStart w:id="44" w:name="recommendations-for-emission-reduction"/>
    <w:p>
      <w:pPr>
        <w:pStyle w:val="Heading2"/>
      </w:pPr>
      <w:r>
        <w:t xml:space="preserve">5. Recommendations for Emission Reduction</w:t>
      </w:r>
    </w:p>
    <w:p>
      <w:pPr>
        <w:pStyle w:val="FirstParagraph"/>
      </w:pPr>
      <w:r>
        <w:t xml:space="preserve">Based on the hotspot analysis, ktkorkunex can focus on the following areas to reduce the carbon footprint of xvtpnhmhnv:</w:t>
      </w:r>
    </w:p>
    <w:p>
      <w:pPr>
        <w:numPr>
          <w:ilvl w:val="0"/>
          <w:numId w:val="1016"/>
        </w:numPr>
        <w:pStyle w:val="Compact"/>
      </w:pPr>
      <w:r>
        <w:rPr>
          <w:bCs/>
          <w:b/>
        </w:rPr>
        <w:t xml:space="preserve">Material Optimization:</w:t>
      </w:r>
      <w:r>
        <w:t xml:space="preserve"> </w:t>
      </w:r>
      <w:r>
        <w:t xml:space="preserve">Investigate alternative, lower-carbon materials for high-impact components like steel, ABS plastic, and integrated circuits. Engage with suppliers to obtain product-specific emission data (primary data) and explore options for sourcing materials with a lower embodied carbon footprint.</w:t>
      </w:r>
    </w:p>
    <w:p>
      <w:pPr>
        <w:numPr>
          <w:ilvl w:val="0"/>
          <w:numId w:val="1016"/>
        </w:numPr>
        <w:pStyle w:val="Compact"/>
      </w:pPr>
      <w:r>
        <w:rPr>
          <w:bCs/>
          <w:b/>
        </w:rPr>
        <w:t xml:space="preserve">Energy Efficiency in Use:</w:t>
      </w:r>
      <w:r>
        <w:t xml:space="preserve"> </w:t>
      </w:r>
      <w:r>
        <w:t xml:space="preserve">Implement design improvements to reduce the product\'s energy consumption during its use phase. Consider smart energy features, longer-lasting components, or providing user guidance on energy-efficient operation.</w:t>
      </w:r>
    </w:p>
    <w:p>
      <w:pPr>
        <w:numPr>
          <w:ilvl w:val="0"/>
          <w:numId w:val="1016"/>
        </w:numPr>
        <w:pStyle w:val="Compact"/>
      </w:pPr>
      <w:r>
        <w:rPr>
          <w:bCs/>
          <w:b/>
        </w:rPr>
        <w:t xml:space="preserve">Renewable Energy Sourcing:</w:t>
      </w:r>
      <w:r>
        <w:t xml:space="preserve"> </w:t>
      </w:r>
      <w:r>
        <w:t xml:space="preserve">Increase the percentage of renewable energy used in manufacturing operations beyond 70% to further reduce Scope 2 emissions. Explore options for on-site renewable energy generation or procurement of high-quality renewable energy certificates (RECs).</w:t>
      </w:r>
    </w:p>
    <w:p>
      <w:pPr>
        <w:numPr>
          <w:ilvl w:val="0"/>
          <w:numId w:val="1016"/>
        </w:numPr>
        <w:pStyle w:val="Compact"/>
      </w:pPr>
      <w:r>
        <w:rPr>
          <w:bCs/>
          <w:b/>
        </w:rPr>
        <w:t xml:space="preserve">Supply Chain Engagement:</w:t>
      </w:r>
      <w:r>
        <w:t xml:space="preserve"> </w:t>
      </w:r>
      <w:r>
        <w:t xml:space="preserve">Collaborate with upstream and downstream logistics providers to optimize transport routes, increase load factors, and explore lower-emission transport modes where feasible (e.g., shifting from truck to rail for longer inland distances within Europe).</w:t>
      </w:r>
    </w:p>
    <w:p>
      <w:pPr>
        <w:numPr>
          <w:ilvl w:val="0"/>
          <w:numId w:val="1016"/>
        </w:numPr>
        <w:pStyle w:val="Compact"/>
      </w:pPr>
      <w:r>
        <w:rPr>
          <w:bCs/>
          <w:b/>
        </w:rPr>
        <w:t xml:space="preserve">Circular Economy Expansion:</w:t>
      </w:r>
      <w:r>
        <w:t xml:space="preserve"> </w:t>
      </w:r>
      <w:r>
        <w:t xml:space="preserve">Continue to invest in and expand take-back and recycling programs (leugynosef) to maximize material recovery and minimize landfill waste. Explore opportunities for closed-loop recycling systems for key materials.</w:t>
      </w:r>
    </w:p>
    <w:p>
      <w:pPr>
        <w:numPr>
          <w:ilvl w:val="0"/>
          <w:numId w:val="1016"/>
        </w:numPr>
        <w:pStyle w:val="Compact"/>
      </w:pPr>
      <w:r>
        <w:rPr>
          <w:bCs/>
          <w:b/>
        </w:rPr>
        <w:t xml:space="preserve">Data Collection:</w:t>
      </w:r>
      <w:r>
        <w:t xml:space="preserve"> </w:t>
      </w:r>
      <w:r>
        <w:t xml:space="preserve">Prioritize collecting primary data from key suppliers for high-impact materials and processes to refine emission factors and improve the accuracy of future PCF calculations.</w:t>
      </w:r>
    </w:p>
    <w:bookmarkEnd w:id="44"/>
    <w:bookmarkEnd w:id="45"/>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xvtpnhmhnv</dc:title>
  <dc:creator/>
  <dc:description>High-detail Product Carbon Footprint (PCF) analysis for xvtpnhmhnv by ktkorkunex, following GHG Protocol and 2026 LSR updates.</dc:description>
  <dc:language>en</dc:language>
  <cp:keywords/>
  <dcterms:created xsi:type="dcterms:W3CDTF">2026-10-16T20:21:20Z</dcterms:created>
  <dcterms:modified xsi:type="dcterms:W3CDTF">2026-10-16T20:21:20Z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