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xsxeuhrnkf</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xsxeuhrnkf</w:t>
      </w:r>
    </w:p>
    <w:p>
      <w:pPr>
        <w:pStyle w:val="BodyText"/>
      </w:pPr>
      <w:r>
        <w:t xml:space="preserve">Company Name: xdutsltyrr</w:t>
      </w:r>
    </w:p>
    <w:p>
      <w:pPr>
        <w:pStyle w:val="BodyText"/>
      </w:pPr>
      <w:r>
        <w:t xml:space="preserve">Senior Sustainability Consultant: hfzzpykfey</w:t>
      </w:r>
    </w:p>
    <w:p>
      <w:pPr>
        <w:pStyle w:val="BodyText"/>
      </w:pPr>
      <w:r>
        <w:t xml:space="preserve">Protocol Data (Accounting Standard): GHG Protocol</w:t>
      </w:r>
    </w:p>
    <w:p>
      <w:pPr>
        <w:pStyle w:val="BodyText"/>
      </w:pPr>
      <w:r>
        <w:t xml:space="preserve">Disclaimer: This report is generated based on available data and industry standards.</w:t>
      </w:r>
      <w:r>
        <w:t xml:space="preserve"> </w:t>
      </w:r>
      <w:r>
        <w:t xml:space="preserve">The accuracy of the results is dependent on the completeness and reliability of the input data.</w:t>
      </w:r>
      <w:r>
        <w:t xml:space="preserve"> </w:t>
      </w:r>
      <w:r>
        <w:t xml:space="preserve">Assumptions have been made where specific data was not provided.</w:t>
      </w:r>
    </w:p>
    <w:bookmarkEnd w:id="20"/>
    <w:bookmarkStart w:id="44" w:name="X76c94fb3a8d626f4b8d24f0946993e3e91b3c69"/>
    <w:p>
      <w:pPr>
        <w:pStyle w:val="Heading1"/>
      </w:pPr>
      <w:r>
        <w:t xml:space="preserve">Product Carbon Footprint Analysis for xsxeuhrnkf</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"xsxeuhrnkf" manufactured by "xdutsltyrr". As Senior Sustainability Consultant hfzzpykfey, this analysis adheres strictly to the GHG Protocol standards, including the latest 2026 Land Sector and Removals (LSR) update and the proposed 95% Scope 3 coverage requirement. The total Product Carbon Footprint for one functional unit of xsxeuhrnkf is calculated to be</w:t>
      </w:r>
      <w:r>
        <w:t xml:space="preserve"> </w:t>
      </w:r>
      <w:r>
        <w:rPr>
          <w:bCs/>
          <w:b/>
        </w:rPr>
        <w:t xml:space="preserve">26.88 kg CO2e</w:t>
      </w:r>
      <w:r>
        <w:t xml:space="preserve">. The primary hotspots identified are the material acquisition and production phases, along with the use phase due to electricity consumption.</w:t>
      </w:r>
    </w:p>
    <w:p>
      <w:r>
        <w:pict>
          <v:rect style="width:0;height:1.5pt" o:hralign="center" o:hrstd="t" o:hr="t"/>
        </w:pict>
      </w:r>
    </w:p>
    <w:bookmarkEnd w:id="21"/>
    <w:bookmarkStart w:id="23" w:name="methodology-followed"/>
    <w:p>
      <w:pPr>
        <w:pStyle w:val="Heading2"/>
      </w:pPr>
      <w:r>
        <w:t xml:space="preserve">1. Methodology Followed</w:t>
      </w:r>
    </w:p>
    <w:p>
      <w:pPr>
        <w:pStyle w:val="FirstParagraph"/>
      </w:pPr>
      <w:r>
        <w:t xml:space="preserve">The Product Carbon Footprint (PCF) analysis was conducted following a five-step methodology in accordance with GHG Protocol standards: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processes (LCI inventory stages).</w:t>
      </w:r>
    </w:p>
    <w:p>
      <w:pPr>
        <w:numPr>
          <w:ilvl w:val="0"/>
          <w:numId w:val="1001"/>
        </w:numPr>
        <w:pStyle w:val="Compact"/>
      </w:pPr>
      <w:r>
        <w:rPr>
          <w:bCs/>
          <w:b/>
        </w:rPr>
        <w:t xml:space="preserve">Collect Data:</w:t>
      </w:r>
      <w:r>
        <w:t xml:space="preserve"> </w:t>
      </w:r>
      <w:r>
        <w:t xml:space="preserve">Gather primary and secondary data points for all identified activities and inputs.</w:t>
      </w:r>
    </w:p>
    <w:p>
      <w:pPr>
        <w:numPr>
          <w:ilvl w:val="0"/>
          <w:numId w:val="1001"/>
        </w:numPr>
        <w:pStyle w:val="Compact"/>
      </w:pPr>
      <w:r>
        <w:rPr>
          <w:bCs/>
          <w:b/>
        </w:rPr>
        <w:t xml:space="preserve">Calculate Emissions:</w:t>
      </w:r>
      <w:r>
        <w:t xml:space="preserve"> </w:t>
      </w:r>
      <w:r>
        <w:t xml:space="preserve">Quantify greenhouse gas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results to identify emission hotspots, assess data reliability, and provide actionable recommendations.</w:t>
      </w:r>
    </w:p>
    <w:bookmarkStart w:id="22" w:name="ghg-protocol-adherence-and-2026-updates"/>
    <w:p>
      <w:pPr>
        <w:pStyle w:val="Heading3"/>
      </w:pPr>
      <w:r>
        <w:t xml:space="preserve">1.1. GHG Protocol Adherence and 2026 Updates</w:t>
      </w:r>
    </w:p>
    <w:p>
      <w:pPr>
        <w:pStyle w:val="FirstParagraph"/>
      </w:pPr>
      <w:r>
        <w:t xml:space="preserve">This analysis categorizes emissions into three scopes as defined by the GHG Protocol:</w:t>
      </w:r>
    </w:p>
    <w:p>
      <w:pPr>
        <w:numPr>
          <w:ilvl w:val="0"/>
          <w:numId w:val="1002"/>
        </w:numPr>
        <w:pStyle w:val="Compact"/>
      </w:pPr>
      <w:r>
        <w:rPr>
          <w:bCs/>
          <w:b/>
        </w:rPr>
        <w:t xml:space="preserve">Scope 1: Direct GHG Emissions</w:t>
      </w:r>
      <w:r>
        <w:t xml:space="preserve"> </w:t>
      </w:r>
      <w:r>
        <w:t xml:space="preserve">from sources owned or controlled by the reporting company (e.g., on-site fuel combustion).</w:t>
      </w:r>
    </w:p>
    <w:p>
      <w:pPr>
        <w:numPr>
          <w:ilvl w:val="0"/>
          <w:numId w:val="1002"/>
        </w:numPr>
        <w:pStyle w:val="Compact"/>
      </w:pPr>
      <w:r>
        <w:rPr>
          <w:bCs/>
          <w:b/>
        </w:rPr>
        <w:t xml:space="preserve">Scope 2: Indirect GHG Emissions</w:t>
      </w:r>
      <w:r>
        <w:t xml:space="preserve"> </w:t>
      </w:r>
      <w:r>
        <w:t xml:space="preserve">from the generation of purchased electricity, heat, or steam consumed by the reporting company.</w:t>
      </w:r>
    </w:p>
    <w:p>
      <w:pPr>
        <w:numPr>
          <w:ilvl w:val="0"/>
          <w:numId w:val="1002"/>
        </w:numPr>
        <w:pStyle w:val="Compact"/>
      </w:pPr>
      <w:r>
        <w:rPr>
          <w:bCs/>
          <w:b/>
        </w:rPr>
        <w:t xml:space="preserve">Scope 3: Other Indirect GHG Emissions</w:t>
      </w:r>
      <w:r>
        <w:t xml:space="preserve"> </w:t>
      </w:r>
      <w:r>
        <w:t xml:space="preserve">occurring from the value chain, both upstream and downstream, not included in Scope 1 or 2. This includes emissions from purchased goods and services, transportation, use of sold products, and end-of-life treatment.</w:t>
      </w:r>
    </w:p>
    <w:p>
      <w:pPr>
        <w:pStyle w:val="FirstParagraph"/>
      </w:pPr>
      <w:r>
        <w:t xml:space="preserve">In line with evolving standards, this report also incorporates the</w:t>
      </w:r>
      <w:r>
        <w:t xml:space="preserve"> </w:t>
      </w:r>
      <w:r>
        <w:rPr>
          <w:bCs/>
          <w:b/>
        </w:rPr>
        <w:t xml:space="preserve">2026 Land Sector and Removals (LSR) Standard</w:t>
      </w:r>
      <w:r>
        <w:t xml:space="preserve">, which provides specific guidance for accounting and reporting GHG emissions and carbon removals from land use and land management activities. The LSR Standard, released on January 30, 2026, and effective January 1, 2027, aims to provide greater clarity for companies with significant land sector activities or those reporting CO2 removals. While specific land-use change data for direct product components was not provided, the framework of the LSR Standard has been considered in the overall approach to ensure future compliance and data integration.</w:t>
      </w:r>
    </w:p>
    <w:p>
      <w:pPr>
        <w:pStyle w:val="BodyText"/>
      </w:pPr>
      <w:r>
        <w:t xml:space="preserve">Furthermore, this analysis aims for</w:t>
      </w:r>
      <w:r>
        <w:t xml:space="preserve"> </w:t>
      </w:r>
      <w:r>
        <w:rPr>
          <w:bCs/>
          <w:b/>
        </w:rPr>
        <w:t xml:space="preserve">Scope 3 compliance</w:t>
      </w:r>
      <w:r>
        <w:t xml:space="preserve"> </w:t>
      </w:r>
      <w:r>
        <w:t xml:space="preserve">by targeting at least 95% coverage for all required Scope 3 emissions, in line with the proposed 2026 requirements. Exclusions, if any, are minimized, quantified, disclosed, and justified to ensure comprehensive reporting.</w:t>
      </w:r>
    </w:p>
    <w:p>
      <w:r>
        <w:pict>
          <v:rect style="width:0;height:1.5pt" o:hralign="center" o:hrstd="t" o:hr="t"/>
        </w:pict>
      </w:r>
    </w:p>
    <w:bookmarkEnd w:id="22"/>
    <w:bookmarkEnd w:id="23"/>
    <w:bookmarkStart w:id="24" w:name="scope-definition"/>
    <w:p>
      <w:pPr>
        <w:pStyle w:val="Heading2"/>
      </w:pPr>
      <w:r>
        <w:t xml:space="preserve">2. Scope Definition</w:t>
      </w:r>
    </w:p>
    <w:p>
      <w:pPr>
        <w:pStyle w:val="FirstParagraph"/>
      </w:pPr>
      <w:r>
        <w:t xml:space="preserve">The foundational elements for this PCF analysis are defined as follows:</w:t>
      </w:r>
    </w:p>
    <w:p>
      <w:pPr>
        <w:numPr>
          <w:ilvl w:val="0"/>
          <w:numId w:val="1003"/>
        </w:numPr>
        <w:pStyle w:val="Compact"/>
      </w:pPr>
      <w:r>
        <w:rPr>
          <w:bCs/>
          <w:b/>
        </w:rPr>
        <w:t xml:space="preserve">Functional Unit:</w:t>
      </w:r>
      <w:r>
        <w:t xml:space="preserve"> </w:t>
      </w:r>
      <w:r>
        <w:t xml:space="preserve">1.0 unit of xsxeuhrnkf</w:t>
      </w:r>
    </w:p>
    <w:p>
      <w:pPr>
        <w:numPr>
          <w:ilvl w:val="0"/>
          <w:numId w:val="1003"/>
        </w:numPr>
        <w:pStyle w:val="Compact"/>
      </w:pPr>
      <w:r>
        <w:rPr>
          <w:bCs/>
          <w:b/>
        </w:rPr>
        <w:t xml:space="preserve">System Boundary:</w:t>
      </w:r>
      <w:r>
        <w:t xml:space="preserve"> </w:t>
      </w:r>
      <w:r>
        <w:t xml:space="preserve">Cradle-to-gate, extending to include the use phase and end-of-life (EoL) treatment, effectively covering the product\'s full lifecycle ("factory_gate" boundary for production, with downstream elements added).</w:t>
      </w:r>
    </w:p>
    <w:p>
      <w:pPr>
        <w:numPr>
          <w:ilvl w:val="0"/>
          <w:numId w:val="1003"/>
        </w:numPr>
        <w:pStyle w:val="Compact"/>
      </w:pPr>
      <w:r>
        <w:rPr>
          <w:bCs/>
          <w:b/>
        </w:rPr>
        <w:t xml:space="preserve">Geographic Scope:</w:t>
      </w:r>
      <w:r>
        <w:t xml:space="preserve"> </w:t>
      </w:r>
      <w:r>
        <w:t xml:space="preserve">Final Production Country: China, with a Supply Chain Focus on Europe.</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Emissions are allocated based on mass and economic value where multi-functional processes or co-products are involved. Specific allocation rules for shared processes within the supply chain are assumed to be consistent with industry best practices.</w:t>
      </w:r>
    </w:p>
    <w:p>
      <w:r>
        <w:pict>
          <v:rect style="width:0;height:1.5pt" o:hralign="center" o:hrstd="t" o:hr="t"/>
        </w:pict>
      </w:r>
    </w:p>
    <w:bookmarkEnd w:id="24"/>
    <w:bookmarkStart w:id="30" w:name="lifecycle-mapping-and-data-collection"/>
    <w:p>
      <w:pPr>
        <w:pStyle w:val="Heading2"/>
      </w:pPr>
      <w:r>
        <w:t xml:space="preserve">3. Lifecycle Mapping and Data Collection</w:t>
      </w:r>
    </w:p>
    <w:p>
      <w:pPr>
        <w:pStyle w:val="FirstParagraph"/>
      </w:pPr>
      <w:r>
        <w:t xml:space="preserve">This section details the inputs and processes across the product\'s lifecycle, from raw material acquisition to end-of-life.</w:t>
      </w:r>
    </w:p>
    <w:bookmarkStart w:id="25" w:name="X65f9249dcdd4dbf4aff8b09565650d0031bb410"/>
    <w:p>
      <w:pPr>
        <w:pStyle w:val="Heading3"/>
      </w:pPr>
      <w:r>
        <w:t xml:space="preserve">3.1. Material Acquisition and Production (Upstream - Scope 3, Category 1)</w:t>
      </w:r>
    </w:p>
    <w:p>
      <w:pPr>
        <w:pStyle w:val="FirstParagraph"/>
      </w:pPr>
      <w:r>
        <w:t xml:space="preserve">The Bill of Materials (BOM) for "xsxeuhrnkf" serves as the primary data source for material inputs. The following table details each material component, its quantity, and associated cradle-to-gate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MAT002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MAT003</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Emissions:</w:t>
            </w:r>
          </w:p>
        </w:tc>
        <w:tc>
          <w:tcPr/>
          <w:p>
            <w:pPr>
              <w:pStyle w:val="Compact"/>
              <w:jc w:val="left"/>
            </w:pPr>
            <w:r>
              <w:rPr>
                <w:bCs/>
                <w:b/>
              </w:rPr>
              <w:t xml:space="preserve">13.10 kg CO2e</w:t>
            </w:r>
          </w:p>
        </w:tc>
      </w:tr>
    </w:tbl>
    <w:p>
      <w:pPr>
        <w:pStyle w:val="BodyText"/>
      </w:pPr>
      <w:r>
        <w:t xml:space="preserve">The Emission Factors (EFs) provided in the BOM are directly used for calculating the material impact. It\'s noted that the EF for Aluminium Casing (15.0 kg CO2e/kg) is consistent with typical primary aluminium production emissions, which range significantly. The EF for Copper Wiring (4.0 kg CO2e/kg) and Lithium-ion Battery (25.0 kg CO2e/kg) are applied as provided, reflecting the specific manufacturing processes. The EF for packaging (Cardboard) at 1.5 kg CO2e/kg is applied as given in the BOM.</w:t>
      </w:r>
    </w:p>
    <w:bookmarkEnd w:id="25"/>
    <w:bookmarkStart w:id="26" w:name="X7afae2babbc270dbdaa48fd58b7ca0c189bdb0f"/>
    <w:p>
      <w:pPr>
        <w:pStyle w:val="Heading3"/>
      </w:pPr>
      <w:r>
        <w:t xml:space="preserve">3.2. Production Phase Energy Consumption (Scope 2)</w:t>
      </w:r>
    </w:p>
    <w:p>
      <w:pPr>
        <w:pStyle w:val="FirstParagraph"/>
      </w:pPr>
      <w:r>
        <w:t xml:space="preserve">The manufacturing process for "xsxeuhrnkf" takes place in China.</w:t>
      </w:r>
    </w:p>
    <w:p>
      <w:pPr>
        <w:numPr>
          <w:ilvl w:val="0"/>
          <w:numId w:val="1004"/>
        </w:numPr>
        <w:pStyle w:val="Compact"/>
      </w:pPr>
      <w:r>
        <w:rPr>
          <w:bCs/>
          <w:b/>
        </w:rPr>
        <w:t xml:space="preserve">Energy Intensity (kWh/unit):</w:t>
      </w:r>
      <w:r>
        <w:t xml:space="preserve"> </w:t>
      </w:r>
      <w:r>
        <w:t xml:space="preserve">5.0 kWh/unit (eoisnngfye)</w:t>
      </w:r>
    </w:p>
    <w:p>
      <w:pPr>
        <w:numPr>
          <w:ilvl w:val="0"/>
          <w:numId w:val="1004"/>
        </w:numPr>
        <w:pStyle w:val="Compact"/>
      </w:pPr>
      <w:r>
        <w:rPr>
          <w:bCs/>
          <w:b/>
        </w:rPr>
        <w:t xml:space="preserve">Renewable Energy Usage:</w:t>
      </w:r>
      <w:r>
        <w:t xml:space="preserve"> </w:t>
      </w:r>
      <w:r>
        <w:t xml:space="preserve">75% (furxeqemwz)</w:t>
      </w:r>
    </w:p>
    <w:p>
      <w:pPr>
        <w:pStyle w:val="FirstParagraph"/>
      </w:pPr>
      <w:r>
        <w:t xml:space="preserve">The grid emission factor for electricity in China is assumed to be an average of 0.6 kg CO2e/kWh for the non-renewable portion of electricity consumption.</w:t>
      </w:r>
    </w:p>
    <w:bookmarkEnd w:id="26"/>
    <w:bookmarkStart w:id="27" w:name="X79e7c8da5e59b0f70c3ddaa4bbfe73e51d65b93"/>
    <w:p>
      <w:pPr>
        <w:pStyle w:val="Heading3"/>
      </w:pPr>
      <w:r>
        <w:t xml:space="preserve">3.3. Transportation (Upstream - Scope 3, Category 4)</w:t>
      </w:r>
    </w:p>
    <w:p>
      <w:pPr>
        <w:pStyle w:val="FirstParagraph"/>
      </w:pPr>
      <w:r>
        <w:t xml:space="preserve">Transportation of materials and finished products from the production facility to the point of sale is a critical component of the supply chain footprint.</w:t>
      </w:r>
    </w:p>
    <w:p>
      <w:pPr>
        <w:numPr>
          <w:ilvl w:val="0"/>
          <w:numId w:val="1005"/>
        </w:numPr>
        <w:pStyle w:val="Compact"/>
      </w:pPr>
      <w:r>
        <w:rPr>
          <w:bCs/>
          <w:b/>
        </w:rPr>
        <w:t xml:space="preserve">Total Product Weight:</w:t>
      </w:r>
      <w:r>
        <w:t xml:space="preserve"> </w:t>
      </w:r>
      <w:r>
        <w:t xml:space="preserve">1.1 kg (sum of BOM quantities, assuming 0.1 unit PCB has 0.1 kg weight).</w:t>
      </w:r>
    </w:p>
    <w:p>
      <w:pPr>
        <w:numPr>
          <w:ilvl w:val="0"/>
          <w:numId w:val="1005"/>
        </w:numPr>
        <w:pStyle w:val="Compact"/>
      </w:pPr>
      <w:r>
        <w:rPr>
          <w:bCs/>
          <w:b/>
        </w:rPr>
        <w:t xml:space="preserve">Main Transport Mode:</w:t>
      </w:r>
      <w:r>
        <w:t xml:space="preserve"> </w:t>
      </w:r>
      <w:r>
        <w:t xml:space="preserve">Ocean Freight (Select Mode)</w:t>
      </w:r>
    </w:p>
    <w:p>
      <w:pPr>
        <w:numPr>
          <w:ilvl w:val="0"/>
          <w:numId w:val="1005"/>
        </w:numPr>
        <w:pStyle w:val="Compact"/>
      </w:pPr>
      <w:r>
        <w:rPr>
          <w:bCs/>
          <w:b/>
        </w:rPr>
        <w:t xml:space="preserve">Main Transport Distance:</w:t>
      </w:r>
      <w:r>
        <w:t xml:space="preserve"> </w:t>
      </w:r>
      <w:r>
        <w:t xml:space="preserve">15000 km (hyqsjetzte)</w:t>
      </w:r>
    </w:p>
    <w:p>
      <w:pPr>
        <w:numPr>
          <w:ilvl w:val="0"/>
          <w:numId w:val="1005"/>
        </w:numPr>
        <w:pStyle w:val="Compact"/>
      </w:pPr>
      <w:r>
        <w:rPr>
          <w:bCs/>
          <w:b/>
        </w:rPr>
        <w:t xml:space="preserve">Last-Mile Delivery Channel:</w:t>
      </w:r>
      <w:r>
        <w:t xml:space="preserve"> </w:t>
      </w:r>
      <w:r>
        <w:t xml:space="preserve">Road Freight (Light Commercial Vehicle) (Delivery Type)</w:t>
      </w:r>
    </w:p>
    <w:p>
      <w:pPr>
        <w:numPr>
          <w:ilvl w:val="0"/>
          <w:numId w:val="1005"/>
        </w:numPr>
        <w:pStyle w:val="Compact"/>
      </w:pPr>
      <w:r>
        <w:rPr>
          <w:bCs/>
          <w:b/>
        </w:rPr>
        <w:t xml:space="preserve">Assumed Last-Mile Distance:</w:t>
      </w:r>
      <w:r>
        <w:t xml:space="preserve"> </w:t>
      </w:r>
      <w:r>
        <w:t xml:space="preserve">500 km</w:t>
      </w:r>
    </w:p>
    <w:p>
      <w:pPr>
        <w:pStyle w:val="FirstParagraph"/>
      </w:pPr>
      <w:r>
        <w:t xml:space="preserve">Industry-standard emission factors were used: 0.016 kg CO2e per tonne-kilometer (tkm) for Ocean Freight and 0.08 kg CO2e per tkm for Road Freight (Light Commercial Vehicle).</w:t>
      </w:r>
    </w:p>
    <w:bookmarkEnd w:id="27"/>
    <w:bookmarkStart w:id="28" w:name="X01fffecb4d51cf9638741502492363d57dc681a"/>
    <w:p>
      <w:pPr>
        <w:pStyle w:val="Heading3"/>
      </w:pPr>
      <w:r>
        <w:t xml:space="preserve">3.4. Use Phase (Downstream - Scope 3, Category 11)</w:t>
      </w:r>
    </w:p>
    <w:p>
      <w:pPr>
        <w:pStyle w:val="FirstParagraph"/>
      </w:pPr>
      <w:r>
        <w:t xml:space="preserve">The energy consumption during the product\'s lifespan is a significant contributor to its overall footprint.</w:t>
      </w:r>
    </w:p>
    <w:p>
      <w:pPr>
        <w:numPr>
          <w:ilvl w:val="0"/>
          <w:numId w:val="1006"/>
        </w:numPr>
        <w:pStyle w:val="Compact"/>
      </w:pPr>
      <w:r>
        <w:rPr>
          <w:bCs/>
          <w:b/>
        </w:rPr>
        <w:t xml:space="preserve">Product Lifespan:</w:t>
      </w:r>
      <w:r>
        <w:t xml:space="preserve"> </w:t>
      </w:r>
      <w:r>
        <w:t xml:space="preserve">5 years (udmhwudzre)</w:t>
      </w:r>
    </w:p>
    <w:p>
      <w:pPr>
        <w:numPr>
          <w:ilvl w:val="0"/>
          <w:numId w:val="1006"/>
        </w:numPr>
        <w:pStyle w:val="Compact"/>
      </w:pPr>
      <w:r>
        <w:rPr>
          <w:bCs/>
          <w:b/>
        </w:rPr>
        <w:t xml:space="preserve">Energy Consumption in Use:</w:t>
      </w:r>
      <w:r>
        <w:t xml:space="preserve"> </w:t>
      </w:r>
      <w:r>
        <w:t xml:space="preserve">10 kWh/year (elpxwhnkpl)</w:t>
      </w:r>
    </w:p>
    <w:p>
      <w:pPr>
        <w:pStyle w:val="FirstParagraph"/>
      </w:pPr>
      <w:r>
        <w:t xml:space="preserve">Given the supply chain focus on Europe, a generic European electricity grid emission factor of 0.25 kg CO2e/kWh is applied for the use phase.</w:t>
      </w:r>
    </w:p>
    <w:bookmarkEnd w:id="28"/>
    <w:bookmarkStart w:id="29" w:name="Xfd069e7e5106f6c55e532b52df751e12046219f"/>
    <w:p>
      <w:pPr>
        <w:pStyle w:val="Heading3"/>
      </w:pPr>
      <w:r>
        <w:t xml:space="preserve">3.5. End-of-Life (Downstream - Scope 3, Category 12)</w:t>
      </w:r>
    </w:p>
    <w:p>
      <w:pPr>
        <w:pStyle w:val="FirstParagraph"/>
      </w:pPr>
      <w:r>
        <w:t xml:space="preserve">The end-of-life scenario is crucial for assessing circular economy impacts.</w:t>
      </w:r>
    </w:p>
    <w:p>
      <w:pPr>
        <w:numPr>
          <w:ilvl w:val="0"/>
          <w:numId w:val="1007"/>
        </w:numPr>
        <w:pStyle w:val="Compact"/>
      </w:pPr>
      <w:r>
        <w:rPr>
          <w:bCs/>
          <w:b/>
        </w:rPr>
        <w:t xml:space="preserve">Recyclability Percentage:</w:t>
      </w:r>
      <w:r>
        <w:t xml:space="preserve"> </w:t>
      </w:r>
      <w:r>
        <w:t xml:space="preserve">80% (vnetrigvku)</w:t>
      </w:r>
    </w:p>
    <w:p>
      <w:pPr>
        <w:numPr>
          <w:ilvl w:val="0"/>
          <w:numId w:val="1007"/>
        </w:numPr>
        <w:pStyle w:val="Compact"/>
      </w:pPr>
      <w:r>
        <w:rPr>
          <w:bCs/>
          <w:b/>
        </w:rPr>
        <w:t xml:space="preserve">Circular/Take-back Programs:</w:t>
      </w:r>
      <w:r>
        <w:t xml:space="preserve"> </w:t>
      </w:r>
      <w:r>
        <w:t xml:space="preserve">Product take-back and refurbishment program in place (tusmxdwoki)</w:t>
      </w:r>
    </w:p>
    <w:p>
      <w:pPr>
        <w:pStyle w:val="FirstParagraph"/>
      </w:pPr>
      <w:r>
        <w:t xml:space="preserve">Emissions from the disposal of the non-recycled portion are considered. For simplicity and as no specific emission factor for recycling process or avoided emissions from take-back programs were provided, a generic disposal emission factor of 1.0 kg CO2e/kg is applied to the unrecycled mass. The existence of a robust take-back and refurbishment program, while not quantitatively modeled in detail here due to data limitations, is expected to further reduce the overall end-of-life impact beyond the stated recyclability percentage by promoting reuse and material longevity.</w:t>
      </w:r>
    </w:p>
    <w:p>
      <w:r>
        <w:pict>
          <v:rect style="width:0;height:1.5pt" o:hralign="center" o:hrstd="t" o:hr="t"/>
        </w:pict>
      </w:r>
    </w:p>
    <w:bookmarkEnd w:id="29"/>
    <w:bookmarkEnd w:id="30"/>
    <w:bookmarkStart w:id="39" w:name="emission-calculations"/>
    <w:p>
      <w:pPr>
        <w:pStyle w:val="Heading2"/>
      </w:pPr>
      <w:r>
        <w:t xml:space="preserve">4. Emission Calculations</w:t>
      </w:r>
    </w:p>
    <w:p>
      <w:pPr>
        <w:pStyle w:val="FirstParagraph"/>
      </w:pPr>
      <w:r>
        <w:t xml:space="preserve">The total Product Carbon Footprint (PCF) for one unit of "xsxeuhrnkf" is calculated by summing the emissions across all lifecycle stages.</w:t>
      </w:r>
    </w:p>
    <w:bookmarkStart w:id="31" w:name="scope-1-emissions"/>
    <w:p>
      <w:pPr>
        <w:pStyle w:val="Heading3"/>
      </w:pPr>
      <w:r>
        <w:t xml:space="preserve">4.1. Scope 1 Emissions</w:t>
      </w:r>
    </w:p>
    <w:p>
      <w:pPr>
        <w:pStyle w:val="FirstParagraph"/>
      </w:pPr>
      <w:r>
        <w:t xml:space="preserve">Given the "factory_gate" system boundary and the nature of the provided data (BOM with embedded process emissions, purchased electricity), direct Scope 1 emissions from on-site fuel combustion are considered negligible or implicitly covered within the BOM\'s \'Process\' emission factors. No specific on-site fuel consumption data was provided to calculate explicit Scope 1 emissions.</w:t>
      </w:r>
    </w:p>
    <w:bookmarkEnd w:id="31"/>
    <w:bookmarkStart w:id="32" w:name="Xdcb69c89a2d5b7d56bbdc01f79a116e1def7079"/>
    <w:p>
      <w:pPr>
        <w:pStyle w:val="Heading3"/>
      </w:pPr>
      <w:r>
        <w:t xml:space="preserve">4.2. Scope 2 Emissions: Purchased Electricity for Production</w:t>
      </w:r>
    </w:p>
    <w:p>
      <w:pPr>
        <w:pStyle w:val="FirstParagraph"/>
      </w:pPr>
      <w:r>
        <w:t xml:space="preserve">Non-renewable electricity consumed = Energy Intensity × (1 - Renewable Energy Usage)</w:t>
      </w:r>
      <w:r>
        <w:br/>
      </w:r>
      <w:r>
        <w:t xml:space="preserve">= 5.0 kWh/unit × (1 - 0.75) = 1.25 kWh/unit</w:t>
      </w:r>
      <w:r>
        <w:br/>
      </w:r>
      <w:r>
        <w:t xml:space="preserve">Scope 2 Emissions = Non-renewable electricity consumed × China Grid Emission Factor</w:t>
      </w:r>
      <w:r>
        <w:br/>
      </w:r>
      <w:r>
        <w:t xml:space="preserve">= 1.25 kWh/unit × 0.6 kg CO2e/kWh =</w:t>
      </w:r>
      <w:r>
        <w:t xml:space="preserve"> </w:t>
      </w:r>
      <w:r>
        <w:rPr>
          <w:bCs/>
          <w:b/>
        </w:rPr>
        <w:t xml:space="preserve">0.75 kg CO2e/unit</w:t>
      </w:r>
    </w:p>
    <w:bookmarkEnd w:id="32"/>
    <w:bookmarkStart w:id="37" w:name="scope-3-emissions"/>
    <w:p>
      <w:pPr>
        <w:pStyle w:val="Heading3"/>
      </w:pPr>
      <w:r>
        <w:t xml:space="preserve">4.3. Scope 3 Emissions</w:t>
      </w:r>
    </w:p>
    <w:bookmarkStart w:id="33" w:name="Xd6ef2acf3700fa10afb1c7deefed15bfd928f1f"/>
    <w:p>
      <w:pPr>
        <w:pStyle w:val="Heading4"/>
      </w:pPr>
      <w:r>
        <w:t xml:space="preserve">4.3.1. Materials (Category 1: Purchased Goods and Services)</w:t>
      </w:r>
    </w:p>
    <w:p>
      <w:pPr>
        <w:pStyle w:val="FirstParagraph"/>
      </w:pPr>
      <w:r>
        <w:t xml:space="preserve">Total emissions from material acquisition and production (from BOM) =</w:t>
      </w:r>
      <w:r>
        <w:t xml:space="preserve"> </w:t>
      </w:r>
      <w:r>
        <w:rPr>
          <w:bCs/>
          <w:b/>
        </w:rPr>
        <w:t xml:space="preserve">13.10 kg CO2e/unit</w:t>
      </w:r>
    </w:p>
    <w:bookmarkEnd w:id="33"/>
    <w:bookmarkStart w:id="34" w:name="X7784c8d412a2d3c2b3f8c3693a890f450cd4218"/>
    <w:p>
      <w:pPr>
        <w:pStyle w:val="Heading4"/>
      </w:pPr>
      <w:r>
        <w:t xml:space="preserve">4.3.2. Transportation (Category 4: Upstream Transportation and Distribution)</w:t>
      </w:r>
    </w:p>
    <w:p>
      <w:pPr>
        <w:pStyle w:val="FirstParagraph"/>
      </w:pPr>
      <w:r>
        <w:t xml:space="preserve">Product weight for transport = 1.1 kg = 0.0011 tonnes</w:t>
      </w:r>
    </w:p>
    <w:p>
      <w:pPr>
        <w:pStyle w:val="BodyText"/>
      </w:pPr>
      <w:r>
        <w:t xml:space="preserve">Ocean Freight Emissions = Product Weight (tonnes) × Main Transport Distance (km) × Ocean Freight EF (kg CO2e/tkm)</w:t>
      </w:r>
      <w:r>
        <w:br/>
      </w:r>
      <w:r>
        <w:t xml:space="preserve">= 0.0011 tonnes × 15000 km × 0.016 kg CO2e/tkm = 0.264 kg CO2e/unit</w:t>
      </w:r>
    </w:p>
    <w:p>
      <w:pPr>
        <w:pStyle w:val="BodyText"/>
      </w:pPr>
      <w:r>
        <w:t xml:space="preserve">Road Freight (Last-Mile) Emissions = Product Weight (tonnes) × Last-Mile Distance (km) × Road Freight EF (kg CO2e/tkm)</w:t>
      </w:r>
      <w:r>
        <w:br/>
      </w:r>
      <w:r>
        <w:t xml:space="preserve">= 0.0011 tonnes × 500 km × 0.08 kg CO2e/tkm = 0.044 kg CO2e/unit</w:t>
      </w:r>
    </w:p>
    <w:p>
      <w:pPr>
        <w:pStyle w:val="BodyText"/>
      </w:pPr>
      <w:r>
        <w:t xml:space="preserve">Total Transportation Emissions = 0.264 + 0.044 =</w:t>
      </w:r>
      <w:r>
        <w:t xml:space="preserve"> </w:t>
      </w:r>
      <w:r>
        <w:rPr>
          <w:bCs/>
          <w:b/>
        </w:rPr>
        <w:t xml:space="preserve">0.308 kg CO2e/unit</w:t>
      </w:r>
    </w:p>
    <w:bookmarkEnd w:id="34"/>
    <w:bookmarkStart w:id="35" w:name="X8d12bf184da61ed1b86eb215c14cb92288143a6"/>
    <w:p>
      <w:pPr>
        <w:pStyle w:val="Heading4"/>
      </w:pPr>
      <w:r>
        <w:t xml:space="preserve">4.3.3. Use Phase (Category 11: Use of Sold Products)</w:t>
      </w:r>
    </w:p>
    <w:p>
      <w:pPr>
        <w:pStyle w:val="FirstParagraph"/>
      </w:pPr>
      <w:r>
        <w:t xml:space="preserve">Total energy consumption over lifespan = Energy Consumption in Use (kWh/year) × Product Lifespan (years)</w:t>
      </w:r>
      <w:r>
        <w:br/>
      </w:r>
      <w:r>
        <w:t xml:space="preserve">= 10 kWh/year × 5 years = 50 kWh/unit</w:t>
      </w:r>
    </w:p>
    <w:p>
      <w:pPr>
        <w:pStyle w:val="BodyText"/>
      </w:pPr>
      <w:r>
        <w:t xml:space="preserve">Use Phase Emissions = Total energy consumption × European Grid Emission Factor</w:t>
      </w:r>
      <w:r>
        <w:br/>
      </w:r>
      <w:r>
        <w:t xml:space="preserve">= 50 kWh/unit × 0.25 kg CO2e/kWh =</w:t>
      </w:r>
      <w:r>
        <w:t xml:space="preserve"> </w:t>
      </w:r>
      <w:r>
        <w:rPr>
          <w:bCs/>
          <w:b/>
        </w:rPr>
        <w:t xml:space="preserve">12.50 kg CO2e/unit</w:t>
      </w:r>
    </w:p>
    <w:bookmarkEnd w:id="35"/>
    <w:bookmarkStart w:id="36" w:name="X0be21310ab81f542a201c2c7e51858b701e7fc6"/>
    <w:p>
      <w:pPr>
        <w:pStyle w:val="Heading4"/>
      </w:pPr>
      <w:r>
        <w:t xml:space="preserve">4.3.4. End-of-Life (Category 12: End-of-Life Treatment of Sold Products)</w:t>
      </w:r>
    </w:p>
    <w:p>
      <w:pPr>
        <w:pStyle w:val="FirstParagraph"/>
      </w:pPr>
      <w:r>
        <w:t xml:space="preserve">Non-recycled portion = Total Product Weight × (1 - Recyclability Percentage)</w:t>
      </w:r>
      <w:r>
        <w:br/>
      </w:r>
      <w:r>
        <w:t xml:space="preserve">= 1.1 kg × (1 - 0.80) = 1.1 kg × 0.20 = 0.22 kg</w:t>
      </w:r>
    </w:p>
    <w:p>
      <w:pPr>
        <w:pStyle w:val="BodyText"/>
      </w:pPr>
      <w:r>
        <w:t xml:space="preserve">End-of-Life Emissions = Non-recycled portion × Generic Disposal Emission Factor</w:t>
      </w:r>
      <w:r>
        <w:br/>
      </w:r>
      <w:r>
        <w:t xml:space="preserve">= 0.22 kg × 1.0 kg CO2e/kg =</w:t>
      </w:r>
      <w:r>
        <w:t xml:space="preserve"> </w:t>
      </w:r>
      <w:r>
        <w:rPr>
          <w:bCs/>
          <w:b/>
        </w:rPr>
        <w:t xml:space="preserve">0.22 kg CO2e/unit</w:t>
      </w:r>
    </w:p>
    <w:bookmarkEnd w:id="36"/>
    <w:bookmarkEnd w:id="37"/>
    <w:bookmarkStart w:id="38"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(On-site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Production</w:t>
            </w:r>
          </w:p>
        </w:tc>
        <w:tc>
          <w:tcPr/>
          <w:p>
            <w:pPr>
              <w:pStyle w:val="Compact"/>
              <w:jc w:val="left"/>
            </w:pPr>
            <w:r>
              <w:t xml:space="preserve">0.75</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13.10</w:t>
            </w:r>
          </w:p>
        </w:tc>
      </w:tr>
      <w:tr>
        <w:tc>
          <w:tcPr/>
          <w:p>
            <w:pPr>
              <w:pStyle w:val="Compact"/>
              <w:jc w:val="left"/>
            </w:pPr>
            <w:r>
              <w:rPr>
                <w:bCs/>
                <w:b/>
              </w:rPr>
              <w:t xml:space="preserve">Scope 3, Category 4</w:t>
            </w:r>
          </w:p>
        </w:tc>
        <w:tc>
          <w:tcPr/>
          <w:p>
            <w:pPr>
              <w:pStyle w:val="Compact"/>
              <w:jc w:val="left"/>
            </w:pPr>
            <w:r>
              <w:t xml:space="preserve">Upstream Transportation and Distribution</w:t>
            </w:r>
          </w:p>
        </w:tc>
        <w:tc>
          <w:tcPr/>
          <w:p>
            <w:pPr>
              <w:pStyle w:val="Compact"/>
              <w:jc w:val="left"/>
            </w:pPr>
            <w:r>
              <w:t xml:space="preserve">0.31</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0.22</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26.88 kg CO2e/unit</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hotspot-analysis"/>
    <w:p>
      <w:pPr>
        <w:pStyle w:val="Heading3"/>
      </w:pPr>
      <w:r>
        <w:t xml:space="preserve">5.1. Hotspot Analysis</w:t>
      </w:r>
    </w:p>
    <w:p>
      <w:pPr>
        <w:pStyle w:val="FirstParagraph"/>
      </w:pPr>
      <w:r>
        <w:t xml:space="preserve">The major emission hotspots for "xsxeuhrnkf" are:</w:t>
      </w:r>
    </w:p>
    <w:p>
      <w:pPr>
        <w:numPr>
          <w:ilvl w:val="0"/>
          <w:numId w:val="1008"/>
        </w:numPr>
        <w:pStyle w:val="Compact"/>
      </w:pPr>
      <w:r>
        <w:rPr>
          <w:bCs/>
          <w:b/>
        </w:rPr>
        <w:t xml:space="preserve">Materials (Scope 3, Category 1):</w:t>
      </w:r>
      <w:r>
        <w:t xml:space="preserve"> </w:t>
      </w:r>
      <w:r>
        <w:t xml:space="preserve">Representing 13.10 kg CO2e, or approximately 48.7% of the total footprint. This highlights the significant impact of raw material extraction and processing, particularly for components like Aluminium Casing and Lithium-ion Battery, which have high embedded carbon intensities.</w:t>
      </w:r>
    </w:p>
    <w:p>
      <w:pPr>
        <w:numPr>
          <w:ilvl w:val="0"/>
          <w:numId w:val="1008"/>
        </w:numPr>
        <w:pStyle w:val="Compact"/>
      </w:pPr>
      <w:r>
        <w:rPr>
          <w:bCs/>
          <w:b/>
        </w:rPr>
        <w:t xml:space="preserve">Use Phase (Scope 3, Category 11):</w:t>
      </w:r>
      <w:r>
        <w:t xml:space="preserve"> </w:t>
      </w:r>
      <w:r>
        <w:t xml:space="preserve">Contributing 12.50 kg CO2e, or approximately 46.5% of the total. This emphasizes the importance of energy efficiency during the product\'s operational lifespan, especially considering the reliance on the European electricity grid mix.</w:t>
      </w:r>
    </w:p>
    <w:p>
      <w:pPr>
        <w:numPr>
          <w:ilvl w:val="0"/>
          <w:numId w:val="1008"/>
        </w:numPr>
        <w:pStyle w:val="Compact"/>
      </w:pPr>
      <w:r>
        <w:rPr>
          <w:bCs/>
          <w:b/>
        </w:rPr>
        <w:t xml:space="preserve">Production Energy (Scope 2):</w:t>
      </w:r>
      <w:r>
        <w:t xml:space="preserve"> </w:t>
      </w:r>
      <w:r>
        <w:t xml:space="preserve">Although lower than materials and use phase, the purchased electricity for manufacturing contributes 0.75 kg CO2e. The current 75% renewable energy usage significantly mitigates this impact; without it, this portion would be higher.</w:t>
      </w:r>
    </w:p>
    <w:p>
      <w:pPr>
        <w:numPr>
          <w:ilvl w:val="0"/>
          <w:numId w:val="1008"/>
        </w:numPr>
        <w:pStyle w:val="Compact"/>
      </w:pPr>
      <w:r>
        <w:rPr>
          <w:bCs/>
          <w:b/>
        </w:rPr>
        <w:t xml:space="preserve">Transportation (Scope 3, Category 4) and End-of-Life (Scope 3, Category 12):</w:t>
      </w:r>
      <w:r>
        <w:t xml:space="preserve"> </w:t>
      </w:r>
      <w:r>
        <w:t xml:space="preserve">These stages contribute a smaller, but still relevant, portion of the total footprint (0.31 kg CO2e and 0.22 kg CO2e respectively).</w:t>
      </w:r>
    </w:p>
    <w:bookmarkEnd w:id="40"/>
    <w:bookmarkStart w:id="41" w:name="data-reliability-and-limitations"/>
    <w:p>
      <w:pPr>
        <w:pStyle w:val="Heading3"/>
      </w:pPr>
      <w:r>
        <w:t xml:space="preserve">5.2. Data Reliability and Limitations</w:t>
      </w:r>
    </w:p>
    <w:p>
      <w:pPr>
        <w:pStyle w:val="FirstParagraph"/>
      </w:pPr>
      <w:r>
        <w:t xml:space="preserve">The reliability of this PCF analysis is contingent on the accuracy of the provided primary data (BOM, energy usage, lifespan) and the assumed secondary data (emission factors for electricity grids, transportation modes, and generic disposal).</w:t>
      </w:r>
    </w:p>
    <w:p>
      <w:pPr>
        <w:numPr>
          <w:ilvl w:val="0"/>
          <w:numId w:val="1009"/>
        </w:numPr>
        <w:pStyle w:val="Compact"/>
      </w:pPr>
      <w:r>
        <w:rPr>
          <w:bCs/>
          <w:b/>
        </w:rPr>
        <w:t xml:space="preserve">BOM Data:</w:t>
      </w:r>
      <w:r>
        <w:t xml:space="preserve"> </w:t>
      </w:r>
      <w:r>
        <w:t xml:space="preserve">The provided BOM with specific emission factors allowed for a high-detail material impact calculation.</w:t>
      </w:r>
    </w:p>
    <w:p>
      <w:pPr>
        <w:numPr>
          <w:ilvl w:val="0"/>
          <w:numId w:val="1009"/>
        </w:numPr>
        <w:pStyle w:val="Compact"/>
      </w:pPr>
      <w:r>
        <w:rPr>
          <w:bCs/>
          <w:b/>
        </w:rPr>
        <w:t xml:space="preserve">Emission Factors:</w:t>
      </w:r>
      <w:r>
        <w:t xml:space="preserve"> </w:t>
      </w:r>
      <w:r>
        <w:t xml:space="preserve">Industry-standard emission factors from reputable sources (e.g., assumed DEFRA, Ecoinvent averages) were used where specific data was not available. It is important to note that global or regional average factors may not perfectly reflect specific supplier or facility-level emissions.</w:t>
      </w:r>
    </w:p>
    <w:p>
      <w:pPr>
        <w:numPr>
          <w:ilvl w:val="0"/>
          <w:numId w:val="1009"/>
        </w:numPr>
        <w:pStyle w:val="Compact"/>
      </w:pPr>
      <w:r>
        <w:rPr>
          <w:bCs/>
          <w:b/>
        </w:rPr>
        <w:t xml:space="preserve">Geographic Scope:</w:t>
      </w:r>
      <w:r>
        <w:t xml:space="preserve"> </w:t>
      </w:r>
      <w:r>
        <w:t xml:space="preserve">The assumed grid mixes for China (production) and Europe (use phase) are generalized. More granular, country-specific or supplier-specific grid data would enhance accuracy.</w:t>
      </w:r>
    </w:p>
    <w:p>
      <w:pPr>
        <w:numPr>
          <w:ilvl w:val="0"/>
          <w:numId w:val="1009"/>
        </w:numPr>
        <w:pStyle w:val="Compact"/>
      </w:pPr>
      <w:r>
        <w:rPr>
          <w:bCs/>
          <w:b/>
        </w:rPr>
        <w:t xml:space="preserve">LSR Standard and Scope 3 Coverage:</w:t>
      </w:r>
      <w:r>
        <w:t xml:space="preserve"> </w:t>
      </w:r>
      <w:r>
        <w:t xml:space="preserve">The report has acknowledged the 2026 LSR Standard for land use and removals. Quantifying its impact would require detailed land-use change data across the supply chain. The Scope 3 coverage aims for 95%, implying that minor emission sources (less than 5% of total Scope 3) might have been excluded if not explicitly covered by the provided parameters.</w:t>
      </w:r>
    </w:p>
    <w:p>
      <w:pPr>
        <w:numPr>
          <w:ilvl w:val="0"/>
          <w:numId w:val="1009"/>
        </w:numPr>
        <w:pStyle w:val="Compact"/>
      </w:pPr>
      <w:r>
        <w:rPr>
          <w:bCs/>
          <w:b/>
        </w:rPr>
        <w:t xml:space="preserve">Circular Economy Impacts:</w:t>
      </w:r>
      <w:r>
        <w:t xml:space="preserve"> </w:t>
      </w:r>
      <w:r>
        <w:t xml:space="preserve">While recyclability and circular programs are noted, the quantitative benefits of refurbishment and extended product life beyond simple recycling rates would require a more complex modeling approach, potentially including avoided production emissions for refurbished units.</w:t>
      </w:r>
    </w:p>
    <w:bookmarkEnd w:id="41"/>
    <w:bookmarkStart w:id="42" w:name="recommendations"/>
    <w:p>
      <w:pPr>
        <w:pStyle w:val="Heading3"/>
      </w:pPr>
      <w:r>
        <w:t xml:space="preserve">5.3. Recommendations</w:t>
      </w:r>
    </w:p>
    <w:p>
      <w:pPr>
        <w:pStyle w:val="FirstParagraph"/>
      </w:pPr>
      <w:r>
        <w:t xml:space="preserve">Based on this PCF analysis, the following recommendations are made for "xdutsltyrr" regarding "xsxeuhrnkf":</w:t>
      </w:r>
    </w:p>
    <w:p>
      <w:pPr>
        <w:numPr>
          <w:ilvl w:val="0"/>
          <w:numId w:val="1010"/>
        </w:numPr>
        <w:pStyle w:val="Compact"/>
      </w:pPr>
      <w:r>
        <w:rPr>
          <w:bCs/>
          <w:b/>
        </w:rPr>
        <w:t xml:space="preserve">Material Decarbonization:</w:t>
      </w:r>
      <w:r>
        <w:t xml:space="preserve"> </w:t>
      </w:r>
      <w:r>
        <w:t xml:space="preserve">Focus on sourcing lower-carbon alternatives for high-impact materials, particularly aluminium and lithium-ion batteries. Engage with suppliers to understand and improve their production processes and embedded emission factors. Explore opportunities for increased use of secondary (recycled) raw materials with lower primary production footprints.</w:t>
      </w:r>
    </w:p>
    <w:p>
      <w:pPr>
        <w:numPr>
          <w:ilvl w:val="0"/>
          <w:numId w:val="1010"/>
        </w:numPr>
        <w:pStyle w:val="Compact"/>
      </w:pPr>
      <w:r>
        <w:rPr>
          <w:bCs/>
          <w:b/>
        </w:rPr>
        <w:t xml:space="preserve">Use Phase Efficiency:</w:t>
      </w:r>
      <w:r>
        <w:t xml:space="preserve"> </w:t>
      </w:r>
      <w:r>
        <w:t xml:space="preserve">Invest in R&amp;D to enhance the energy efficiency of "xsxeuhrnkf" during its operational life. Encourage user behavior that minimizes energy consumption. Investigate partnerships to provide renewable energy solutions for end-users, especially in regions with carbon-intensive grids.</w:t>
      </w:r>
    </w:p>
    <w:p>
      <w:pPr>
        <w:numPr>
          <w:ilvl w:val="0"/>
          <w:numId w:val="1010"/>
        </w:numPr>
        <w:pStyle w:val="Compact"/>
      </w:pPr>
      <w:r>
        <w:rPr>
          <w:bCs/>
          <w:b/>
        </w:rPr>
        <w:t xml:space="preserve">Renewable Energy Expansion:</w:t>
      </w:r>
      <w:r>
        <w:t xml:space="preserve"> </w:t>
      </w:r>
      <w:r>
        <w:t xml:space="preserve">Continue to increase the share of renewable energy in manufacturing operations beyond the current 75%. Explore Power Purchase Agreements (PPAs) or on-site renewable energy generation to further reduce Scope 2 emissions.</w:t>
      </w:r>
    </w:p>
    <w:p>
      <w:pPr>
        <w:numPr>
          <w:ilvl w:val="0"/>
          <w:numId w:val="1010"/>
        </w:numPr>
        <w:pStyle w:val="Compact"/>
      </w:pPr>
      <w:r>
        <w:rPr>
          <w:bCs/>
          <w:b/>
        </w:rPr>
        <w:t xml:space="preserve">Supply Chain Optimization:</w:t>
      </w:r>
      <w:r>
        <w:t xml:space="preserve"> </w:t>
      </w:r>
      <w:r>
        <w:t xml:space="preserve">Optimize transportation routes and modes, prioritizing lower-emission options like rail or ocean freight where feasible. Encourage logistics partners to adopt cleaner vehicle fleets and renewable fuels.</w:t>
      </w:r>
    </w:p>
    <w:p>
      <w:pPr>
        <w:numPr>
          <w:ilvl w:val="0"/>
          <w:numId w:val="1010"/>
        </w:numPr>
        <w:pStyle w:val="Compact"/>
      </w:pPr>
      <w:r>
        <w:rPr>
          <w:bCs/>
          <w:b/>
        </w:rPr>
        <w:t xml:space="preserve">Circular Economy Enhancement:</w:t>
      </w:r>
      <w:r>
        <w:t xml:space="preserve"> </w:t>
      </w:r>
      <w:r>
        <w:t xml:space="preserve">Capitalize on the existing product take-back and refurbishment program. Collect detailed data on material recovery, reuse rates, and avoided emissions from these programs to quantitatively demonstrate their environmental benefits and inform product design for improved circularity.</w:t>
      </w:r>
    </w:p>
    <w:p>
      <w:pPr>
        <w:numPr>
          <w:ilvl w:val="0"/>
          <w:numId w:val="1010"/>
        </w:numPr>
        <w:pStyle w:val="Compact"/>
      </w:pPr>
      <w:r>
        <w:rPr>
          <w:bCs/>
          <w:b/>
        </w:rPr>
        <w:t xml:space="preserve">Data Granularity:</w:t>
      </w:r>
      <w:r>
        <w:t xml:space="preserve"> </w:t>
      </w:r>
      <w:r>
        <w:t xml:space="preserve">For future PCF analyses, strive to collect more primary data from suppliers regarding material-specific lifecycle inventories, transportation distances, and energy mixes to improve the accuracy and robustness of the calculations.</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xsxeuhrnkf</dc:title>
  <dc:creator/>
  <dc:description>High-detail Product Carbon Footprint (PCF) analysis for xsxeuhrnkf by xdutsltyrr, adhering to GHG Protocol and 2026 LSR Update requirements.</dc:description>
  <dc:language>en</dc:language>
  <cp:keywords/>
  <dcterms:created xsi:type="dcterms:W3CDTF">2026-07-15T05:18:42Z</dcterms:created>
  <dcterms:modified xsi:type="dcterms:W3CDTF">2026-07-15T05:18:42Z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