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xpzzlrgkwh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xpzzlrgkwh</w:t>
      </w:r>
    </w:p>
    <w:p>
      <w:pPr>
        <w:pStyle w:val="BodyText"/>
      </w:pPr>
      <w:r>
        <w:t xml:space="preserve">Company Name:</w:t>
      </w:r>
      <w:r>
        <w:t xml:space="preserve"> </w:t>
      </w:r>
      <w:r>
        <w:rPr>
          <w:bCs/>
          <w:b/>
        </w:rPr>
        <w:t xml:space="preserve">vvhmzqznkl</w:t>
      </w:r>
    </w:p>
    <w:p>
      <w:pPr>
        <w:pStyle w:val="BodyText"/>
      </w:pPr>
      <w:r>
        <w:t xml:space="preserve">Senior Sustainability Consultant:</w:t>
      </w:r>
      <w:r>
        <w:t xml:space="preserve"> </w:t>
      </w:r>
      <w:r>
        <w:rPr>
          <w:bCs/>
          <w:b/>
        </w:rPr>
        <w:t xml:space="preserve">npppkdkiki</w:t>
      </w:r>
    </w:p>
    <w:p>
      <w:pPr>
        <w:pStyle w:val="BodyText"/>
      </w:pPr>
      <w:r>
        <w:t xml:space="preserve">Protocol Data (Accounting Standard): GHG Protocol</w:t>
      </w:r>
    </w:p>
    <w:p>
      <w:pPr>
        <w:pStyle w:val="BodyText"/>
      </w:pPr>
      <w:r>
        <w:t xml:space="preserve">This report is generated based on available data and industry standards, incorporating specific parameters provided for a comprehensive Product Carbon Footprint analysis.</w:t>
      </w:r>
    </w:p>
    <w:bookmarkEnd w:id="20"/>
    <w:p>
      <w:pPr>
        <w:pStyle w:val="BodyText"/>
      </w:pPr>
      <w:r>
        <w:t xml:space="preserve">Carbon Footprint Report - xpzzlrgkwh | Generated Date: May 26, 2026</w:t>
      </w:r>
    </w:p>
    <w:bookmarkStart w:id="45"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xpzzlrgkwh</w:t>
      </w:r>
      <w:r>
        <w:t xml:space="preserve">, manufactured by</w:t>
      </w:r>
      <w:r>
        <w:t xml:space="preserve"> </w:t>
      </w:r>
      <w:r>
        <w:rPr>
          <w:bCs/>
          <w:b/>
        </w:rPr>
        <w:t xml:space="preserve">vvhmzqznkl</w:t>
      </w:r>
      <w:r>
        <w:t xml:space="preserve">. Conducted by Senior Sustainability Consultant</w:t>
      </w:r>
      <w:r>
        <w:t xml:space="preserve"> </w:t>
      </w:r>
      <w:r>
        <w:rPr>
          <w:bCs/>
          <w:b/>
        </w:rPr>
        <w:t xml:space="preserve">npppkdkiki</w:t>
      </w:r>
      <w:r>
        <w:t xml:space="preserve">, this analysis adheres strictly to the GHG Protocol, including the 2026 Land Sector and Removals (LSR) Standard and aims for at least 95% Scope 3 coverage. The study evaluates the environmental impact across the product\'s lifecycle, from raw material extraction to end-of-life, providing insights into emission hotspots and areas for improvement. The functional unit for this analysis is defined as 1.0 unit of xpzzlrgkwh.</w:t>
      </w:r>
    </w:p>
    <w:p>
      <w:r>
        <w:pict>
          <v:rect style="width:0;height:1.5pt" o:hralign="center" o:hrstd="t" o:hr="t"/>
        </w:pict>
      </w:r>
    </w:p>
    <w:bookmarkStart w:id="26" w:name="define-scope"/>
    <w:p>
      <w:pPr>
        <w:pStyle w:val="Heading2"/>
      </w:pPr>
      <w:r>
        <w:t xml:space="preserve">1. Define Scope</w:t>
      </w:r>
    </w:p>
    <w:bookmarkStart w:id="21"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xpzzlrgkwh</w:t>
      </w:r>
      <w:r>
        <w:t xml:space="preserve">. This unit serves as the reference basis for quantifying all relevant inputs and outputs throughout the product\'s life cycle.</w:t>
      </w:r>
    </w:p>
    <w:bookmarkEnd w:id="21"/>
    <w:bookmarkStart w:id="22"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encompassing all activities from raw material acquisition, manufacturing, and transport up to the point where the finished product leaves the manufacturing facility. Additionally, it extends to include the use phase and end-of-life stages for a comprehensive cradle-to-grave perspective, aligning with GHG Protocol Product Standard requirements. This includes upstream (Scope 3), direct (Scope 1), and energy-related indirect (Scope 2) emissions from production, as well as downstream (Scope 3) emissions from transport, product use, and end-of-life management.</w:t>
      </w:r>
    </w:p>
    <w:bookmarkEnd w:id="22"/>
    <w:bookmarkStart w:id="23"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The use phase is assumed to occur primarily within Europe, and end-of-life scenarios are modeled based on typical European waste management practices.</w:t>
      </w:r>
    </w:p>
    <w:bookmarkEnd w:id="23"/>
    <w:bookmarkStart w:id="24" w:name="allocation"/>
    <w:p>
      <w:pPr>
        <w:pStyle w:val="Heading3"/>
      </w:pPr>
      <w:r>
        <w:t xml:space="preserve">1.4 Allocation</w:t>
      </w:r>
    </w:p>
    <w:p>
      <w:pPr>
        <w:pStyle w:val="FirstParagraph"/>
      </w:pPr>
      <w:r>
        <w:t xml:space="preserve">Emissions are allocated directly to the functional unit (1.0 unit of xpzzlrgkwh). Where co-products or by-products exist, allocation is performed based on physical relationships (e.g., mass) or economic value, in accordance with GHG Protocol guidelines. For recycled content, the "cut-off" approach is generally applied where the burden of virgin material production is assigned to the primary user, and recycling processes bear the burden of the recycling activity itself.</w:t>
      </w:r>
    </w:p>
    <w:bookmarkEnd w:id="24"/>
    <w:bookmarkStart w:id="25"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the most widely used international accounting standard for quantifying greenhouse gas emissions. Emissions are categorized into Scope 1 (direct emissions), Scope 2 (indirect emissions from purchased energy), and Scope 3 (all other indirect emissions in the value chain).</w:t>
      </w:r>
    </w:p>
    <w:p>
      <w:r>
        <w:pict>
          <v:rect style="width:0;height:1.5pt" o:hralign="center" o:hrstd="t" o:hr="t"/>
        </w:pict>
      </w:r>
    </w:p>
    <w:bookmarkEnd w:id="25"/>
    <w:bookmarkEnd w:id="26"/>
    <w:bookmarkStart w:id="32" w:name="X668a29dea6996859d52024a913312988ccfa3c9"/>
    <w:p>
      <w:pPr>
        <w:pStyle w:val="Heading2"/>
      </w:pPr>
      <w:r>
        <w:t xml:space="preserve">2. Map Lifecycle (LCI Inventory Stages) &amp; 3. Collect Data</w:t>
      </w:r>
    </w:p>
    <w:p>
      <w:pPr>
        <w:pStyle w:val="FirstParagraph"/>
      </w:pPr>
      <w:r>
        <w:t xml:space="preserve">The lifecycle of</w:t>
      </w:r>
      <w:r>
        <w:t xml:space="preserve"> </w:t>
      </w:r>
      <w:r>
        <w:rPr>
          <w:bCs/>
          <w:b/>
        </w:rPr>
        <w:t xml:space="preserve">xpzzlrgkwh</w:t>
      </w:r>
      <w:r>
        <w:t xml:space="preserve"> </w:t>
      </w:r>
      <w:r>
        <w:t xml:space="preserve">is mapped across key stages, and data is collected from primary sources (provided parameters) and secondary sources (industry-standard emission factors from databases like Ecoinvent and DEFRA). The detailed Bill of Materials (BOM) for</w:t>
      </w:r>
      <w:r>
        <w:t xml:space="preserve"> </w:t>
      </w:r>
      <w:r>
        <w:rPr>
          <w:bCs/>
          <w:b/>
        </w:rPr>
        <w:t xml:space="preserve">wegmeosz</w:t>
      </w:r>
      <w:r>
        <w:t xml:space="preserve">, logistics data, energy usage, product lifespan, and end-of-life scenarios are integrated into the analysis. For calculation purposes, specific values have been assumed for placeholder parameters (e.g., \'wegmeosz\', \'fywlxpklem\', \'jwqivegzxf\', \'qukijyvexx\', \'vdrmkzznzu\', \'yfiigpkzsw\', \'zrtjomlrjm\', \'uqmmljiggu\', \'Select Mode\', \'Delivery Type\') and are clearly indicated below.</w:t>
      </w:r>
    </w:p>
    <w:bookmarkStart w:id="27" w:name="X1198c8af25dd1a2ebffa686809674f976343a37"/>
    <w:p>
      <w:pPr>
        <w:pStyle w:val="Heading3"/>
      </w:pPr>
      <w:r>
        <w:t xml:space="preserve">2.1 Material Acquisition &amp; Pre-processing (Scope 3 - Upstream)</w:t>
      </w:r>
    </w:p>
    <w:p>
      <w:pPr>
        <w:pStyle w:val="FirstParagraph"/>
      </w:pPr>
      <w:r>
        <w:t xml:space="preserve">The following detailed Bill of Materials (BOM) provides the specific components and their associated carbon emissions. This data is critical for high-accuracy material impact calculation, overriding default estimates.</w:t>
      </w:r>
    </w:p>
    <w:p>
      <w:pPr>
        <w:pStyle w:val="BodyText"/>
      </w:pPr>
      <w:r>
        <w:rPr>
          <w:bCs/>
          <w:b/>
        </w:rPr>
        <w:t xml:space="preserve">BOM Data (Assumed for \'wegmeosz\' as placeholder content was provided as text):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1.5625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4.5 (Assumed, representative of primary copper production, noting specific ecoinvent data often premium or requires detailed regional context)</w:t>
            </w:r>
          </w:p>
        </w:tc>
        <w:tc>
          <w:tcPr/>
          <w:p>
            <w:pPr>
              <w:pStyle w:val="Compact"/>
              <w:jc w:val="left"/>
            </w:pPr>
            <w:r>
              <w:t xml:space="preserve">0.4500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 (Assumed, given complexity of electronics manufacturing and lack of public detailed EF)</w:t>
            </w:r>
          </w:p>
        </w:tc>
        <w:tc>
          <w:tcPr/>
          <w:p>
            <w:pPr>
              <w:pStyle w:val="Compact"/>
              <w:jc w:val="left"/>
            </w:pPr>
            <w:r>
              <w:t xml:space="preserve">1.5000</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0.801</w:t>
            </w:r>
          </w:p>
        </w:tc>
        <w:tc>
          <w:tcPr/>
          <w:p>
            <w:pPr>
              <w:pStyle w:val="Compact"/>
              <w:jc w:val="left"/>
            </w:pPr>
            <w:r>
              <w:t xml:space="preserve">0.1602</w:t>
            </w:r>
          </w:p>
        </w:tc>
      </w:tr>
    </w:tbl>
    <w:p>
      <w:pPr>
        <w:pStyle w:val="BodyText"/>
      </w:pPr>
      <w:r>
        <w:rPr>
          <w:bCs/>
          <w:b/>
        </w:rPr>
        <w:t xml:space="preserve">Total Material Acquisition Emissions: 3.6727 kgCO2e</w:t>
      </w:r>
    </w:p>
    <w:bookmarkEnd w:id="27"/>
    <w:bookmarkStart w:id="28" w:name="manufacturingproduction-scope-1-2"/>
    <w:p>
      <w:pPr>
        <w:pStyle w:val="Heading3"/>
      </w:pPr>
      <w:r>
        <w:t xml:space="preserve">2.2 Manufacturing/Production (Scope 1 &amp; 2)</w:t>
      </w:r>
    </w:p>
    <w:p>
      <w:pPr>
        <w:pStyle w:val="FirstParagraph"/>
      </w:pPr>
      <w:r>
        <w:t xml:space="preserve">The production phase for</w:t>
      </w:r>
      <w:r>
        <w:t xml:space="preserve"> </w:t>
      </w:r>
      <w:r>
        <w:rPr>
          <w:bCs/>
          <w:b/>
        </w:rPr>
        <w:t xml:space="preserve">xpzzlrgkwh</w:t>
      </w:r>
      <w:r>
        <w:t xml:space="preserve"> </w:t>
      </w:r>
      <w:r>
        <w:t xml:space="preserve">takes place in China. Energy customization data is incorporated for an accurate footprint.</w:t>
      </w:r>
    </w:p>
    <w:p>
      <w:pPr>
        <w:numPr>
          <w:ilvl w:val="0"/>
          <w:numId w:val="1001"/>
        </w:numPr>
        <w:pStyle w:val="Compact"/>
      </w:pPr>
      <w:r>
        <w:rPr>
          <w:bCs/>
          <w:b/>
        </w:rPr>
        <w:t xml:space="preserve">Energy Intensity (kWh/unit):</w:t>
      </w:r>
      <w:r>
        <w:t xml:space="preserve"> </w:t>
      </w:r>
      <w:r>
        <w:t xml:space="preserve">15 kWh/unit (from parameter `qukijyvexx`)</w:t>
      </w:r>
    </w:p>
    <w:p>
      <w:pPr>
        <w:numPr>
          <w:ilvl w:val="0"/>
          <w:numId w:val="1001"/>
        </w:numPr>
        <w:pStyle w:val="Compact"/>
      </w:pPr>
      <w:r>
        <w:rPr>
          <w:bCs/>
          <w:b/>
        </w:rPr>
        <w:t xml:space="preserve">Renewable Energy Usage:</w:t>
      </w:r>
      <w:r>
        <w:t xml:space="preserve"> </w:t>
      </w:r>
      <w:r>
        <w:t xml:space="preserve">75% (from parameter `jwqivegzxf`)</w:t>
      </w:r>
    </w:p>
    <w:p>
      <w:pPr>
        <w:numPr>
          <w:ilvl w:val="0"/>
          <w:numId w:val="1001"/>
        </w:numPr>
        <w:pStyle w:val="Compact"/>
      </w:pPr>
      <w:r>
        <w:rPr>
          <w:bCs/>
          <w:b/>
        </w:rPr>
        <w:t xml:space="preserve">Non-Renewable Electricity Consumption:</w:t>
      </w:r>
      <w:r>
        <w:t xml:space="preserve"> </w:t>
      </w:r>
      <w:r>
        <w:t xml:space="preserve">15 kWh/unit * (1 - 0.75) = 3.75 kWh/unit</w:t>
      </w:r>
    </w:p>
    <w:p>
      <w:pPr>
        <w:numPr>
          <w:ilvl w:val="0"/>
          <w:numId w:val="1001"/>
        </w:numPr>
        <w:pStyle w:val="Compact"/>
      </w:pPr>
      <w:r>
        <w:rPr>
          <w:bCs/>
          <w:b/>
        </w:rPr>
        <w:t xml:space="preserve">China Electricity Grid Emission Factor (2026 estimate):</w:t>
      </w:r>
      <w:r>
        <w:t xml:space="preserve"> </w:t>
      </w:r>
      <w:r>
        <w:t xml:space="preserve">Approximately 0.75 kg CO2e/kWh (estimated based on reported values decreasing from 0.8-1.2 kg CO2e/kWh in 2020-2022, with a downward trend due to increased clean energy in China)</w:t>
      </w:r>
    </w:p>
    <w:p>
      <w:pPr>
        <w:numPr>
          <w:ilvl w:val="0"/>
          <w:numId w:val="1001"/>
        </w:numPr>
        <w:pStyle w:val="Compact"/>
      </w:pPr>
      <w:r>
        <w:rPr>
          <w:bCs/>
          <w:b/>
        </w:rPr>
        <w:t xml:space="preserve">Scope 1 Emissions (Direct):</w:t>
      </w:r>
      <w:r>
        <w:t xml:space="preserve"> </w:t>
      </w:r>
      <w:r>
        <w:t xml:space="preserve">For this analysis, direct fuel combustion in manufacturing (e.g., natural gas for heating) within the \'factory_gate\' boundary is considered negligible unless specific fuel consumption data is provided.</w:t>
      </w:r>
    </w:p>
    <w:bookmarkEnd w:id="28"/>
    <w:bookmarkStart w:id="29" w:name="transport-scope-3---upstream-downstream"/>
    <w:p>
      <w:pPr>
        <w:pStyle w:val="Heading3"/>
      </w:pPr>
      <w:r>
        <w:t xml:space="preserve">2.3 Transport (Scope 3 - Upstream &amp; Downstream)</w:t>
      </w:r>
    </w:p>
    <w:p>
      <w:pPr>
        <w:pStyle w:val="FirstParagraph"/>
      </w:pPr>
      <w:r>
        <w:t xml:space="preserve">Logistics data is incorporated into the supply chain analysis.</w:t>
      </w:r>
    </w:p>
    <w:p>
      <w:pPr>
        <w:numPr>
          <w:ilvl w:val="0"/>
          <w:numId w:val="1002"/>
        </w:numPr>
        <w:pStyle w:val="Compact"/>
      </w:pPr>
      <w:r>
        <w:rPr>
          <w:bCs/>
          <w:b/>
        </w:rPr>
        <w:t xml:space="preserve">Transport Mode (Main Supply Chain):</w:t>
      </w:r>
      <w:r>
        <w:t xml:space="preserve"> </w:t>
      </w:r>
      <w:r>
        <w:t xml:space="preserve">Road Freight, HGV (from parameter `Select Mode`)</w:t>
      </w:r>
    </w:p>
    <w:p>
      <w:pPr>
        <w:numPr>
          <w:ilvl w:val="0"/>
          <w:numId w:val="1002"/>
        </w:numPr>
        <w:pStyle w:val="Compact"/>
      </w:pPr>
      <w:r>
        <w:rPr>
          <w:bCs/>
          <w:b/>
        </w:rPr>
        <w:t xml:space="preserve">Transport Distance (Supply Chain):</w:t>
      </w:r>
      <w:r>
        <w:t xml:space="preserve"> </w:t>
      </w:r>
      <w:r>
        <w:t xml:space="preserve">2000 km (from parameter `fywlxpklem`)</w:t>
      </w:r>
    </w:p>
    <w:p>
      <w:pPr>
        <w:numPr>
          <w:ilvl w:val="0"/>
          <w:numId w:val="1002"/>
        </w:numPr>
        <w:pStyle w:val="Compact"/>
      </w:pPr>
      <w:r>
        <w:rPr>
          <w:bCs/>
          <w:b/>
        </w:rPr>
        <w:t xml:space="preserve">Assumed Product Weight for Transport:</w:t>
      </w:r>
      <w:r>
        <w:t xml:space="preserve"> </w:t>
      </w:r>
      <w:r>
        <w:t xml:space="preserve">0.7 kg (0.5 kg ABS + 0.1 kg Copper + 0.2 kg Cardboard Packaging for the unit)</w:t>
      </w:r>
    </w:p>
    <w:p>
      <w:pPr>
        <w:numPr>
          <w:ilvl w:val="0"/>
          <w:numId w:val="1002"/>
        </w:numPr>
        <w:pStyle w:val="Compact"/>
      </w:pPr>
      <w:r>
        <w:rPr>
          <w:bCs/>
          <w:b/>
        </w:rPr>
        <w:t xml:space="preserve">Transport Emission Factor (Road Freight, HGV):</w:t>
      </w:r>
      <w:r>
        <w:t xml:space="preserve"> </w:t>
      </w:r>
      <w:r>
        <w:t xml:space="preserve">0.06763 kg CO2e/tonne-km (DEFRA 2024 for 100% laden HGV, UK context, used as representative for Europe)</w:t>
      </w:r>
    </w:p>
    <w:p>
      <w:pPr>
        <w:numPr>
          <w:ilvl w:val="0"/>
          <w:numId w:val="1002"/>
        </w:numPr>
        <w:pStyle w:val="Compact"/>
      </w:pPr>
      <w:r>
        <w:rPr>
          <w:bCs/>
          <w:b/>
        </w:rPr>
        <w:t xml:space="preserve">Last-Mile Delivery Channel:</w:t>
      </w:r>
      <w:r>
        <w:t xml:space="preserve"> </w:t>
      </w:r>
      <w:r>
        <w:t xml:space="preserve">Small Parcel Van (from parameter `Delivery Type`)</w:t>
      </w:r>
    </w:p>
    <w:p>
      <w:pPr>
        <w:numPr>
          <w:ilvl w:val="0"/>
          <w:numId w:val="1002"/>
        </w:numPr>
        <w:pStyle w:val="Compact"/>
      </w:pPr>
      <w:r>
        <w:rPr>
          <w:bCs/>
          <w:b/>
        </w:rPr>
        <w:t xml:space="preserve">Assumed Last-Mile Emission:</w:t>
      </w:r>
      <w:r>
        <w:t xml:space="preserve"> </w:t>
      </w:r>
      <w:r>
        <w:t xml:space="preserve">0.1 kg CO2e/delivery (Illustrative, as specific EF for \'Delivery Type\' is not detailed)</w:t>
      </w:r>
    </w:p>
    <w:bookmarkEnd w:id="29"/>
    <w:bookmarkStart w:id="30" w:name="use-phase-scope-3---downstream"/>
    <w:p>
      <w:pPr>
        <w:pStyle w:val="Heading3"/>
      </w:pPr>
      <w:r>
        <w:t xml:space="preserve">2.4 Use Phase (Scope 3 - Downstream)</w:t>
      </w:r>
    </w:p>
    <w:p>
      <w:pPr>
        <w:pStyle w:val="FirstParagraph"/>
      </w:pPr>
      <w:r>
        <w:t xml:space="preserve">The \'Use Phase\' calculation expands using specific durability and consumption data.</w:t>
      </w:r>
    </w:p>
    <w:p>
      <w:pPr>
        <w:numPr>
          <w:ilvl w:val="0"/>
          <w:numId w:val="1003"/>
        </w:numPr>
        <w:pStyle w:val="Compact"/>
      </w:pPr>
      <w:r>
        <w:rPr>
          <w:bCs/>
          <w:b/>
        </w:rPr>
        <w:t xml:space="preserve">Product Lifespan:</w:t>
      </w:r>
      <w:r>
        <w:t xml:space="preserve"> </w:t>
      </w:r>
      <w:r>
        <w:t xml:space="preserve">5 years (from parameter `vdrmkzznzu`)</w:t>
      </w:r>
    </w:p>
    <w:p>
      <w:pPr>
        <w:numPr>
          <w:ilvl w:val="0"/>
          <w:numId w:val="1003"/>
        </w:numPr>
        <w:pStyle w:val="Compact"/>
      </w:pPr>
      <w:r>
        <w:rPr>
          <w:bCs/>
          <w:b/>
        </w:rPr>
        <w:t xml:space="preserve">Energy Consumption in Use:</w:t>
      </w:r>
      <w:r>
        <w:t xml:space="preserve"> </w:t>
      </w:r>
      <w:r>
        <w:t xml:space="preserve">20 kWh/year (from parameter `yfiigpkzsw`)</w:t>
      </w:r>
    </w:p>
    <w:p>
      <w:pPr>
        <w:numPr>
          <w:ilvl w:val="0"/>
          <w:numId w:val="1003"/>
        </w:numPr>
        <w:pStyle w:val="Compact"/>
      </w:pPr>
      <w:r>
        <w:rPr>
          <w:bCs/>
          <w:b/>
        </w:rPr>
        <w:t xml:space="preserve">Total Energy Consumption over Lifespan:</w:t>
      </w:r>
      <w:r>
        <w:t xml:space="preserve"> </w:t>
      </w:r>
      <w:r>
        <w:t xml:space="preserve">20 kWh/year * 5 years = 100 kWh</w:t>
      </w:r>
    </w:p>
    <w:p>
      <w:pPr>
        <w:numPr>
          <w:ilvl w:val="0"/>
          <w:numId w:val="1003"/>
        </w:numPr>
        <w:pStyle w:val="Compact"/>
      </w:pPr>
      <w:r>
        <w:rPr>
          <w:bCs/>
          <w:b/>
        </w:rPr>
        <w:t xml:space="preserve">EU Average Electricity Grid Emission Factor (2026 estimate):</w:t>
      </w:r>
      <w:r>
        <w:t xml:space="preserve"> </w:t>
      </w:r>
      <w:r>
        <w:t xml:space="preserve">Approximately 0.2 kg CO2e/kWh (estimated based on decreasing trend from 2023-2024 values, which were around 0.181-0.238 kg CO2e/kWh, reflecting decarbonization efforts in Europe)</w:t>
      </w:r>
    </w:p>
    <w:bookmarkEnd w:id="30"/>
    <w:bookmarkStart w:id="31" w:name="X2449e76f36fce2c9fec3c701a472f020b80894d"/>
    <w:p>
      <w:pPr>
        <w:pStyle w:val="Heading3"/>
      </w:pPr>
      <w:r>
        <w:t xml:space="preserve">2.5 End-of-Life (EoL) Scenarios (Scope 3 - Downstream)</w:t>
      </w:r>
    </w:p>
    <w:p>
      <w:pPr>
        <w:pStyle w:val="FirstParagraph"/>
      </w:pPr>
      <w:r>
        <w:t xml:space="preserve">End-of-Life scenarios reflect circular economy impacts.</w:t>
      </w:r>
    </w:p>
    <w:p>
      <w:pPr>
        <w:numPr>
          <w:ilvl w:val="0"/>
          <w:numId w:val="1004"/>
        </w:numPr>
        <w:pStyle w:val="Compact"/>
      </w:pPr>
      <w:r>
        <w:rPr>
          <w:bCs/>
          <w:b/>
        </w:rPr>
        <w:t xml:space="preserve">Recyclability Percentage:</w:t>
      </w:r>
      <w:r>
        <w:t xml:space="preserve"> </w:t>
      </w:r>
      <w:r>
        <w:t xml:space="preserve">60% (from parameter `zrtjomlrjm`)</w:t>
      </w:r>
    </w:p>
    <w:p>
      <w:pPr>
        <w:numPr>
          <w:ilvl w:val="0"/>
          <w:numId w:val="1004"/>
        </w:numPr>
        <w:pStyle w:val="Compact"/>
      </w:pPr>
      <w:r>
        <w:rPr>
          <w:bCs/>
          <w:b/>
        </w:rPr>
        <w:t xml:space="preserve">Circular/Take-back Programs:</w:t>
      </w:r>
      <w:r>
        <w:t xml:space="preserve"> </w:t>
      </w:r>
      <w:r>
        <w:t xml:space="preserve">Yes, established (from parameter `uqmmljiggu`)</w:t>
      </w:r>
    </w:p>
    <w:p>
      <w:pPr>
        <w:numPr>
          <w:ilvl w:val="0"/>
          <w:numId w:val="1004"/>
        </w:numPr>
        <w:pStyle w:val="Compact"/>
      </w:pPr>
      <w:r>
        <w:t xml:space="preserve">For the 60% recyclable portion, a credit for avoided virgin material production would be considered. For the remaining 40% (disposed of via landfill/incineration), specific emissions would apply. For simplicity, we assume a net EoL impact based on credits for recycled materials (e.g., 60% of original material emissions avoided) and minor disposal emissions for the remainder, acknowledging the complexity of full EoL modeling without detailed material breakdown for disposal methods.</w:t>
      </w:r>
    </w:p>
    <w:p>
      <w:r>
        <w:pict>
          <v:rect style="width:0;height:1.5pt" o:hralign="center" o:hrstd="t" o:hr="t"/>
        </w:pict>
      </w:r>
    </w:p>
    <w:bookmarkEnd w:id="31"/>
    <w:bookmarkEnd w:id="32"/>
    <w:bookmarkStart w:id="40" w:name="calculate-emissions"/>
    <w:p>
      <w:pPr>
        <w:pStyle w:val="Heading2"/>
      </w:pPr>
      <w:r>
        <w:t xml:space="preserve">4. Calculate Emissions</w:t>
      </w:r>
    </w:p>
    <w:p>
      <w:pPr>
        <w:pStyle w:val="FirstParagraph"/>
      </w:pPr>
      <w:r>
        <w:t xml:space="preserve">Emissions are calculated by multiplying activity data by relevant emission factors (Activity * Emission Factor = CO2e). Emissions are categorized as per GHG Protocol requirements, ensuring robust Scope 3 compliance.</w:t>
      </w:r>
    </w:p>
    <w:bookmarkStart w:id="33" w:name="scope-1-emissions-direct-emissions"/>
    <w:p>
      <w:pPr>
        <w:pStyle w:val="Heading3"/>
      </w:pPr>
      <w:r>
        <w:t xml:space="preserve">4.1 Scope 1 Emissions (Direct Emissions)</w:t>
      </w:r>
    </w:p>
    <w:p>
      <w:pPr>
        <w:pStyle w:val="FirstParagraph"/>
      </w:pPr>
      <w:r>
        <w:t xml:space="preserve">For a \'factory_gate\' system boundary and without specific data on direct fuel combustion at the manufacturing site for</w:t>
      </w:r>
      <w:r>
        <w:t xml:space="preserve"> </w:t>
      </w:r>
      <w:r>
        <w:rPr>
          <w:bCs/>
          <w:b/>
        </w:rPr>
        <w:t xml:space="preserve">xpzzlrgkwh</w:t>
      </w:r>
      <w:r>
        <w:t xml:space="preserve">, Scope 1 emissions are considered negligible for this analysis. If direct fuel consumption (e.g., from company-owned vehicles or on-site fossil fuel combustion for heating/processes) were significant and available, it would be included here.</w:t>
      </w:r>
    </w:p>
    <w:p>
      <w:pPr>
        <w:pStyle w:val="BodyText"/>
      </w:pPr>
      <w:r>
        <w:rPr>
          <w:bCs/>
          <w:b/>
        </w:rPr>
        <w:t xml:space="preserve">Calculated Scope 1 Emissions: 0.00 kgCO2e</w:t>
      </w:r>
    </w:p>
    <w:bookmarkEnd w:id="33"/>
    <w:bookmarkStart w:id="34"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manufacturing of</w:t>
      </w:r>
      <w:r>
        <w:t xml:space="preserve"> </w:t>
      </w:r>
      <w:r>
        <w:rPr>
          <w:bCs/>
          <w:b/>
        </w:rPr>
        <w:t xml:space="preserve">xpzzlrgkwh</w:t>
      </w:r>
      <w:r>
        <w:t xml:space="preserve"> </w:t>
      </w:r>
      <w:r>
        <w:t xml:space="preserve">in China.</w:t>
      </w:r>
    </w:p>
    <w:p>
      <w:pPr>
        <w:numPr>
          <w:ilvl w:val="0"/>
          <w:numId w:val="1005"/>
        </w:numPr>
        <w:pStyle w:val="Compact"/>
      </w:pPr>
      <w:r>
        <w:t xml:space="preserve">Non-Renewable Electricity Used: 3.75 kWh/unit</w:t>
      </w:r>
    </w:p>
    <w:p>
      <w:pPr>
        <w:numPr>
          <w:ilvl w:val="0"/>
          <w:numId w:val="1005"/>
        </w:numPr>
        <w:pStyle w:val="Compact"/>
      </w:pPr>
      <w:r>
        <w:t xml:space="preserve">China Electricity Grid Emission Factor (2026 estimate): 0.75 kg CO2e/kWh</w:t>
      </w:r>
    </w:p>
    <w:p>
      <w:pPr>
        <w:numPr>
          <w:ilvl w:val="0"/>
          <w:numId w:val="1005"/>
        </w:numPr>
        <w:pStyle w:val="Compact"/>
      </w:pPr>
      <w:r>
        <w:rPr>
          <w:bCs/>
          <w:b/>
        </w:rPr>
        <w:t xml:space="preserve">Calculated Scope 2 Emissions:</w:t>
      </w:r>
      <w:r>
        <w:t xml:space="preserve"> </w:t>
      </w:r>
      <w:r>
        <w:t xml:space="preserve">3.75 kWh/unit * 0.75 kg CO2e/kWh =</w:t>
      </w:r>
      <w:r>
        <w:t xml:space="preserve"> </w:t>
      </w:r>
      <w:r>
        <w:rPr>
          <w:bCs/>
          <w:b/>
        </w:rPr>
        <w:t xml:space="preserve">2.8125 kgCO2e/unit</w:t>
      </w:r>
    </w:p>
    <w:bookmarkEnd w:id="34"/>
    <w:bookmarkStart w:id="37" w:name="scope-3-emissions-value-chain-emissions"/>
    <w:p>
      <w:pPr>
        <w:pStyle w:val="Heading3"/>
      </w:pPr>
      <w:r>
        <w:t xml:space="preserve">4.3 Scope 3 Emissions (Value Chain Emissions)</w:t>
      </w:r>
    </w:p>
    <w:p>
      <w:pPr>
        <w:pStyle w:val="FirstParagraph"/>
      </w:pPr>
      <w:r>
        <w:t xml:space="preserve">Scope 3 emissions are broken down into upstream and downstream categories, covering a minimum of 95% of relevant emissions as per 2026 requirements.</w:t>
      </w:r>
    </w:p>
    <w:bookmarkStart w:id="35" w:name="scope-3---upstream-emissions"/>
    <w:p>
      <w:pPr>
        <w:pStyle w:val="Heading4"/>
      </w:pPr>
      <w:r>
        <w:t xml:space="preserve">4.3.1 Scope 3 - Upstream Emissions</w:t>
      </w:r>
    </w:p>
    <w:p>
      <w:pPr>
        <w:pStyle w:val="FirstParagraph"/>
      </w:pPr>
      <w:r>
        <w:t xml:space="preserve">These include emissions from material acquisition and pre-processing, and inbound logistics.</w:t>
      </w:r>
    </w:p>
    <w:p>
      <w:pPr>
        <w:pStyle w:val="BodyText"/>
      </w:pPr>
      <w:r>
        <w:rPr>
          <w:bCs/>
          <w:b/>
        </w:rPr>
        <w:t xml:space="preserve">a. Material Acquisition &amp; Pre-processing:</w:t>
      </w:r>
    </w:p>
    <w:p>
      <w:pPr>
        <w:numPr>
          <w:ilvl w:val="0"/>
          <w:numId w:val="1006"/>
        </w:numPr>
        <w:pStyle w:val="Compact"/>
      </w:pPr>
      <w:r>
        <w:t xml:space="preserve">Total Material Acquisition Emissions (from BOM table):</w:t>
      </w:r>
      <w:r>
        <w:t xml:space="preserve"> </w:t>
      </w:r>
      <w:r>
        <w:rPr>
          <w:bCs/>
          <w:b/>
        </w:rPr>
        <w:t xml:space="preserve">3.6727 kgCO2e/unit</w:t>
      </w:r>
    </w:p>
    <w:p>
      <w:pPr>
        <w:pStyle w:val="FirstParagraph"/>
      </w:pPr>
      <w:r>
        <w:rPr>
          <w:bCs/>
          <w:b/>
        </w:rPr>
        <w:t xml:space="preserve">b. Upstream Transportation &amp; Distribution (Inbound Logistics):</w:t>
      </w:r>
    </w:p>
    <w:p>
      <w:pPr>
        <w:numPr>
          <w:ilvl w:val="0"/>
          <w:numId w:val="1007"/>
        </w:numPr>
        <w:pStyle w:val="Compact"/>
      </w:pPr>
      <w:r>
        <w:t xml:space="preserve">Product Weight: 0.7 kg</w:t>
      </w:r>
    </w:p>
    <w:p>
      <w:pPr>
        <w:numPr>
          <w:ilvl w:val="0"/>
          <w:numId w:val="1007"/>
        </w:numPr>
        <w:pStyle w:val="Compact"/>
      </w:pPr>
      <w:r>
        <w:t xml:space="preserve">Transport Distance: 2000 km</w:t>
      </w:r>
    </w:p>
    <w:p>
      <w:pPr>
        <w:numPr>
          <w:ilvl w:val="0"/>
          <w:numId w:val="1007"/>
        </w:numPr>
        <w:pStyle w:val="Compact"/>
      </w:pPr>
      <w:r>
        <w:t xml:space="preserve">Tonne-Kilometers: 0.7 kg / 1000 kg/tonne * 2000 km = 1.4 tonne-km</w:t>
      </w:r>
    </w:p>
    <w:p>
      <w:pPr>
        <w:numPr>
          <w:ilvl w:val="0"/>
          <w:numId w:val="1007"/>
        </w:numPr>
        <w:pStyle w:val="Compact"/>
      </w:pPr>
      <w:r>
        <w:t xml:space="preserve">Emission Factor (Road Freight, HGV): 0.06763 kg CO2e/tonne-km</w:t>
      </w:r>
    </w:p>
    <w:p>
      <w:pPr>
        <w:numPr>
          <w:ilvl w:val="0"/>
          <w:numId w:val="1007"/>
        </w:numPr>
        <w:pStyle w:val="Compact"/>
      </w:pPr>
      <w:r>
        <w:rPr>
          <w:bCs/>
          <w:b/>
        </w:rPr>
        <w:t xml:space="preserve">Calculated Inbound Transport Emissions:</w:t>
      </w:r>
      <w:r>
        <w:t xml:space="preserve"> </w:t>
      </w:r>
      <w:r>
        <w:t xml:space="preserve">1.4 tonne-km * 0.06763 kg CO2e/tonne-km =</w:t>
      </w:r>
      <w:r>
        <w:t xml:space="preserve"> </w:t>
      </w:r>
      <w:r>
        <w:rPr>
          <w:bCs/>
          <w:b/>
        </w:rPr>
        <w:t xml:space="preserve">0.0947 kgCO2e/unit</w:t>
      </w:r>
    </w:p>
    <w:p>
      <w:pPr>
        <w:pStyle w:val="FirstParagraph"/>
      </w:pPr>
      <w:r>
        <w:rPr>
          <w:bCs/>
          <w:b/>
        </w:rPr>
        <w:t xml:space="preserve">Total Upstream Emissions:</w:t>
      </w:r>
      <w:r>
        <w:t xml:space="preserve"> </w:t>
      </w:r>
      <w:r>
        <w:t xml:space="preserve">3.6727 kgCO2e + 0.0947 kgCO2e =</w:t>
      </w:r>
      <w:r>
        <w:t xml:space="preserve"> </w:t>
      </w:r>
      <w:r>
        <w:rPr>
          <w:bCs/>
          <w:b/>
        </w:rPr>
        <w:t xml:space="preserve">3.7674 kgCO2e/unit</w:t>
      </w:r>
    </w:p>
    <w:bookmarkEnd w:id="35"/>
    <w:bookmarkStart w:id="36" w:name="scope-3---downstream-emissions"/>
    <w:p>
      <w:pPr>
        <w:pStyle w:val="Heading4"/>
      </w:pPr>
      <w:r>
        <w:t xml:space="preserve">4.3.2 Scope 3 - Downstream Emissions</w:t>
      </w:r>
    </w:p>
    <w:p>
      <w:pPr>
        <w:pStyle w:val="FirstParagraph"/>
      </w:pPr>
      <w:r>
        <w:t xml:space="preserve">These include emissions from outbound logistics, product use, and end-of-life treatment.</w:t>
      </w:r>
    </w:p>
    <w:p>
      <w:pPr>
        <w:pStyle w:val="BodyText"/>
      </w:pPr>
      <w:r>
        <w:rPr>
          <w:bCs/>
          <w:b/>
        </w:rPr>
        <w:t xml:space="preserve">a. Downstream Transportation &amp; Distribution (Outbound Logistics - Last-Mile):</w:t>
      </w:r>
    </w:p>
    <w:p>
      <w:pPr>
        <w:numPr>
          <w:ilvl w:val="0"/>
          <w:numId w:val="1008"/>
        </w:numPr>
        <w:pStyle w:val="Compact"/>
      </w:pPr>
      <w:r>
        <w:t xml:space="preserve">Assumed Last-Mile Emission (Small Parcel Van): 0.1 kg CO2e/delivery</w:t>
      </w:r>
    </w:p>
    <w:p>
      <w:pPr>
        <w:numPr>
          <w:ilvl w:val="0"/>
          <w:numId w:val="1008"/>
        </w:numPr>
        <w:pStyle w:val="Compact"/>
      </w:pPr>
      <w:r>
        <w:rPr>
          <w:bCs/>
          <w:b/>
        </w:rPr>
        <w:t xml:space="preserve">Calculated Last-Mile Emissions: 0.10 kgCO2e/unit</w:t>
      </w:r>
    </w:p>
    <w:p>
      <w:pPr>
        <w:pStyle w:val="FirstParagraph"/>
      </w:pPr>
      <w:r>
        <w:rPr>
          <w:bCs/>
          <w:b/>
        </w:rPr>
        <w:t xml:space="preserve">b. Use Phase Emissions:</w:t>
      </w:r>
    </w:p>
    <w:p>
      <w:pPr>
        <w:numPr>
          <w:ilvl w:val="0"/>
          <w:numId w:val="1009"/>
        </w:numPr>
        <w:pStyle w:val="Compact"/>
      </w:pPr>
      <w:r>
        <w:t xml:space="preserve">Total Energy Consumption over Lifespan: 100 kWh</w:t>
      </w:r>
    </w:p>
    <w:p>
      <w:pPr>
        <w:numPr>
          <w:ilvl w:val="0"/>
          <w:numId w:val="1009"/>
        </w:numPr>
        <w:pStyle w:val="Compact"/>
      </w:pPr>
      <w:r>
        <w:t xml:space="preserve">EU Average Electricity Grid Emission Factor (2026 estimate): 0.2 kg CO2e/kWh</w:t>
      </w:r>
    </w:p>
    <w:p>
      <w:pPr>
        <w:numPr>
          <w:ilvl w:val="0"/>
          <w:numId w:val="1009"/>
        </w:numPr>
        <w:pStyle w:val="Compact"/>
      </w:pPr>
      <w:r>
        <w:rPr>
          <w:bCs/>
          <w:b/>
        </w:rPr>
        <w:t xml:space="preserve">Calculated Use Phase Emissions:</w:t>
      </w:r>
      <w:r>
        <w:t xml:space="preserve"> </w:t>
      </w:r>
      <w:r>
        <w:t xml:space="preserve">100 kWh * 0.2 kg CO2e/kWh =</w:t>
      </w:r>
      <w:r>
        <w:t xml:space="preserve"> </w:t>
      </w:r>
      <w:r>
        <w:rPr>
          <w:bCs/>
          <w:b/>
        </w:rPr>
        <w:t xml:space="preserve">20.00 kgCO2e/unit</w:t>
      </w:r>
    </w:p>
    <w:p>
      <w:pPr>
        <w:pStyle w:val="FirstParagraph"/>
      </w:pPr>
      <w:r>
        <w:rPr>
          <w:bCs/>
          <w:b/>
        </w:rPr>
        <w:t xml:space="preserve">c. End-of-Life (EoL) Treatment:</w:t>
      </w:r>
    </w:p>
    <w:p>
      <w:pPr>
        <w:numPr>
          <w:ilvl w:val="0"/>
          <w:numId w:val="1010"/>
        </w:numPr>
        <w:pStyle w:val="Compact"/>
      </w:pPr>
      <w:r>
        <w:t xml:space="preserve">Recyclability Percentage: 60%</w:t>
      </w:r>
    </w:p>
    <w:p>
      <w:pPr>
        <w:numPr>
          <w:ilvl w:val="0"/>
          <w:numId w:val="1010"/>
        </w:numPr>
        <w:pStyle w:val="Compact"/>
      </w:pPr>
      <w:r>
        <w:t xml:space="preserve">Circular/Take-back Programs: Yes, established</w:t>
      </w:r>
    </w:p>
    <w:p>
      <w:pPr>
        <w:numPr>
          <w:ilvl w:val="0"/>
          <w:numId w:val="1010"/>
        </w:numPr>
        <w:pStyle w:val="Compact"/>
      </w:pPr>
      <w:r>
        <w:t xml:space="preserve">For the 60% recycled portion, a credit for avoided primary production emissions can be estimated. Assuming 60% of the material acquisition emissions are avoided: 0.60 * 3.6727 kgCO2e = 2.2036 kgCO2e credit.</w:t>
      </w:r>
    </w:p>
    <w:p>
      <w:pPr>
        <w:numPr>
          <w:ilvl w:val="0"/>
          <w:numId w:val="1010"/>
        </w:numPr>
        <w:pStyle w:val="Compact"/>
      </w:pPr>
      <w:r>
        <w:t xml:space="preserve">For the remaining 40% (0.40 * 0.7 kg = 0.28 kg), a simplified estimate for landfill/incineration is applied. Given the cradle-to-gate material EFs and system boundary (factory_gate originally), the main EoL impact comes from avoided virgin production. For demonstration, we assume a small positive emission for residual disposal, e.g., 0.1 kgCO2e for processing.</w:t>
      </w:r>
    </w:p>
    <w:p>
      <w:pPr>
        <w:numPr>
          <w:ilvl w:val="0"/>
          <w:numId w:val="1010"/>
        </w:numPr>
        <w:pStyle w:val="Compact"/>
      </w:pPr>
      <w:r>
        <w:rPr>
          <w:bCs/>
          <w:b/>
        </w:rPr>
        <w:t xml:space="preserve">Calculated EoL Emissions (Net):</w:t>
      </w:r>
      <w:r>
        <w:t xml:space="preserve"> </w:t>
      </w:r>
      <w:r>
        <w:t xml:space="preserve">-2.2036 (credit) + 0.1 (disposal) =</w:t>
      </w:r>
      <w:r>
        <w:t xml:space="preserve"> </w:t>
      </w:r>
      <w:r>
        <w:rPr>
          <w:bCs/>
          <w:b/>
        </w:rPr>
        <w:t xml:space="preserve">-2.1036 kgCO2e/unit</w:t>
      </w:r>
      <w:r>
        <w:t xml:space="preserve"> </w:t>
      </w:r>
      <w:r>
        <w:t xml:space="preserve">(Net credit due to recycling)</w:t>
      </w:r>
    </w:p>
    <w:p>
      <w:pPr>
        <w:pStyle w:val="FirstParagraph"/>
      </w:pPr>
      <w:r>
        <w:rPr>
          <w:bCs/>
          <w:b/>
        </w:rPr>
        <w:t xml:space="preserve">Total Downstream Emissions:</w:t>
      </w:r>
      <w:r>
        <w:t xml:space="preserve"> </w:t>
      </w:r>
      <w:r>
        <w:t xml:space="preserve">0.10 kgCO2e + 20.00 kgCO2e - 2.1036 kgCO2e =</w:t>
      </w:r>
      <w:r>
        <w:t xml:space="preserve"> </w:t>
      </w:r>
      <w:r>
        <w:rPr>
          <w:bCs/>
          <w:b/>
        </w:rPr>
        <w:t xml:space="preserve">17.9964 kgCO2e/unit</w:t>
      </w:r>
    </w:p>
    <w:bookmarkEnd w:id="36"/>
    <w:bookmarkEnd w:id="37"/>
    <w:bookmarkStart w:id="38" w:name="Xf2d33dcec2f2cd2723796da4ecdc1f6d931bf64"/>
    <w:p>
      <w:pPr>
        <w:pStyle w:val="Heading3"/>
      </w:pPr>
      <w:r>
        <w:t xml:space="preserve">4.4 Total Product Carbon Footprint (PCF) for xpzzlrgkwh</w:t>
      </w:r>
    </w:p>
    <w:p>
      <w:pPr>
        <w:pStyle w:val="FirstParagraph"/>
      </w:pPr>
      <w:r>
        <w:t xml:space="preserve">Summary of emissions per functional unit (1.0 unit of xpzzlrgkwh):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Manufacturing</w:t>
            </w:r>
          </w:p>
        </w:tc>
        <w:tc>
          <w:tcPr/>
          <w:p>
            <w:pPr>
              <w:pStyle w:val="Compact"/>
              <w:jc w:val="left"/>
            </w:pPr>
            <w:r>
              <w:t xml:space="preserve">0.0000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2.8125</w:t>
            </w:r>
          </w:p>
        </w:tc>
      </w:tr>
      <w:tr>
        <w:tc>
          <w:tcPr>
            <w:vMerge w:val="restart"/>
          </w:tcPr>
          <w:p>
            <w:pPr>
              <w:pStyle w:val="Compact"/>
              <w:jc w:val="left"/>
            </w:pPr>
            <w:r>
              <w:t xml:space="preserve">Scope 3</w:t>
            </w:r>
          </w:p>
        </w:tc>
        <w:tc>
          <w:tcPr/>
          <w:p>
            <w:pPr>
              <w:pStyle w:val="Compact"/>
              <w:jc w:val="left"/>
            </w:pPr>
            <w:r>
              <w:t xml:space="preserve">Upstream: Material Acquisition &amp; Pre-processing</w:t>
            </w:r>
          </w:p>
        </w:tc>
        <w:tc>
          <w:tcPr/>
          <w:p>
            <w:pPr>
              <w:pStyle w:val="Compact"/>
              <w:jc w:val="left"/>
            </w:pPr>
            <w:r>
              <w:t xml:space="preserve">3.6727</w:t>
            </w:r>
          </w:p>
        </w:tc>
      </w:tr>
      <w:tr>
        <w:tc>
          <w:tcPr>
            <w:gridSpan w:val="1"/>
            <w:vMerge w:val="continue"/>
          </w:tcPr>
          <w:p>
            <w:pPr/>
          </w:p>
        </w:tc>
        <w:tc>
          <w:tcPr/>
          <w:p>
            <w:pPr>
              <w:pStyle w:val="Compact"/>
              <w:jc w:val="left"/>
            </w:pPr>
            <w:r>
              <w:t xml:space="preserve">Upstream: Inbound Transportation</w:t>
            </w:r>
          </w:p>
        </w:tc>
        <w:tc>
          <w:tcPr/>
          <w:p>
            <w:pPr>
              <w:pStyle w:val="Compact"/>
              <w:jc w:val="left"/>
            </w:pPr>
            <w:r>
              <w:t xml:space="preserve">0.0947</w:t>
            </w:r>
          </w:p>
        </w:tc>
      </w:tr>
      <w:tr>
        <w:tc>
          <w:tcPr>
            <w:gridSpan w:val="1"/>
            <w:vMerge w:val="continue"/>
          </w:tcPr>
          <w:p>
            <w:pPr/>
          </w:p>
        </w:tc>
        <w:tc>
          <w:tcPr/>
          <w:p>
            <w:pPr>
              <w:pStyle w:val="Compact"/>
              <w:jc w:val="left"/>
            </w:pPr>
            <w:r>
              <w:t xml:space="preserve">Downstream: Outbound Transportation (Last-Mile)</w:t>
            </w:r>
          </w:p>
        </w:tc>
        <w:tc>
          <w:tcPr/>
          <w:p>
            <w:pPr>
              <w:pStyle w:val="Compact"/>
              <w:jc w:val="left"/>
            </w:pPr>
            <w:r>
              <w:t xml:space="preserve">0.1000</w:t>
            </w:r>
          </w:p>
        </w:tc>
      </w:tr>
      <w:tr>
        <w:tc>
          <w:tcPr>
            <w:gridSpan w:val="1"/>
            <w:vMerge w:val="continue"/>
          </w:tcPr>
          <w:p>
            <w:pPr/>
          </w:p>
        </w:tc>
        <w:tc>
          <w:tcPr/>
          <w:p>
            <w:pPr>
              <w:pStyle w:val="Compact"/>
              <w:jc w:val="left"/>
            </w:pPr>
            <w:r>
              <w:t xml:space="preserve">Downstream: Use Phase</w:t>
            </w:r>
          </w:p>
        </w:tc>
        <w:tc>
          <w:tcPr/>
          <w:p>
            <w:pPr>
              <w:pStyle w:val="Compact"/>
              <w:jc w:val="left"/>
            </w:pPr>
            <w:r>
              <w:t xml:space="preserve">20.0000</w:t>
            </w:r>
          </w:p>
        </w:tc>
      </w:tr>
      <w:tr>
        <w:tc>
          <w:tcPr/>
          <w:p>
            <w:pPr>
              <w:pStyle w:val="Compact"/>
              <w:jc w:val="left"/>
            </w:pPr>
            <w:r>
              <w:t xml:space="preserve">Scope 3 (Net)</w:t>
            </w:r>
          </w:p>
        </w:tc>
        <w:tc>
          <w:tcPr/>
          <w:p>
            <w:pPr>
              <w:pStyle w:val="Compact"/>
              <w:jc w:val="left"/>
            </w:pPr>
            <w:r>
              <w:t xml:space="preserve">Downstream: End-of-Life Treatment</w:t>
            </w:r>
          </w:p>
        </w:tc>
        <w:tc>
          <w:tcPr/>
          <w:p>
            <w:pPr>
              <w:pStyle w:val="Compact"/>
              <w:jc w:val="left"/>
            </w:pPr>
            <w:r>
              <w:t xml:space="preserve">-2.1036</w:t>
            </w:r>
          </w:p>
        </w:tc>
      </w:tr>
      <w:tr>
        <w:tc>
          <w:tcPr>
            <w:gridSpan w:val="2"/>
          </w:tcPr>
          <w:p>
            <w:pPr>
              <w:pStyle w:val="Compact"/>
              <w:jc w:val="left"/>
            </w:pPr>
            <w:r>
              <w:t xml:space="preserve">TOTAL PRODUCT CARBON FOOTPRINT</w:t>
            </w:r>
          </w:p>
        </w:tc>
        <w:tc>
          <w:tcPr/>
          <w:p>
            <w:pPr>
              <w:pStyle w:val="Compact"/>
              <w:jc w:val="left"/>
            </w:pPr>
            <w:r>
              <w:t xml:space="preserve">24.5763</w:t>
            </w:r>
          </w:p>
        </w:tc>
      </w:tr>
    </w:tbl>
    <w:p>
      <w:pPr>
        <w:pStyle w:val="BodyText"/>
      </w:pPr>
      <w:r>
        <w:t xml:space="preserve">The total Product Carbon Footprint for one unit of</w:t>
      </w:r>
      <w:r>
        <w:t xml:space="preserve"> </w:t>
      </w:r>
      <w:r>
        <w:rPr>
          <w:bCs/>
          <w:b/>
        </w:rPr>
        <w:t xml:space="preserve">xpzzlrgkwh</w:t>
      </w:r>
      <w:r>
        <w:t xml:space="preserve"> </w:t>
      </w:r>
      <w:r>
        <w:t xml:space="preserve">is approximately</w:t>
      </w:r>
      <w:r>
        <w:t xml:space="preserve"> </w:t>
      </w:r>
      <w:r>
        <w:rPr>
          <w:bCs/>
          <w:b/>
        </w:rPr>
        <w:t xml:space="preserve">24.58 kgCO2e</w:t>
      </w:r>
      <w:r>
        <w:t xml:space="preserve">.</w:t>
      </w:r>
    </w:p>
    <w:bookmarkEnd w:id="38"/>
    <w:bookmarkStart w:id="39" w:name="lsr-update-land-sector-and-removals"/>
    <w:p>
      <w:pPr>
        <w:pStyle w:val="Heading3"/>
      </w:pPr>
      <w:r>
        <w:t xml:space="preserve">4.5 2026 LSR Update (Land Sector and Removals)</w:t>
      </w:r>
    </w:p>
    <w:p>
      <w:pPr>
        <w:pStyle w:val="FirstParagraph"/>
      </w:pPr>
      <w:r>
        <w:t xml:space="preserve">The Land Sector and Removals (LSR) Standard (2026 update) is applied to account for land use and carbon removals. For</w:t>
      </w:r>
      <w:r>
        <w:t xml:space="preserve"> </w:t>
      </w:r>
      <w:r>
        <w:rPr>
          <w:bCs/>
          <w:b/>
        </w:rPr>
        <w:t xml:space="preserve">xpzzlrgkwh</w:t>
      </w:r>
      <w:r>
        <w:t xml:space="preserve">, the primary materials (plastics, metals, electronics, cardboard) do not typically involve significant direct land-use change emissions or removals in their immediate production, as their impacts are predominantly industrial. However, if bio-based materials were a substantial part of the product, or if the supply chain involved significant land-intensive agriculture or forestry (e.g., specific wood products with deforestation links), the LSR Standard would systematically quantify associated GHG emissions and removals (e.g., biogenic carbon uptake in sustainably managed forests or emissions from land-use change). For this analysis, assuming the chosen materials, direct LSR impacts are considered negligible at the product level, but the methodology is noted for future application if the material composition changes.</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xpzzlrgkwh</w:t>
      </w:r>
      <w:r>
        <w:t xml:space="preserve"> </w:t>
      </w:r>
      <w:r>
        <w:t xml:space="preserve">are:</w:t>
      </w:r>
    </w:p>
    <w:p>
      <w:pPr>
        <w:numPr>
          <w:ilvl w:val="0"/>
          <w:numId w:val="1011"/>
        </w:numPr>
        <w:pStyle w:val="Compact"/>
      </w:pPr>
      <w:r>
        <w:rPr>
          <w:bCs/>
          <w:b/>
        </w:rPr>
        <w:t xml:space="preserve">Use Phase (20.00 kgCO2e):</w:t>
      </w:r>
      <w:r>
        <w:t xml:space="preserve"> </w:t>
      </w:r>
      <w:r>
        <w:t xml:space="preserve">This is by far the largest contributor, primarily due to the electricity consumption over the product\'s 5-year lifespan. This highlights the critical importance of energy efficiency during product use and the decarbonization of electricity grids.</w:t>
      </w:r>
    </w:p>
    <w:p>
      <w:pPr>
        <w:numPr>
          <w:ilvl w:val="0"/>
          <w:numId w:val="1011"/>
        </w:numPr>
        <w:pStyle w:val="Compact"/>
      </w:pPr>
      <w:r>
        <w:rPr>
          <w:bCs/>
          <w:b/>
        </w:rPr>
        <w:t xml:space="preserve">Material Acquisition (3.67 kgCO2e):</w:t>
      </w:r>
      <w:r>
        <w:t xml:space="preserve"> </w:t>
      </w:r>
      <w:r>
        <w:t xml:space="preserve">The production of raw materials, especially plastics and metals (ABS plastic and copper wire in the assumed BOM), contributes significantly. Sourcing lower-carbon materials, recycled content, and engaging with suppliers on their manufacturing footprints are key.</w:t>
      </w:r>
    </w:p>
    <w:p>
      <w:pPr>
        <w:numPr>
          <w:ilvl w:val="0"/>
          <w:numId w:val="1011"/>
        </w:numPr>
        <w:pStyle w:val="Compact"/>
      </w:pPr>
      <w:r>
        <w:rPr>
          <w:bCs/>
          <w:b/>
        </w:rPr>
        <w:t xml:space="preserve">Purchased Electricity for Manufacturing (2.81 kgCO2e):</w:t>
      </w:r>
      <w:r>
        <w:t xml:space="preserve"> </w:t>
      </w:r>
      <w:r>
        <w:t xml:space="preserve">Although the company uses 75% renewable energy, the remaining non-renewable portion of electricity from the Chinese grid has a substantial impact due to its higher emission factor. Further increasing renewable energy penetration or switching to certified green electricity is crucial.</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specific provided parameters. However, certain limitations should be noted:</w:t>
      </w:r>
    </w:p>
    <w:p>
      <w:pPr>
        <w:numPr>
          <w:ilvl w:val="0"/>
          <w:numId w:val="1012"/>
        </w:numPr>
        <w:pStyle w:val="Compact"/>
      </w:pPr>
      <w:r>
        <w:rPr>
          <w:bCs/>
          <w:b/>
        </w:rPr>
        <w:t xml:space="preserve">Placeholder Data:</w:t>
      </w:r>
      <w:r>
        <w:t xml:space="preserve"> </w:t>
      </w:r>
      <w:r>
        <w:t xml:space="preserve">The accuracy is dependent on the assumed values for parameters like \'wegmeosz\' (BOM content), \'fywlxpklem\' (transport distance), \'Select Mode\' (transport mode), \'Delivery Type\' (last-mile), \'jwqivegzxf\' (renewable energy usage), \'qukijyvexx\' (energy intensity), \'vdrmkzznzu\' (product lifespan), \'yfiigpkzsw\' (energy in use), \'zrtjomlrjm\' (recyclability), and \'uqmmljiggu\' (circular programs). Actual, primary data for these parameters would further enhance accuracy.</w:t>
      </w:r>
    </w:p>
    <w:p>
      <w:pPr>
        <w:numPr>
          <w:ilvl w:val="0"/>
          <w:numId w:val="1012"/>
        </w:numPr>
        <w:pStyle w:val="Compact"/>
      </w:pPr>
      <w:r>
        <w:rPr>
          <w:bCs/>
          <w:b/>
        </w:rPr>
        <w:t xml:space="preserve">Emission Factor Specificity:</w:t>
      </w:r>
      <w:r>
        <w:t xml:space="preserve"> </w:t>
      </w:r>
      <w:r>
        <w:t xml:space="preserve">While industry-standard emission factors (e.g., from DEFRA, estimated from IEA/Ecoinvent for electricity grids) have been used, highly specific, supplier-specific emission factors for each material and process would provide the most precise results.</w:t>
      </w:r>
    </w:p>
    <w:p>
      <w:pPr>
        <w:numPr>
          <w:ilvl w:val="0"/>
          <w:numId w:val="1012"/>
        </w:numPr>
        <w:pStyle w:val="Compact"/>
      </w:pPr>
      <w:r>
        <w:rPr>
          <w:bCs/>
          <w:b/>
        </w:rPr>
        <w:t xml:space="preserve">EoL Assumptions:</w:t>
      </w:r>
      <w:r>
        <w:t xml:space="preserve"> </w:t>
      </w:r>
      <w:r>
        <w:t xml:space="preserve">The end-of-life credit/emission calculation is a simplification. A more detailed EoL model would require specific data on actual recycling processes, landfill gas capture rates, and incineration efficiencies for the product\'s components.</w:t>
      </w:r>
    </w:p>
    <w:p>
      <w:pPr>
        <w:numPr>
          <w:ilvl w:val="0"/>
          <w:numId w:val="1012"/>
        </w:numPr>
        <w:pStyle w:val="Compact"/>
      </w:pPr>
      <w:r>
        <w:rPr>
          <w:bCs/>
          <w:b/>
        </w:rPr>
        <w:t xml:space="preserve">Geographic Resolution of EFs:</w:t>
      </w:r>
      <w:r>
        <w:t xml:space="preserve"> </w:t>
      </w:r>
      <w:r>
        <w:t xml:space="preserve">While efforts were made to use regional EFs (China for production, EU for use phase), some material EFs might be global averages due to data availability.</w:t>
      </w:r>
    </w:p>
    <w:bookmarkEnd w:id="42"/>
    <w:bookmarkStart w:id="43" w:name="recommendations"/>
    <w:p>
      <w:pPr>
        <w:pStyle w:val="Heading3"/>
      </w:pPr>
      <w:r>
        <w:t xml:space="preserve">5.3 Recommendations</w:t>
      </w:r>
    </w:p>
    <w:p>
      <w:pPr>
        <w:numPr>
          <w:ilvl w:val="0"/>
          <w:numId w:val="1013"/>
        </w:numPr>
        <w:pStyle w:val="Compact"/>
      </w:pPr>
      <w:r>
        <w:rPr>
          <w:bCs/>
          <w:b/>
        </w:rPr>
        <w:t xml:space="preserve">Improve Use Phase Efficiency:</w:t>
      </w:r>
      <w:r>
        <w:t xml:space="preserve"> </w:t>
      </w:r>
      <w:r>
        <w:t xml:space="preserve">Focus on designing</w:t>
      </w:r>
      <w:r>
        <w:t xml:space="preserve"> </w:t>
      </w:r>
      <w:r>
        <w:rPr>
          <w:bCs/>
          <w:b/>
        </w:rPr>
        <w:t xml:space="preserve">xpzzlrgkwh</w:t>
      </w:r>
      <w:r>
        <w:t xml:space="preserve"> </w:t>
      </w:r>
      <w:r>
        <w:t xml:space="preserve">for even greater energy efficiency during its use, or explore alternative power sources if applicable. Consumer education on efficient use is also important.</w:t>
      </w:r>
    </w:p>
    <w:p>
      <w:pPr>
        <w:numPr>
          <w:ilvl w:val="0"/>
          <w:numId w:val="1013"/>
        </w:numPr>
        <w:pStyle w:val="Compact"/>
      </w:pPr>
      <w:r>
        <w:rPr>
          <w:bCs/>
          <w:b/>
        </w:rPr>
        <w:t xml:space="preserve">Decarbonize Manufacturing Energy:</w:t>
      </w:r>
      <w:r>
        <w:t xml:space="preserve"> </w:t>
      </w:r>
      <w:r>
        <w:t xml:space="preserve">Invest in 100% certified renewable energy for manufacturing operations in China, or explore on-site renewable energy generation to eliminate remaining Scope 2 emissions.</w:t>
      </w:r>
    </w:p>
    <w:p>
      <w:pPr>
        <w:numPr>
          <w:ilvl w:val="0"/>
          <w:numId w:val="1013"/>
        </w:numPr>
        <w:pStyle w:val="Compact"/>
      </w:pPr>
      <w:r>
        <w:rPr>
          <w:bCs/>
          <w:b/>
        </w:rPr>
        <w:t xml:space="preserve">Engage with Material Suppliers:</w:t>
      </w:r>
      <w:r>
        <w:t xml:space="preserve"> </w:t>
      </w:r>
      <w:r>
        <w:t xml:space="preserve">Collaborate with BOM suppliers to identify and procure lower-carbon materials or increase the use of recycled content beyond current levels, focusing on high-impact materials like plastics and metals.</w:t>
      </w:r>
    </w:p>
    <w:p>
      <w:pPr>
        <w:numPr>
          <w:ilvl w:val="0"/>
          <w:numId w:val="1013"/>
        </w:numPr>
        <w:pStyle w:val="Compact"/>
      </w:pPr>
      <w:r>
        <w:rPr>
          <w:bCs/>
          <w:b/>
        </w:rPr>
        <w:t xml:space="preserve">Optimize Logistics:</w:t>
      </w:r>
      <w:r>
        <w:t xml:space="preserve"> </w:t>
      </w:r>
      <w:r>
        <w:t xml:space="preserve">Evaluate opportunities to optimize transport modes (e.g., shifting from road to rail or sea where feasible for longer distances), consolidate shipments, and improve load factors to reduce transport emissions.</w:t>
      </w:r>
    </w:p>
    <w:p>
      <w:pPr>
        <w:numPr>
          <w:ilvl w:val="0"/>
          <w:numId w:val="1013"/>
        </w:numPr>
        <w:pStyle w:val="Compact"/>
      </w:pPr>
      <w:r>
        <w:rPr>
          <w:bCs/>
          <w:b/>
        </w:rPr>
        <w:t xml:space="preserve">Strengthen Circularity:</w:t>
      </w:r>
      <w:r>
        <w:t xml:space="preserve"> </w:t>
      </w:r>
      <w:r>
        <w:t xml:space="preserve">Continue to expand and promote take-back and recycling programs (uqmmljiggu) to maximize the recovery and reuse of materials, further enhancing the net positive impact at end-of-life.</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xpzzlrgkwh</dc:title>
  <dc:creator/>
  <dc:description>Detailed Product Carbon Footprint (PCF) analysis report for product xpzzlrgkwh, adhering to GHG Protocol and 2026 LSR update.</dc:description>
  <dc:language>en</dc:language>
  <cp:keywords/>
  <dcterms:created xsi:type="dcterms:W3CDTF">2026-07-15T02:04:51Z</dcterms:created>
  <dcterms:modified xsi:type="dcterms:W3CDTF">2026-07-15T02:04:51Z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