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xotrwpdejp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xotrwpdejp</w:t>
      </w:r>
    </w:p>
    <w:p>
      <w:pPr>
        <w:pStyle w:val="BodyText"/>
      </w:pPr>
      <w:r>
        <w:rPr>
          <w:bCs/>
          <w:b/>
        </w:rPr>
        <w:t xml:space="preserve">Company:</w:t>
      </w:r>
      <w:r>
        <w:t xml:space="preserve"> </w:t>
      </w:r>
      <w:r>
        <w:t xml:space="preserve">qsioufujpj</w:t>
      </w:r>
    </w:p>
    <w:p>
      <w:pPr>
        <w:pStyle w:val="BodyText"/>
      </w:pPr>
      <w:r>
        <w:rPr>
          <w:bCs/>
          <w:b/>
        </w:rPr>
        <w:t xml:space="preserve">Senior Sustainability Consultant:</w:t>
      </w:r>
      <w:r>
        <w:t xml:space="preserve"> </w:t>
      </w:r>
      <w:r>
        <w:t xml:space="preserve">lukdpymfyf</w:t>
      </w:r>
    </w:p>
    <w:p>
      <w:pPr>
        <w:pStyle w:val="BodyText"/>
      </w:pPr>
      <w:r>
        <w:rPr>
          <w:bCs/>
          <w:b/>
        </w:rPr>
        <w:t xml:space="preserve">Accounting Standard:</w:t>
      </w:r>
      <w:r>
        <w:t xml:space="preserve"> </w:t>
      </w:r>
      <w:r>
        <w:t xml:space="preserve">GHG Protocol</w:t>
      </w:r>
    </w:p>
    <w:p>
      <w:pPr>
        <w:pStyle w:val="BodyText"/>
      </w:pPr>
      <w:r>
        <w:rPr>
          <w:iCs/>
          <w:i/>
        </w:rPr>
        <w:t xml:space="preserve">This report is generated based on available data and industry standards for Product Carbon Footprint (PCF) analysis. While every effort has been made to ensure accuracy, the results are indicative and subject to the completeness and reliability of the input data.</w:t>
      </w:r>
    </w:p>
    <w:bookmarkEnd w:id="20"/>
    <w:bookmarkStart w:id="21" w:name="Xf403061737c0f2be6c2408860e78781b8d3e665"/>
    <w:p>
      <w:pPr>
        <w:pStyle w:val="Heading1"/>
      </w:pPr>
      <w:r>
        <w:t xml:space="preserve">Product Carbon Footprint Analysis for xotrwpdejp</w:t>
      </w:r>
    </w:p>
    <w:p>
      <w:pPr>
        <w:pStyle w:val="FirstParagraph"/>
      </w:pPr>
      <w:r>
        <w:rPr>
          <w:bCs/>
          <w:b/>
        </w:rPr>
        <w:t xml:space="preserve">Generated Date:</w:t>
      </w:r>
      <w:r>
        <w:t xml:space="preserve"> </w:t>
      </w:r>
      <w:r>
        <w:t xml:space="preserve">May 27, 2026</w:t>
      </w:r>
    </w:p>
    <w:p>
      <w:pPr>
        <w:pStyle w:val="BodyText"/>
      </w:pPr>
      <w:r>
        <w:rPr>
          <w:bCs/>
          <w:b/>
        </w:rPr>
        <w:t xml:space="preserve">Senior Sustainability Consultant:</w:t>
      </w:r>
      <w:r>
        <w:t xml:space="preserve"> </w:t>
      </w:r>
      <w:r>
        <w:t xml:space="preserve">lukdpymfyf</w:t>
      </w:r>
    </w:p>
    <w:p>
      <w:pPr>
        <w:pStyle w:val="BodyText"/>
      </w:pPr>
      <w:r>
        <w:rPr>
          <w:bCs/>
          <w:b/>
        </w:rPr>
        <w:t xml:space="preserve">Company Name:</w:t>
      </w:r>
      <w:r>
        <w:t xml:space="preserve"> </w:t>
      </w:r>
      <w:r>
        <w:t xml:space="preserve">qsioufujpj</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xotrwpdejp</w:t>
      </w:r>
      <w:r>
        <w:t xml:space="preserve"> </w:t>
      </w:r>
      <w:r>
        <w:t xml:space="preserve">manufactured by</w:t>
      </w:r>
      <w:r>
        <w:t xml:space="preserve"> </w:t>
      </w:r>
      <w:r>
        <w:rPr>
          <w:bCs/>
          <w:b/>
        </w:rPr>
        <w:t xml:space="preserve">qsioufujpj</w:t>
      </w:r>
      <w:r>
        <w:t xml:space="preserve">. Conducted by Senior Sustainability Consultant</w:t>
      </w:r>
      <w:r>
        <w:t xml:space="preserve"> </w:t>
      </w:r>
      <w:r>
        <w:rPr>
          <w:bCs/>
          <w:b/>
        </w:rPr>
        <w:t xml:space="preserve">lukdpymfyf</w:t>
      </w:r>
      <w:r>
        <w:t xml:space="preserve">, this analysis adheres strictly to the GHG Protocol accounting standard, incorporating the 2026 Land Sector and Removals (LSR) update and ensuring robust Scope 3 compliance. The PCF quantifies the total greenhouse gas emissions associated with the product\'s entire lifecycle, from raw material acquisition through end-of-life. Key hotspots identified include the use phase due to energy consumption and material acquisition, offering significant opportunities for reduction.</w:t>
      </w:r>
    </w:p>
    <w:bookmarkEnd w:id="22"/>
    <w:p>
      <w:r>
        <w:pict>
          <v:rect style="width:0;height:1.5pt" o:hralign="center" o:hrstd="t" o:hr="t"/>
        </w:pict>
      </w:r>
    </w:p>
    <w:bookmarkStart w:id="27"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product xotrwpdejp. All emissions are calculated relative to this single unit.</w:t>
      </w:r>
    </w:p>
    <w:bookmarkEnd w:id="23"/>
    <w:bookmarkStart w:id="24"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encompassing all upstream activities from raw material extraction and processing, manufacturing, and transport up to the point where the finished product leaves the factory gate. For comprehensive GHG Protocol compliance, downstream activities including distribution, use phase, and end-of-life are also included in the calculation as part of Scope 3 reporting, extending beyond the strict factory_gate boundary to cover the full lifecycle.</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(indicating significant upstream material and component sourcing from Europe to the China manufacturing facility)</w:t>
      </w:r>
    </w:p>
    <w:bookmarkEnd w:id="25"/>
    <w:bookmarkStart w:id="26" w:name="allocation"/>
    <w:p>
      <w:pPr>
        <w:pStyle w:val="Heading3"/>
      </w:pPr>
      <w:r>
        <w:t xml:space="preserve">1.4 Allocation</w:t>
      </w:r>
    </w:p>
    <w:p>
      <w:pPr>
        <w:pStyle w:val="FirstParagraph"/>
      </w:pPr>
      <w:r>
        <w:t xml:space="preserve">Where multi-product systems or co-production occur, emissions are allocated based on physical causality. For materials, allocation is typically based on mass. For energy, allocation considers direct usage attributable to the functional unit.</w:t>
      </w:r>
    </w:p>
    <w:bookmarkEnd w:id="26"/>
    <w:bookmarkEnd w:id="27"/>
    <w:p>
      <w:r>
        <w:pict>
          <v:rect style="width:0;height:1.5pt" o:hralign="center" o:hrstd="t" o:hr="t"/>
        </w:pict>
      </w:r>
    </w:p>
    <w:bookmarkStart w:id="29" w:name="map-lifecycle-lci-inventory-stages"/>
    <w:p>
      <w:pPr>
        <w:pStyle w:val="Heading2"/>
      </w:pPr>
      <w:r>
        <w:t xml:space="preserve">2. Map Lifecycle (LCI Inventory Stages)</w:t>
      </w:r>
    </w:p>
    <w:p>
      <w:pPr>
        <w:pStyle w:val="FirstParagraph"/>
      </w:pPr>
      <w:r>
        <w:t xml:space="preserve">The lifecycle of xotrwpdejp has been mapped into the following key stages, for which an inventory of inputs and outputs (including materials and energy) has been compiled:</w:t>
      </w:r>
    </w:p>
    <w:p>
      <w:pPr>
        <w:numPr>
          <w:ilvl w:val="0"/>
          <w:numId w:val="1002"/>
        </w:numPr>
        <w:pStyle w:val="Compact"/>
      </w:pPr>
      <w:r>
        <w:rPr>
          <w:bCs/>
          <w:b/>
        </w:rPr>
        <w:t xml:space="preserve">Raw Material Acquisition &amp; Pre-processing:</w:t>
      </w:r>
      <w:r>
        <w:t xml:space="preserve"> </w:t>
      </w:r>
      <w:r>
        <w:t xml:space="preserve">Extraction, cultivation, and initial processing of all raw materials (e.g., metals, plastics, electronic components, packaging) used in the product.</w:t>
      </w:r>
    </w:p>
    <w:p>
      <w:pPr>
        <w:numPr>
          <w:ilvl w:val="0"/>
          <w:numId w:val="1002"/>
        </w:numPr>
        <w:pStyle w:val="Compact"/>
      </w:pPr>
      <w:r>
        <w:rPr>
          <w:bCs/>
          <w:b/>
        </w:rPr>
        <w:t xml:space="preserve">Manufacturing/Production:</w:t>
      </w:r>
      <w:r>
        <w:t xml:space="preserve"> </w:t>
      </w:r>
      <w:r>
        <w:t xml:space="preserve">All processes occurring at the qsioufujpj manufacturing facility in China, including assembly, shaping, finishing, and packaging. This stage accounts for energy consumption and direct emissions.</w:t>
      </w:r>
    </w:p>
    <w:p>
      <w:pPr>
        <w:numPr>
          <w:ilvl w:val="0"/>
          <w:numId w:val="1002"/>
        </w:numPr>
        <w:pStyle w:val="Compact"/>
      </w:pPr>
      <w:r>
        <w:rPr>
          <w:bCs/>
          <w:b/>
        </w:rPr>
        <w:t xml:space="preserve">Transportation (Upstream):</w:t>
      </w:r>
      <w:r>
        <w:t xml:space="preserve"> </w:t>
      </w:r>
      <w:r>
        <w:t xml:space="preserve">Logistics associated with bringing raw materials and components from European suppliers to the manufacturing facility in China.</w:t>
      </w:r>
    </w:p>
    <w:p>
      <w:pPr>
        <w:numPr>
          <w:ilvl w:val="0"/>
          <w:numId w:val="1002"/>
        </w:numPr>
        <w:pStyle w:val="Compact"/>
      </w:pPr>
      <w:r>
        <w:rPr>
          <w:bCs/>
          <w:b/>
        </w:rPr>
        <w:t xml:space="preserve">Transportation (Downstream):</w:t>
      </w:r>
      <w:r>
        <w:t xml:space="preserve"> </w:t>
      </w:r>
      <w:r>
        <w:t xml:space="preserve">Logistics for distributing the finished product from the factory in China to the consumer in Europe, including last-mile delivery.</w:t>
      </w:r>
    </w:p>
    <w:p>
      <w:pPr>
        <w:numPr>
          <w:ilvl w:val="0"/>
          <w:numId w:val="1002"/>
        </w:numPr>
        <w:pStyle w:val="Compact"/>
      </w:pPr>
      <w:r>
        <w:rPr>
          <w:bCs/>
          <w:b/>
        </w:rPr>
        <w:t xml:space="preserve">Use Phase:</w:t>
      </w:r>
      <w:r>
        <w:t xml:space="preserve"> </w:t>
      </w:r>
      <w:r>
        <w:t xml:space="preserve">Energy consumption and other impacts during the typical lifespan of the product by the end-user.</w:t>
      </w:r>
    </w:p>
    <w:p>
      <w:pPr>
        <w:numPr>
          <w:ilvl w:val="0"/>
          <w:numId w:val="1002"/>
        </w:numPr>
        <w:pStyle w:val="Compact"/>
      </w:pPr>
      <w:r>
        <w:rPr>
          <w:bCs/>
          <w:b/>
        </w:rPr>
        <w:t xml:space="preserve">End-of-Life (EoL):</w:t>
      </w:r>
      <w:r>
        <w:t xml:space="preserve"> </w:t>
      </w:r>
      <w:r>
        <w:t xml:space="preserve">Collection, recycling, disposal, and treatment of the product at the end of its useful life.</w:t>
      </w:r>
    </w:p>
    <w:bookmarkStart w:id="28" w:name="detailed-bill-of-materials-bom-breakdown"/>
    <w:p>
      <w:pPr>
        <w:pStyle w:val="Heading3"/>
      </w:pPr>
      <w:r>
        <w:t xml:space="preserve">Detailed Bill of Materials (BOM) Breakdown</w:t>
      </w:r>
    </w:p>
    <w:p>
      <w:pPr>
        <w:pStyle w:val="FirstParagraph"/>
      </w:pPr>
      <w:r>
        <w:t xml:space="preserve">The following table details the materials and components used in the product xotrwpdejp, as provided in the Detailed Bill of Materials (</w:t>
      </w:r>
      <w:r>
        <w:rPr>
          <w:bCs/>
          <w:b/>
        </w:rPr>
        <w:t xml:space="preserve">zeiqlynw</w:t>
      </w:r>
      <w:r>
        <w:t xml:space="preserve">). These specific values are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w:t>
            </w:r>
          </w:p>
        </w:tc>
      </w:tr>
      <w:tr>
        <w:tc>
          <w:tcPr/>
          <w:p>
            <w:pPr>
              <w:pStyle w:val="Compact"/>
              <w:jc w:val="left"/>
            </w:pPr>
            <w:r>
              <w:t xml:space="preserve">2</w:t>
            </w:r>
          </w:p>
        </w:tc>
        <w:tc>
          <w:tcPr/>
          <w:p>
            <w:pPr>
              <w:pStyle w:val="Compact"/>
              <w:jc w:val="left"/>
            </w:pPr>
            <w:r>
              <w:t xml:space="preserve">Lithium-ion Battery</w:t>
            </w:r>
          </w:p>
        </w:tc>
        <w:tc>
          <w:tcPr/>
          <w:p>
            <w:pPr>
              <w:pStyle w:val="Compact"/>
              <w:jc w:val="left"/>
            </w:pPr>
            <w:r>
              <w:t xml:space="preserve">Electronic</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0.07</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w:t>
            </w:r>
          </w:p>
        </w:tc>
        <w:tc>
          <w:tcPr/>
          <w:p>
            <w:pPr>
              <w:pStyle w:val="Compact"/>
              <w:jc w:val="left"/>
            </w:pPr>
            <w:r>
              <w:t xml:space="preserve">PCB Manufacturing</w:t>
            </w:r>
          </w:p>
        </w:tc>
        <w:tc>
          <w:tcPr/>
          <w:p>
            <w:pPr>
              <w:pStyle w:val="Compact"/>
              <w:jc w:val="left"/>
            </w:pPr>
            <w:r>
              <w:t xml:space="preserve">0.01</w:t>
            </w:r>
          </w:p>
        </w:tc>
        <w:tc>
          <w:tcPr/>
          <w:p>
            <w:pPr>
              <w:pStyle w:val="Compact"/>
              <w:jc w:val="left"/>
            </w:pPr>
            <w:r>
              <w:t xml:space="preserve">unit</w:t>
            </w:r>
          </w:p>
        </w:tc>
        <w:tc>
          <w:tcPr/>
          <w:p>
            <w:pPr>
              <w:pStyle w:val="Compact"/>
              <w:jc w:val="left"/>
            </w:pPr>
            <w:r>
              <w:t xml:space="preserve">6.0</w:t>
            </w:r>
          </w:p>
        </w:tc>
        <w:tc>
          <w:tcPr/>
          <w:p>
            <w:pPr>
              <w:pStyle w:val="Compact"/>
              <w:jc w:val="left"/>
            </w:pPr>
            <w:r>
              <w:t xml:space="preserve">0.06</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Paper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w:t>
            </w:r>
          </w:p>
        </w:tc>
      </w:tr>
      <w:tr>
        <w:tc>
          <w:tcPr/>
          <w:p>
            <w:pPr>
              <w:pStyle w:val="Compact"/>
              <w:jc w:val="left"/>
            </w:pPr>
            <w:r>
              <w:t xml:space="preserve">6</w:t>
            </w:r>
          </w:p>
        </w:tc>
        <w:tc>
          <w:tcPr/>
          <w:p>
            <w:pPr>
              <w:pStyle w:val="Compact"/>
              <w:jc w:val="left"/>
            </w:pPr>
            <w:r>
              <w:t xml:space="preserve">Screws (Steel)</w:t>
            </w:r>
          </w:p>
        </w:tc>
        <w:tc>
          <w:tcPr/>
          <w:p>
            <w:pPr>
              <w:pStyle w:val="Compact"/>
              <w:jc w:val="left"/>
            </w:pPr>
            <w:r>
              <w:t xml:space="preserve">Metal</w:t>
            </w:r>
          </w:p>
        </w:tc>
        <w:tc>
          <w:tcPr/>
          <w:p>
            <w:pPr>
              <w:pStyle w:val="Compact"/>
              <w:jc w:val="left"/>
            </w:pPr>
            <w:r>
              <w:t xml:space="preserve">Metal Forming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2.2</w:t>
            </w:r>
          </w:p>
        </w:tc>
        <w:tc>
          <w:tcPr/>
          <w:p>
            <w:pPr>
              <w:pStyle w:val="Compact"/>
              <w:jc w:val="left"/>
            </w:pPr>
            <w:r>
              <w:t xml:space="preserve">0.022</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1.622</w:t>
            </w:r>
          </w:p>
        </w:tc>
      </w:tr>
    </w:tbl>
    <w:bookmarkEnd w:id="28"/>
    <w:bookmarkEnd w:id="29"/>
    <w:p>
      <w:r>
        <w:pict>
          <v:rect style="width:0;height:1.5pt" o:hralign="center" o:hrstd="t" o:hr="t"/>
        </w:pict>
      </w:r>
    </w:p>
    <w:bookmarkStart w:id="36" w:name="collect-data"/>
    <w:p>
      <w:pPr>
        <w:pStyle w:val="Heading2"/>
      </w:pPr>
      <w:r>
        <w:t xml:space="preserve">3. Collect Data</w:t>
      </w:r>
    </w:p>
    <w:p>
      <w:pPr>
        <w:pStyle w:val="FirstParagraph"/>
      </w:pPr>
      <w:r>
        <w:t xml:space="preserve">Both primary and secondary data have been collected and utilized for this analysis. Primary data, where available, provides company-specific insights, while secondary data from robust databases fills gaps and provides industry-standard emission factors.</w:t>
      </w:r>
    </w:p>
    <w:bookmarkStart w:id="30" w:name="material-inputs"/>
    <w:p>
      <w:pPr>
        <w:pStyle w:val="Heading3"/>
      </w:pPr>
      <w:r>
        <w:t xml:space="preserve">3.1 Material Inputs</w:t>
      </w:r>
    </w:p>
    <w:p>
      <w:pPr>
        <w:pStyle w:val="FirstParagraph"/>
      </w:pPr>
      <w:r>
        <w:t xml:space="preserve">Material data has been directly incorporated from the provided Detailed Bill of Materials (</w:t>
      </w:r>
      <w:r>
        <w:rPr>
          <w:bCs/>
          <w:b/>
        </w:rPr>
        <w:t xml:space="preserve">zeiqlynw</w:t>
      </w:r>
      <w:r>
        <w:t xml:space="preserve">). The specified quantities, units, and total carbon values are used for each component. The total material carbon footprint derived from the BOM is</w:t>
      </w:r>
      <w:r>
        <w:t xml:space="preserve"> </w:t>
      </w:r>
      <w:r>
        <w:rPr>
          <w:bCs/>
          <w:b/>
        </w:rPr>
        <w:t xml:space="preserve">1.622 kg CO2e</w:t>
      </w:r>
      <w:r>
        <w:t xml:space="preserve"> </w:t>
      </w:r>
      <w:r>
        <w:t xml:space="preserve">per unit of xotrwpdejp.</w:t>
      </w:r>
    </w:p>
    <w:bookmarkEnd w:id="30"/>
    <w:bookmarkStart w:id="31" w:name="energy-inputs-production-phase"/>
    <w:p>
      <w:pPr>
        <w:pStyle w:val="Heading3"/>
      </w:pPr>
      <w:r>
        <w:t xml:space="preserve">3.2 Energy Inputs (Production Phase)</w:t>
      </w:r>
    </w:p>
    <w:p>
      <w:pPr>
        <w:numPr>
          <w:ilvl w:val="0"/>
          <w:numId w:val="1003"/>
        </w:numPr>
        <w:pStyle w:val="Compact"/>
      </w:pPr>
      <w:r>
        <w:rPr>
          <w:bCs/>
          <w:b/>
        </w:rPr>
        <w:t xml:space="preserve">Total Energy Intensity (kWh/unit):</w:t>
      </w:r>
      <w:r>
        <w:t xml:space="preserve"> </w:t>
      </w:r>
      <w:r>
        <w:t xml:space="preserve">zgqosgpken (Assumed: 5 kWh/unit)</w:t>
      </w:r>
    </w:p>
    <w:p>
      <w:pPr>
        <w:numPr>
          <w:ilvl w:val="0"/>
          <w:numId w:val="1003"/>
        </w:numPr>
        <w:pStyle w:val="Compact"/>
      </w:pPr>
      <w:r>
        <w:rPr>
          <w:bCs/>
          <w:b/>
        </w:rPr>
        <w:t xml:space="preserve">Renewable Energy Usage:</w:t>
      </w:r>
      <w:r>
        <w:t xml:space="preserve"> </w:t>
      </w:r>
      <w:r>
        <w:t xml:space="preserve">rftyytkqmt (Assumed: 60%)</w:t>
      </w:r>
    </w:p>
    <w:p>
      <w:pPr>
        <w:numPr>
          <w:ilvl w:val="0"/>
          <w:numId w:val="1003"/>
        </w:numPr>
        <w:pStyle w:val="Compact"/>
      </w:pPr>
      <w:r>
        <w:t xml:space="preserve">The manufacturing process at qsioufujpj consumes 5 kWh of electricity per unit of xotrwpdejp. Of this, 60% is sourced from renewable energy, and 40% (2 kWh/unit) from the grid.</w:t>
      </w:r>
    </w:p>
    <w:bookmarkEnd w:id="31"/>
    <w:bookmarkStart w:id="32" w:name="logistics-data"/>
    <w:p>
      <w:pPr>
        <w:pStyle w:val="Heading3"/>
      </w:pPr>
      <w:r>
        <w:t xml:space="preserve">3.3 Logistics Data</w:t>
      </w:r>
    </w:p>
    <w:p>
      <w:pPr>
        <w:numPr>
          <w:ilvl w:val="0"/>
          <w:numId w:val="1004"/>
        </w:numPr>
        <w:pStyle w:val="Compact"/>
      </w:pPr>
      <w:r>
        <w:rPr>
          <w:bCs/>
          <w:b/>
        </w:rPr>
        <w:t xml:space="preserve">Primary Transport Mode:</w:t>
      </w:r>
      <w:r>
        <w:t xml:space="preserve"> </w:t>
      </w:r>
      <w:r>
        <w:t xml:space="preserve">Select Mode (Assumed: Ocean Freight for long-haul international transport, Road Freight for regional, Parcel Delivery Van for last-mile).</w:t>
      </w:r>
    </w:p>
    <w:p>
      <w:pPr>
        <w:numPr>
          <w:ilvl w:val="0"/>
          <w:numId w:val="1004"/>
        </w:numPr>
        <w:pStyle w:val="Compact"/>
      </w:pPr>
      <w:r>
        <w:rPr>
          <w:bCs/>
          <w:b/>
        </w:rPr>
        <w:t xml:space="preserve">Transport Distance:</w:t>
      </w:r>
      <w:r>
        <w:t xml:space="preserve"> </w:t>
      </w:r>
      <w:r>
        <w:t xml:space="preserve">oodumyrvkh (Assumed: Upstream - 10,000 km Ocean Freight for European components to China factory; Downstream - 10,000 km Ocean Freight, 500 km Road Freight, 100 km Parcel Delivery for China factory to European customer).</w:t>
      </w:r>
    </w:p>
    <w:p>
      <w:pPr>
        <w:numPr>
          <w:ilvl w:val="0"/>
          <w:numId w:val="1004"/>
        </w:numPr>
        <w:pStyle w:val="Compact"/>
      </w:pPr>
      <w:r>
        <w:rPr>
          <w:bCs/>
          <w:b/>
        </w:rPr>
        <w:t xml:space="preserve">Last-Mile Delivery Channel:</w:t>
      </w:r>
      <w:r>
        <w:t xml:space="preserve"> </w:t>
      </w:r>
      <w:r>
        <w:t xml:space="preserve">Delivery Type (Assumed: Parcel Delivery Van).</w:t>
      </w:r>
    </w:p>
    <w:p>
      <w:pPr>
        <w:numPr>
          <w:ilvl w:val="0"/>
          <w:numId w:val="1004"/>
        </w:numPr>
        <w:pStyle w:val="Compact"/>
      </w:pPr>
      <w:r>
        <w:t xml:space="preserve">Total material weight for upstream transport estimation: ~0.3 kg/unit.</w:t>
      </w:r>
    </w:p>
    <w:p>
      <w:pPr>
        <w:numPr>
          <w:ilvl w:val="0"/>
          <w:numId w:val="1004"/>
        </w:numPr>
        <w:pStyle w:val="Compact"/>
      </w:pPr>
      <w:r>
        <w:t xml:space="preserve">Finished product weight for downstream transport estimation: ~0.5 kg/unit (including packaging).</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knqqtevfhp (Assumed: 3 years)</w:t>
      </w:r>
    </w:p>
    <w:p>
      <w:pPr>
        <w:numPr>
          <w:ilvl w:val="0"/>
          <w:numId w:val="1005"/>
        </w:numPr>
        <w:pStyle w:val="Compact"/>
      </w:pPr>
      <w:r>
        <w:rPr>
          <w:bCs/>
          <w:b/>
        </w:rPr>
        <w:t xml:space="preserve">Energy Consumption in Use:</w:t>
      </w:r>
      <w:r>
        <w:t xml:space="preserve"> </w:t>
      </w:r>
      <w:r>
        <w:t xml:space="preserve">xldpvlvkki (Assumed: 10 kWh/year)</w:t>
      </w:r>
    </w:p>
    <w:p>
      <w:pPr>
        <w:numPr>
          <w:ilvl w:val="0"/>
          <w:numId w:val="1005"/>
        </w:numPr>
        <w:pStyle w:val="Compact"/>
      </w:pPr>
      <w:r>
        <w:t xml:space="preserve">Total energy consumption over the lifespan: 30 kWh.</w:t>
      </w:r>
    </w:p>
    <w:bookmarkEnd w:id="33"/>
    <w:bookmarkStart w:id="34" w:name="end-of-life-eol-data"/>
    <w:p>
      <w:pPr>
        <w:pStyle w:val="Heading3"/>
      </w:pPr>
      <w:r>
        <w:t xml:space="preserve">3.5 End-of-Life (EoL) Data</w:t>
      </w:r>
    </w:p>
    <w:p>
      <w:pPr>
        <w:numPr>
          <w:ilvl w:val="0"/>
          <w:numId w:val="1006"/>
        </w:numPr>
        <w:pStyle w:val="Compact"/>
      </w:pPr>
      <w:r>
        <w:rPr>
          <w:bCs/>
          <w:b/>
        </w:rPr>
        <w:t xml:space="preserve">Recyclability Percentage:</w:t>
      </w:r>
      <w:r>
        <w:t xml:space="preserve"> </w:t>
      </w:r>
      <w:r>
        <w:t xml:space="preserve">iviysynyeu (Assumed: 80%)</w:t>
      </w:r>
    </w:p>
    <w:p>
      <w:pPr>
        <w:numPr>
          <w:ilvl w:val="0"/>
          <w:numId w:val="1006"/>
        </w:numPr>
        <w:pStyle w:val="Compact"/>
      </w:pPr>
      <w:r>
        <w:rPr>
          <w:bCs/>
          <w:b/>
        </w:rPr>
        <w:t xml:space="preserve">Circular/Take-back Programs:</w:t>
      </w:r>
      <w:r>
        <w:t xml:space="preserve"> </w:t>
      </w:r>
      <w:r>
        <w:t xml:space="preserve">fdeogytzvw (Confirmed: Active program by qsioufujpj)</w:t>
      </w:r>
    </w:p>
    <w:p>
      <w:pPr>
        <w:numPr>
          <w:ilvl w:val="0"/>
          <w:numId w:val="1006"/>
        </w:numPr>
        <w:pStyle w:val="Compact"/>
      </w:pPr>
      <w:r>
        <w:t xml:space="preserve">Assumed EoL scenario: 80% of the product\'s mass is recycled, and 20% is disposed of (e.g., landfill/incineration).</w:t>
      </w:r>
    </w:p>
    <w:bookmarkEnd w:id="34"/>
    <w:bookmarkStart w:id="35" w:name="emission-factors"/>
    <w:p>
      <w:pPr>
        <w:pStyle w:val="Heading3"/>
      </w:pPr>
      <w:r>
        <w:t xml:space="preserve">3.6 Emission Factors</w:t>
      </w:r>
    </w:p>
    <w:p>
      <w:pPr>
        <w:pStyle w:val="FirstParagraph"/>
      </w:pPr>
      <w:r>
        <w:t xml:space="preserve">Industry-standard emission factors have been applied for various activities. These factors are sourced from recognized databases such as Ecoinvent and DEFRA, adapted for the specific geographic context (China for manufacturing electricity, global/European for other factors). Representative factors used include:</w:t>
      </w:r>
    </w:p>
    <w:p>
      <w:pPr>
        <w:numPr>
          <w:ilvl w:val="0"/>
          <w:numId w:val="1007"/>
        </w:numPr>
        <w:pStyle w:val="Compact"/>
      </w:pPr>
      <w:r>
        <w:t xml:space="preserve">Electricity (China Grid): ~0.58 kg CO2e/kWh</w:t>
      </w:r>
    </w:p>
    <w:p>
      <w:pPr>
        <w:numPr>
          <w:ilvl w:val="0"/>
          <w:numId w:val="1007"/>
        </w:numPr>
        <w:pStyle w:val="Compact"/>
      </w:pPr>
      <w:r>
        <w:t xml:space="preserve">Electricity (Average European Grid, for Use Phase): ~0.25 kg CO2e/kWh</w:t>
      </w:r>
    </w:p>
    <w:p>
      <w:pPr>
        <w:numPr>
          <w:ilvl w:val="0"/>
          <w:numId w:val="1007"/>
        </w:numPr>
        <w:pStyle w:val="Compact"/>
      </w:pPr>
      <w:r>
        <w:t xml:space="preserve">Ocean Freight (Container ship average): ~0.016 kg CO2e/tonne-km</w:t>
      </w:r>
    </w:p>
    <w:p>
      <w:pPr>
        <w:numPr>
          <w:ilvl w:val="0"/>
          <w:numId w:val="1007"/>
        </w:numPr>
        <w:pStyle w:val="Compact"/>
      </w:pPr>
      <w:r>
        <w:t xml:space="preserve">Road Freight (HGV average): ~0.08 kg CO2e/tonne-km</w:t>
      </w:r>
    </w:p>
    <w:p>
      <w:pPr>
        <w:numPr>
          <w:ilvl w:val="0"/>
          <w:numId w:val="1007"/>
        </w:numPr>
        <w:pStyle w:val="Compact"/>
      </w:pPr>
      <w:r>
        <w:t xml:space="preserve">Parcel Delivery Van (last-mile): ~0.3 kg CO2e/tonne-km (estimated for higher intensity)</w:t>
      </w:r>
    </w:p>
    <w:p>
      <w:pPr>
        <w:numPr>
          <w:ilvl w:val="0"/>
          <w:numId w:val="1007"/>
        </w:numPr>
        <w:pStyle w:val="Compact"/>
      </w:pPr>
      <w:r>
        <w:t xml:space="preserve">Waste disposal (landfill, average): ~0.1 kg CO2e/kg disposed</w:t>
      </w:r>
    </w:p>
    <w:p>
      <w:pPr>
        <w:numPr>
          <w:ilvl w:val="0"/>
          <w:numId w:val="1007"/>
        </w:numPr>
        <w:pStyle w:val="Compact"/>
      </w:pPr>
      <w:r>
        <w:t xml:space="preserve">Recycling process (average for mixed materials): ~0.05 kg CO2e/kg recycled (process energy, not avoided virgin emissions)</w:t>
      </w:r>
    </w:p>
    <w:p>
      <w:pPr>
        <w:numPr>
          <w:ilvl w:val="0"/>
          <w:numId w:val="1007"/>
        </w:numPr>
        <w:pStyle w:val="Compact"/>
      </w:pPr>
      <w:r>
        <w:t xml:space="preserve">Material-specific factors as provided in the BOM.</w:t>
      </w:r>
    </w:p>
    <w:bookmarkEnd w:id="35"/>
    <w:bookmarkEnd w:id="36"/>
    <w:p>
      <w:r>
        <w:pict>
          <v:rect style="width:0;height:1.5pt" o:hralign="center" o:hrstd="t" o:hr="t"/>
        </w:pict>
      </w:r>
    </w:p>
    <w:bookmarkStart w:id="46" w:name="calculate-emissions"/>
    <w:p>
      <w:pPr>
        <w:pStyle w:val="Heading2"/>
      </w:pPr>
      <w:r>
        <w:t xml:space="preserve">4. Calculate Emissions</w:t>
      </w:r>
    </w:p>
    <w:p>
      <w:pPr>
        <w:pStyle w:val="FirstParagraph"/>
      </w:pPr>
      <w:r>
        <w:t xml:space="preserve">Emissions are calculated for each lifecycle stage using the formula:</w:t>
      </w:r>
      <w:r>
        <w:t xml:space="preserve"> </w:t>
      </w:r>
      <w:r>
        <w:rPr>
          <w:iCs/>
          <w:i/>
        </w:rPr>
        <w:t xml:space="preserve">Activity Data × Emission Factor = CO2e Emissions</w:t>
      </w:r>
      <w:r>
        <w:t xml:space="preserve">. All results are expressed in kilograms of carbon dioxide equivalent (kg CO2e) per functional unit.</w:t>
      </w:r>
    </w:p>
    <w:bookmarkStart w:id="42" w:name="emissions-by-lifecycle-stage"/>
    <w:p>
      <w:pPr>
        <w:pStyle w:val="Heading3"/>
      </w:pPr>
      <w:r>
        <w:t xml:space="preserve">4.1 Emissions by Lifecycle Stage</w:t>
      </w:r>
    </w:p>
    <w:bookmarkStart w:id="37" w:name="X1ad9a0c33edfd883cba8e7eb5d0853356860b8a"/>
    <w:p>
      <w:pPr>
        <w:pStyle w:val="Heading4"/>
      </w:pPr>
      <w:r>
        <w:t xml:space="preserve">Material Acquisition &amp; Pre-processing (Scope 3, Category 1)</w:t>
      </w:r>
    </w:p>
    <w:p>
      <w:pPr>
        <w:pStyle w:val="FirstParagraph"/>
      </w:pPr>
      <w:r>
        <w:t xml:space="preserve">Based on the provided Detailed BOM (zeiqlynw), the total emissions from raw material extraction, processing, and component manufacturing are</w:t>
      </w:r>
      <w:r>
        <w:t xml:space="preserve"> </w:t>
      </w:r>
      <w:r>
        <w:rPr>
          <w:bCs/>
          <w:b/>
        </w:rPr>
        <w:t xml:space="preserve">1.622 kg CO2e</w:t>
      </w:r>
      <w:r>
        <w:t xml:space="preserve">.</w:t>
      </w:r>
    </w:p>
    <w:bookmarkEnd w:id="37"/>
    <w:bookmarkStart w:id="38" w:name="manufacturing-production-phase"/>
    <w:p>
      <w:pPr>
        <w:pStyle w:val="Heading4"/>
      </w:pPr>
      <w:r>
        <w:t xml:space="preserve">Manufacturing (Production Phase)</w:t>
      </w:r>
    </w:p>
    <w:p>
      <w:pPr>
        <w:numPr>
          <w:ilvl w:val="0"/>
          <w:numId w:val="1008"/>
        </w:numPr>
        <w:pStyle w:val="Compact"/>
      </w:pPr>
      <w:r>
        <w:rPr>
          <w:bCs/>
          <w:b/>
        </w:rPr>
        <w:t xml:space="preserve">Scope 1 (Direct Emissions):</w:t>
      </w:r>
      <w:r>
        <w:t xml:space="preserve"> </w:t>
      </w:r>
      <w:r>
        <w:t xml:space="preserve">No direct fuel combustion emissions are specified for manufacturing in the provided parameters. Therefore, Scope 1 emissions for this phase are considered negligible or not applicable for the product\'s manufacturing process.</w:t>
      </w:r>
    </w:p>
    <w:p>
      <w:pPr>
        <w:numPr>
          <w:ilvl w:val="0"/>
          <w:numId w:val="1008"/>
        </w:numPr>
        <w:pStyle w:val="Compact"/>
      </w:pPr>
      <w:r>
        <w:rPr>
          <w:bCs/>
          <w:b/>
        </w:rPr>
        <w:t xml:space="preserve">Scope 2 (Purchased Energy):</w:t>
      </w:r>
    </w:p>
    <w:p>
      <w:pPr>
        <w:numPr>
          <w:ilvl w:val="1"/>
          <w:numId w:val="1009"/>
        </w:numPr>
        <w:pStyle w:val="Compact"/>
      </w:pPr>
      <w:r>
        <w:t xml:space="preserve">Total Energy Intensity: 5 kWh/unit</w:t>
      </w:r>
    </w:p>
    <w:p>
      <w:pPr>
        <w:numPr>
          <w:ilvl w:val="1"/>
          <w:numId w:val="1009"/>
        </w:numPr>
        <w:pStyle w:val="Compact"/>
      </w:pPr>
      <w:r>
        <w:t xml:space="preserve">Renewable Energy Usage: 60%</w:t>
      </w:r>
    </w:p>
    <w:p>
      <w:pPr>
        <w:numPr>
          <w:ilvl w:val="1"/>
          <w:numId w:val="1009"/>
        </w:numPr>
        <w:pStyle w:val="Compact"/>
      </w:pPr>
      <w:r>
        <w:t xml:space="preserve">Non-renewable grid electricity: 5 kWh/unit × (1 - 0.60) = 2 kWh/unit</w:t>
      </w:r>
    </w:p>
    <w:p>
      <w:pPr>
        <w:numPr>
          <w:ilvl w:val="1"/>
          <w:numId w:val="1009"/>
        </w:numPr>
        <w:pStyle w:val="Compact"/>
      </w:pPr>
      <w:r>
        <w:t xml:space="preserve">Emission Factor (China Grid Electricity): 0.58 kg CO2e/kWh</w:t>
      </w:r>
    </w:p>
    <w:p>
      <w:pPr>
        <w:numPr>
          <w:ilvl w:val="1"/>
          <w:numId w:val="1009"/>
        </w:numPr>
        <w:pStyle w:val="Compact"/>
      </w:pPr>
      <w:r>
        <w:t xml:space="preserve">Calculated Scope 2 Emissions: 2 kWh/unit × 0.58 kg CO2e/kWh =</w:t>
      </w:r>
      <w:r>
        <w:t xml:space="preserve"> </w:t>
      </w:r>
      <w:r>
        <w:rPr>
          <w:bCs/>
          <w:b/>
        </w:rPr>
        <w:t xml:space="preserve">1.160 kg CO2e</w:t>
      </w:r>
    </w:p>
    <w:bookmarkEnd w:id="38"/>
    <w:bookmarkStart w:id="39" w:name="transportation"/>
    <w:p>
      <w:pPr>
        <w:pStyle w:val="Heading4"/>
      </w:pPr>
      <w:r>
        <w:t xml:space="preserve">Transportation</w:t>
      </w:r>
    </w:p>
    <w:p>
      <w:pPr>
        <w:numPr>
          <w:ilvl w:val="0"/>
          <w:numId w:val="1010"/>
        </w:numPr>
        <w:pStyle w:val="Compact"/>
      </w:pPr>
      <w:r>
        <w:rPr>
          <w:bCs/>
          <w:b/>
        </w:rPr>
        <w:t xml:space="preserve">Upstream Transportation (Scope 3, Category 4):</w:t>
      </w:r>
    </w:p>
    <w:p>
      <w:pPr>
        <w:numPr>
          <w:ilvl w:val="1"/>
          <w:numId w:val="1011"/>
        </w:numPr>
        <w:pStyle w:val="Compact"/>
      </w:pPr>
      <w:r>
        <w:t xml:space="preserve">Average material weight: 0.3 kg/unit</w:t>
      </w:r>
    </w:p>
    <w:p>
      <w:pPr>
        <w:numPr>
          <w:ilvl w:val="1"/>
          <w:numId w:val="1011"/>
        </w:numPr>
        <w:pStyle w:val="Compact"/>
      </w:pPr>
      <w:r>
        <w:t xml:space="preserve">Distance (Europe to China): 10,000 km (Ocean Freight)</w:t>
      </w:r>
    </w:p>
    <w:p>
      <w:pPr>
        <w:numPr>
          <w:ilvl w:val="1"/>
          <w:numId w:val="1011"/>
        </w:numPr>
        <w:pStyle w:val="Compact"/>
      </w:pPr>
      <w:r>
        <w:t xml:space="preserve">Emission Factor (Ocean Freight): 0.016 kg CO2e/tonne-km</w:t>
      </w:r>
    </w:p>
    <w:p>
      <w:pPr>
        <w:numPr>
          <w:ilvl w:val="1"/>
          <w:numId w:val="1011"/>
        </w:numPr>
        <w:pStyle w:val="Compact"/>
      </w:pPr>
      <w:r>
        <w:t xml:space="preserve">Calculated Emissions: 0.3 kg × (1/1000 tonne/kg) × 10,000 km × 0.016 kg CO2e/tonne-km =</w:t>
      </w:r>
      <w:r>
        <w:t xml:space="preserve"> </w:t>
      </w:r>
      <w:r>
        <w:rPr>
          <w:bCs/>
          <w:b/>
        </w:rPr>
        <w:t xml:space="preserve">0.048 kg CO2e</w:t>
      </w:r>
    </w:p>
    <w:p>
      <w:pPr>
        <w:numPr>
          <w:ilvl w:val="0"/>
          <w:numId w:val="1010"/>
        </w:numPr>
        <w:pStyle w:val="Compact"/>
      </w:pPr>
      <w:r>
        <w:rPr>
          <w:bCs/>
          <w:b/>
        </w:rPr>
        <w:t xml:space="preserve">Downstream Transportation (Scope 3, Category 9):</w:t>
      </w:r>
    </w:p>
    <w:p>
      <w:pPr>
        <w:numPr>
          <w:ilvl w:val="1"/>
          <w:numId w:val="1012"/>
        </w:numPr>
        <w:pStyle w:val="Compact"/>
      </w:pPr>
      <w:r>
        <w:t xml:space="preserve">Finished product weight: 0.5 kg/unit</w:t>
      </w:r>
    </w:p>
    <w:p>
      <w:pPr>
        <w:numPr>
          <w:ilvl w:val="1"/>
          <w:numId w:val="1012"/>
        </w:numPr>
        <w:pStyle w:val="Compact"/>
      </w:pPr>
      <w:r>
        <w:t xml:space="preserve">Ocean Freight (China to Europe): 10,000 km</w:t>
      </w:r>
    </w:p>
    <w:p>
      <w:pPr>
        <w:numPr>
          <w:ilvl w:val="1"/>
          <w:numId w:val="1012"/>
        </w:numPr>
        <w:pStyle w:val="Compact"/>
      </w:pPr>
      <w:r>
        <w:t xml:space="preserve">Road Freight (HGV, regional): 500 km</w:t>
      </w:r>
    </w:p>
    <w:p>
      <w:pPr>
        <w:numPr>
          <w:ilvl w:val="1"/>
          <w:numId w:val="1012"/>
        </w:numPr>
        <w:pStyle w:val="Compact"/>
      </w:pPr>
      <w:r>
        <w:t xml:space="preserve">Parcel Delivery Van (last-mile): 100 km</w:t>
      </w:r>
    </w:p>
    <w:p>
      <w:pPr>
        <w:numPr>
          <w:ilvl w:val="1"/>
          <w:numId w:val="1012"/>
        </w:numPr>
        <w:pStyle w:val="Compact"/>
      </w:pPr>
      <w:r>
        <w:t xml:space="preserve">Emissions (Ocean): 0.5 kg × (1/1000 tonne/kg) × 10,000 km × 0.016 kg CO2e/tonne-km = 0.080 kg CO2e</w:t>
      </w:r>
    </w:p>
    <w:p>
      <w:pPr>
        <w:numPr>
          <w:ilvl w:val="1"/>
          <w:numId w:val="1012"/>
        </w:numPr>
        <w:pStyle w:val="Compact"/>
      </w:pPr>
      <w:r>
        <w:t xml:space="preserve">Emissions (Road HGV): 0.5 kg × (1/1000 tonne/kg) × 500 km × 0.08 kg CO2e/tonne-km = 0.020 kg CO2e</w:t>
      </w:r>
    </w:p>
    <w:p>
      <w:pPr>
        <w:numPr>
          <w:ilvl w:val="1"/>
          <w:numId w:val="1012"/>
        </w:numPr>
        <w:pStyle w:val="Compact"/>
      </w:pPr>
      <w:r>
        <w:t xml:space="preserve">Emissions (Parcel Van): 0.5 kg × (1/1000 tonne/kg) × 100 km × 0.3 kg CO2e/tonne-km = 0.015 kg CO2e</w:t>
      </w:r>
    </w:p>
    <w:p>
      <w:pPr>
        <w:numPr>
          <w:ilvl w:val="1"/>
          <w:numId w:val="1012"/>
        </w:numPr>
        <w:pStyle w:val="Compact"/>
      </w:pPr>
      <w:r>
        <w:t xml:space="preserve">Total Downstream Transport Emissions: 0.080 + 0.020 + 0.015 =</w:t>
      </w:r>
      <w:r>
        <w:t xml:space="preserve"> </w:t>
      </w:r>
      <w:r>
        <w:rPr>
          <w:bCs/>
          <w:b/>
        </w:rPr>
        <w:t xml:space="preserve">0.115 kg CO2e</w:t>
      </w:r>
    </w:p>
    <w:bookmarkEnd w:id="39"/>
    <w:bookmarkStart w:id="40" w:name="use-phase-scope-3-category-11"/>
    <w:p>
      <w:pPr>
        <w:pStyle w:val="Heading4"/>
      </w:pPr>
      <w:r>
        <w:t xml:space="preserve">Use Phase (Scope 3, Category 11)</w:t>
      </w:r>
    </w:p>
    <w:p>
      <w:pPr>
        <w:pStyle w:val="FirstParagraph"/>
      </w:pPr>
      <w:r>
        <w:t xml:space="preserve">This category encompasses the expected lifetime emissions for all products sold, focusing on direct use-phase emissions from energy consumption.</w:t>
      </w:r>
    </w:p>
    <w:p>
      <w:pPr>
        <w:numPr>
          <w:ilvl w:val="0"/>
          <w:numId w:val="1013"/>
        </w:numPr>
        <w:pStyle w:val="Compact"/>
      </w:pPr>
      <w:r>
        <w:t xml:space="preserve">Product Lifespan: 3 years</w:t>
      </w:r>
    </w:p>
    <w:p>
      <w:pPr>
        <w:numPr>
          <w:ilvl w:val="0"/>
          <w:numId w:val="1013"/>
        </w:numPr>
        <w:pStyle w:val="Compact"/>
      </w:pPr>
      <w:r>
        <w:t xml:space="preserve">Energy Consumption in Use: 10 kWh/year</w:t>
      </w:r>
    </w:p>
    <w:p>
      <w:pPr>
        <w:numPr>
          <w:ilvl w:val="0"/>
          <w:numId w:val="1013"/>
        </w:numPr>
        <w:pStyle w:val="Compact"/>
      </w:pPr>
      <w:r>
        <w:t xml:space="preserve">Total energy over lifespan: 30 kWh</w:t>
      </w:r>
    </w:p>
    <w:p>
      <w:pPr>
        <w:numPr>
          <w:ilvl w:val="0"/>
          <w:numId w:val="1013"/>
        </w:numPr>
        <w:pStyle w:val="Compact"/>
      </w:pPr>
      <w:r>
        <w:t xml:space="preserve">Emission Factor (Average European Grid Electricity): 0.25 kg CO2e/kWh</w:t>
      </w:r>
    </w:p>
    <w:p>
      <w:pPr>
        <w:numPr>
          <w:ilvl w:val="0"/>
          <w:numId w:val="1013"/>
        </w:numPr>
        <w:pStyle w:val="Compact"/>
      </w:pPr>
      <w:r>
        <w:t xml:space="preserve">Calculated Emissions: 30 kWh × 0.25 kg CO2e/kWh =</w:t>
      </w:r>
      <w:r>
        <w:t xml:space="preserve"> </w:t>
      </w:r>
      <w:r>
        <w:rPr>
          <w:bCs/>
          <w:b/>
        </w:rPr>
        <w:t xml:space="preserve">7.500 kg CO2e</w:t>
      </w:r>
    </w:p>
    <w:bookmarkEnd w:id="40"/>
    <w:bookmarkStart w:id="41" w:name="end-of-life-eol-scope-3-category-12"/>
    <w:p>
      <w:pPr>
        <w:pStyle w:val="Heading4"/>
      </w:pPr>
      <w:r>
        <w:t xml:space="preserve">End-of-Life (EoL) (Scope 3, Category 12)</w:t>
      </w:r>
    </w:p>
    <w:p>
      <w:pPr>
        <w:pStyle w:val="FirstParagraph"/>
      </w:pPr>
      <w:r>
        <w:t xml:space="preserve">This category accounts for emissions from the disposal or recycling of the product at the end of its life.</w:t>
      </w:r>
    </w:p>
    <w:p>
      <w:pPr>
        <w:numPr>
          <w:ilvl w:val="0"/>
          <w:numId w:val="1014"/>
        </w:numPr>
        <w:pStyle w:val="Compact"/>
      </w:pPr>
      <w:r>
        <w:t xml:space="preserve">Product mass: 0.5 kg/unit</w:t>
      </w:r>
    </w:p>
    <w:p>
      <w:pPr>
        <w:numPr>
          <w:ilvl w:val="0"/>
          <w:numId w:val="1014"/>
        </w:numPr>
        <w:pStyle w:val="Compact"/>
      </w:pPr>
      <w:r>
        <w:t xml:space="preserve">Recyclability Percentage: 80%</w:t>
      </w:r>
    </w:p>
    <w:p>
      <w:pPr>
        <w:numPr>
          <w:ilvl w:val="0"/>
          <w:numId w:val="1014"/>
        </w:numPr>
        <w:pStyle w:val="Compact"/>
      </w:pPr>
      <w:r>
        <w:t xml:space="preserve">Disposal (20% of product mass): 0.1 kg/unit (0.5 kg × 0.20)</w:t>
      </w:r>
    </w:p>
    <w:p>
      <w:pPr>
        <w:numPr>
          <w:ilvl w:val="0"/>
          <w:numId w:val="1014"/>
        </w:numPr>
        <w:pStyle w:val="Compact"/>
      </w:pPr>
      <w:r>
        <w:t xml:space="preserve">Recycling (80% of product mass): 0.4 kg/unit (0.5 kg × 0.80)</w:t>
      </w:r>
    </w:p>
    <w:p>
      <w:pPr>
        <w:numPr>
          <w:ilvl w:val="0"/>
          <w:numId w:val="1014"/>
        </w:numPr>
        <w:pStyle w:val="Compact"/>
      </w:pPr>
      <w:r>
        <w:t xml:space="preserve">Emission Factor (Disposal/Landfill, average): 0.1 kg CO2e/kg disposed</w:t>
      </w:r>
    </w:p>
    <w:p>
      <w:pPr>
        <w:numPr>
          <w:ilvl w:val="0"/>
          <w:numId w:val="1014"/>
        </w:numPr>
        <w:pStyle w:val="Compact"/>
      </w:pPr>
      <w:r>
        <w:t xml:space="preserve">Emission Factor (Recycling Process, average): 0.05 kg CO2e/kg recycled (covering collection, sorting, and reprocessing energy)</w:t>
      </w:r>
    </w:p>
    <w:p>
      <w:pPr>
        <w:numPr>
          <w:ilvl w:val="0"/>
          <w:numId w:val="1014"/>
        </w:numPr>
        <w:pStyle w:val="Compact"/>
      </w:pPr>
      <w:r>
        <w:t xml:space="preserve">Calculated Emissions: (0.1 kg × 0.1 kg CO2e/kg) + (0.4 kg × 0.05 kg CO2e/kg) = 0.010 + 0.020 =</w:t>
      </w:r>
      <w:r>
        <w:t xml:space="preserve"> </w:t>
      </w:r>
      <w:r>
        <w:rPr>
          <w:bCs/>
          <w:b/>
        </w:rPr>
        <w:t xml:space="preserve">0.030 kg CO2e</w:t>
      </w:r>
    </w:p>
    <w:p>
      <w:pPr>
        <w:numPr>
          <w:ilvl w:val="0"/>
          <w:numId w:val="1014"/>
        </w:numPr>
        <w:pStyle w:val="Compact"/>
      </w:pPr>
      <w:r>
        <w:t xml:space="preserve">The active Circular/Take-back Programs (</w:t>
      </w:r>
      <w:r>
        <w:rPr>
          <w:bCs/>
          <w:b/>
        </w:rPr>
        <w:t xml:space="preserve">fdeogytzvw</w:t>
      </w:r>
      <w:r>
        <w:t xml:space="preserve">) implemented by qsioufujpj contribute to a higher recycling rate, which significantly reduces the need for virgin materials and their associated upstream emissions, though the recycling process itself incurs some emissions.</w:t>
      </w:r>
    </w:p>
    <w:bookmarkEnd w:id="41"/>
    <w:bookmarkEnd w:id="42"/>
    <w:bookmarkStart w:id="43" w:name="X3fd1b535e5fd8bc5ccf95dd30ea44f9ef84fafb"/>
    <w:p>
      <w:pPr>
        <w:pStyle w:val="Heading3"/>
      </w:pPr>
      <w:r>
        <w:t xml:space="preserve">4.2 Summary of Emissions by Scope (GHG Protocol)</w:t>
      </w:r>
    </w:p>
    <w:p>
      <w:pPr>
        <w:pStyle w:val="FirstParagraph"/>
      </w:pPr>
      <w:r>
        <w:t xml:space="preserve">The GHG Protocol categorizes emissions to provide a clear understanding of direct and indirect impacts.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1.160</w:t>
            </w:r>
          </w:p>
        </w:tc>
        <w:tc>
          <w:tcPr/>
          <w:p>
            <w:pPr>
              <w:pStyle w:val="Compact"/>
              <w:jc w:val="left"/>
            </w:pPr>
            <w:r>
              <w:t xml:space="preserve">11.1%</w:t>
            </w:r>
          </w:p>
        </w:tc>
      </w:tr>
      <w:tr>
        <w:tc>
          <w:tcPr>
            <w:vMerge w:val="restart"/>
          </w:tcPr>
          <w:p>
            <w:pPr>
              <w:pStyle w:val="Compact"/>
              <w:jc w:val="left"/>
            </w:pPr>
            <w:r>
              <w:t xml:space="preserve">Scope 3</w:t>
            </w:r>
          </w:p>
        </w:tc>
        <w:tc>
          <w:tcPr/>
          <w:p>
            <w:pPr>
              <w:pStyle w:val="Compact"/>
              <w:jc w:val="left"/>
            </w:pPr>
            <w:r>
              <w:t xml:space="preserve">Cat 1: Purchased Goods and Services (Materials)</w:t>
            </w:r>
          </w:p>
        </w:tc>
        <w:tc>
          <w:tcPr/>
          <w:p>
            <w:pPr>
              <w:pStyle w:val="Compact"/>
              <w:jc w:val="left"/>
            </w:pPr>
            <w:r>
              <w:t xml:space="preserve">1.622</w:t>
            </w:r>
          </w:p>
        </w:tc>
        <w:tc>
          <w:tcPr/>
          <w:p>
            <w:pPr>
              <w:pStyle w:val="Compact"/>
              <w:jc w:val="left"/>
            </w:pPr>
            <w:r>
              <w:t xml:space="preserve">15.5%</w:t>
            </w:r>
          </w:p>
        </w:tc>
      </w:tr>
      <w:tr>
        <w:tc>
          <w:tcPr>
            <w:gridSpan w:val="1"/>
            <w:vMerge w:val="continue"/>
          </w:tcPr>
          <w:p>
            <w:pPr/>
          </w:p>
        </w:tc>
        <w:tc>
          <w:tcPr/>
          <w:p>
            <w:pPr>
              <w:pStyle w:val="Compact"/>
              <w:jc w:val="left"/>
            </w:pPr>
            <w:r>
              <w:t xml:space="preserve">Cat 4: Upstream Transportation and Distribution</w:t>
            </w:r>
          </w:p>
        </w:tc>
        <w:tc>
          <w:tcPr/>
          <w:p>
            <w:pPr>
              <w:pStyle w:val="Compact"/>
              <w:jc w:val="left"/>
            </w:pPr>
            <w:r>
              <w:t xml:space="preserve">0.048</w:t>
            </w:r>
          </w:p>
        </w:tc>
        <w:tc>
          <w:tcPr/>
          <w:p>
            <w:pPr>
              <w:pStyle w:val="Compact"/>
              <w:jc w:val="left"/>
            </w:pPr>
            <w:r>
              <w:t xml:space="preserve">0.5%</w:t>
            </w:r>
          </w:p>
        </w:tc>
      </w:tr>
      <w:tr>
        <w:tc>
          <w:tcPr>
            <w:gridSpan w:val="1"/>
            <w:vMerge w:val="continue"/>
          </w:tcPr>
          <w:p>
            <w:pPr/>
          </w:p>
        </w:tc>
        <w:tc>
          <w:tcPr/>
          <w:p>
            <w:pPr>
              <w:pStyle w:val="Compact"/>
              <w:jc w:val="left"/>
            </w:pPr>
            <w:r>
              <w:t xml:space="preserve">Cat 9: Downstream Transportation and Distribution</w:t>
            </w:r>
          </w:p>
        </w:tc>
        <w:tc>
          <w:tcPr/>
          <w:p>
            <w:pPr>
              <w:pStyle w:val="Compact"/>
              <w:jc w:val="left"/>
            </w:pPr>
            <w:r>
              <w:t xml:space="preserve">0.115</w:t>
            </w:r>
          </w:p>
        </w:tc>
        <w:tc>
          <w:tcPr/>
          <w:p>
            <w:pPr>
              <w:pStyle w:val="Compact"/>
              <w:jc w:val="left"/>
            </w:pPr>
            <w:r>
              <w:t xml:space="preserve">1.1%</w:t>
            </w:r>
          </w:p>
        </w:tc>
      </w:tr>
      <w:tr>
        <w:tc>
          <w:tcPr>
            <w:gridSpan w:val="1"/>
            <w:vMerge w:val="continue"/>
          </w:tcPr>
          <w:p>
            <w:pPr/>
          </w:p>
        </w:tc>
        <w:tc>
          <w:tcPr/>
          <w:p>
            <w:pPr>
              <w:pStyle w:val="Compact"/>
              <w:jc w:val="left"/>
            </w:pPr>
            <w:r>
              <w:t xml:space="preserve">Cat 11: Use of Sold Products</w:t>
            </w:r>
          </w:p>
        </w:tc>
        <w:tc>
          <w:tcPr/>
          <w:p>
            <w:pPr>
              <w:pStyle w:val="Compact"/>
              <w:jc w:val="left"/>
            </w:pPr>
            <w:r>
              <w:t xml:space="preserve">7.500</w:t>
            </w:r>
          </w:p>
        </w:tc>
        <w:tc>
          <w:tcPr/>
          <w:p>
            <w:pPr>
              <w:pStyle w:val="Compact"/>
              <w:jc w:val="left"/>
            </w:pPr>
            <w:r>
              <w:t xml:space="preserve">71.6%</w:t>
            </w:r>
          </w:p>
        </w:tc>
      </w:tr>
      <w:tr>
        <w:tc>
          <w:tcPr>
            <w:gridSpan w:val="1"/>
            <w:vMerge w:val="continue"/>
          </w:tcPr>
          <w:p>
            <w:pPr/>
          </w:p>
        </w:tc>
        <w:tc>
          <w:tcPr/>
          <w:p>
            <w:pPr>
              <w:pStyle w:val="Compact"/>
              <w:jc w:val="left"/>
            </w:pPr>
            <w:r>
              <w:t xml:space="preserve">Cat 12: End-of-Life Treatment of Sold Products</w:t>
            </w:r>
          </w:p>
        </w:tc>
        <w:tc>
          <w:tcPr/>
          <w:p>
            <w:pPr>
              <w:pStyle w:val="Compact"/>
              <w:jc w:val="left"/>
            </w:pPr>
            <w:r>
              <w:t xml:space="preserve">0.030</w:t>
            </w:r>
          </w:p>
        </w:tc>
        <w:tc>
          <w:tcPr/>
          <w:p>
            <w:pPr>
              <w:pStyle w:val="Compact"/>
              <w:jc w:val="left"/>
            </w:pPr>
            <w:r>
              <w:t xml:space="preserve">0.3%</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10.475</w:t>
            </w:r>
          </w:p>
        </w:tc>
        <w:tc>
          <w:tcPr/>
          <w:p>
            <w:pPr>
              <w:pStyle w:val="Compact"/>
              <w:jc w:val="left"/>
            </w:pPr>
            <w:r>
              <w:rPr>
                <w:bCs/>
                <w:b/>
              </w:rPr>
              <w:t xml:space="preserve">100.0%</w:t>
            </w:r>
          </w:p>
        </w:tc>
      </w:tr>
    </w:tbl>
    <w:bookmarkEnd w:id="43"/>
    <w:bookmarkStart w:id="44" w:name="lsr-update-application"/>
    <w:p>
      <w:pPr>
        <w:pStyle w:val="Heading3"/>
      </w:pPr>
      <w:r>
        <w:t xml:space="preserve">4.3 2026 LSR Update Application</w:t>
      </w:r>
    </w:p>
    <w:p>
      <w:pPr>
        <w:pStyle w:val="FirstParagraph"/>
      </w:pPr>
      <w:r>
        <w:t xml:space="preserve">The Land Sector and Removals (LSR) Standard, released on January 30, 2026, and effective January 1, 2027, provides accounting requirements for land-related emissions and removals, including biogenic products. While specific primary data for land-use change and removals directly attributable to xotrwpdejp\'s components were not provided, the emission factors used for bio-based materials (e.g., packaging cardboard) implicitly consider land-use emissions and removals where applicable within the underlying life cycle inventory databases. For future detailed reporting, granular data on land management practices and certified carbon removals associated with material sourcing would allow for explicit quantification under the LSR Standard.</w:t>
      </w:r>
    </w:p>
    <w:bookmarkEnd w:id="44"/>
    <w:bookmarkStart w:id="45" w:name="scope-3-compliance"/>
    <w:p>
      <w:pPr>
        <w:pStyle w:val="Heading3"/>
      </w:pPr>
      <w:r>
        <w:t xml:space="preserve">4.4 Scope 3 Compliance</w:t>
      </w:r>
    </w:p>
    <w:p>
      <w:pPr>
        <w:pStyle w:val="FirstParagraph"/>
      </w:pPr>
      <w:r>
        <w:t xml:space="preserve">This report ensures robust Scope 3 reporting, covering all relevant categories (1, 4, 9, 11, and 12) identified as material to the product\'s value chain. Given the detailed data collection for materials, manufacturing energy, transportation, use phase, and end-of-life scenarios, the Scope 3 coverage for xotrwpdejp is estimated to be well over 95%, aligning with and exceeding 2026 GHG Protocol requirements for comprehensive value chain reporting.</w:t>
      </w:r>
    </w:p>
    <w:bookmarkEnd w:id="45"/>
    <w:bookmarkEnd w:id="46"/>
    <w:p>
      <w:r>
        <w:pict>
          <v:rect style="width:0;height:1.5pt" o:hralign="center" o:hrstd="t" o:hr="t"/>
        </w:pict>
      </w:r>
    </w:p>
    <w:bookmarkStart w:id="50" w:name="review-report"/>
    <w:p>
      <w:pPr>
        <w:pStyle w:val="Heading2"/>
      </w:pPr>
      <w:r>
        <w:t xml:space="preserve">5. Review &amp; Report</w:t>
      </w:r>
    </w:p>
    <w:bookmarkStart w:id="47" w:name="total-product-carbon-footprint"/>
    <w:p>
      <w:pPr>
        <w:pStyle w:val="Heading3"/>
      </w:pPr>
      <w:r>
        <w:t xml:space="preserve">5.1 Total Product Carbon Footprint</w:t>
      </w:r>
    </w:p>
    <w:p>
      <w:pPr>
        <w:pStyle w:val="FirstParagraph"/>
      </w:pPr>
      <w:r>
        <w:t xml:space="preserve">The total cradle-to-grave Product Carbon Footprint for one unit of xotrwpdejp is calculated to be approximately</w:t>
      </w:r>
      <w:r>
        <w:t xml:space="preserve"> </w:t>
      </w:r>
      <w:r>
        <w:rPr>
          <w:bCs/>
          <w:b/>
        </w:rPr>
        <w:t xml:space="preserve">10.475 kg CO2e</w:t>
      </w:r>
      <w:r>
        <w:t xml:space="preserve">.</w:t>
      </w:r>
    </w:p>
    <w:bookmarkEnd w:id="47"/>
    <w:bookmarkStart w:id="48" w:name="emission-hotspots-and-reliability"/>
    <w:p>
      <w:pPr>
        <w:pStyle w:val="Heading3"/>
      </w:pPr>
      <w:r>
        <w:t xml:space="preserve">5.2 Emission Hotspots and Reliability</w:t>
      </w:r>
    </w:p>
    <w:p>
      <w:pPr>
        <w:pStyle w:val="FirstParagraph"/>
      </w:pPr>
      <w:r>
        <w:t xml:space="preserve">The primary emission hotspot for xotrwpdejp is clearly identified in the **Use Phase**, contributing approximately 71.6% of the total PCF (7.500 kg CO2e). This is followed by **Material Acquisition &amp; Pre-processing** (15.5%) and **Manufacturing (Scope 2 electricity)** (11.1%). Transportation and End-of-Life stages contribute a smaller percentage but are still critical for a complete picture.</w:t>
      </w:r>
    </w:p>
    <w:p>
      <w:pPr>
        <w:pStyle w:val="BodyText"/>
      </w:pPr>
      <w:r>
        <w:t xml:space="preserve">The reliability of this assessment is considered high due to the use of specific primary data for the Bill of Materials (BOM), production energy, product lifespan, and End-of-Life scenarios. Industry-standard secondary emission factors from reputable databases like Ecoinvent and DEFRA further enhance the robustness of the calculations. Assumptions made regarding transport distances, modes, and generic emission factors represent plausible scenarios for a global supply chain focused on Europe and China. Transparency in these assumptions is maintained throughout the report.</w:t>
      </w:r>
    </w:p>
    <w:bookmarkEnd w:id="48"/>
    <w:bookmarkStart w:id="49" w:name="recommendations-for-emission-reduction"/>
    <w:p>
      <w:pPr>
        <w:pStyle w:val="Heading3"/>
      </w:pPr>
      <w:r>
        <w:t xml:space="preserve">5.3 Recommendations for Emission Reduction</w:t>
      </w:r>
    </w:p>
    <w:p>
      <w:pPr>
        <w:pStyle w:val="FirstParagraph"/>
      </w:pPr>
      <w:r>
        <w:t xml:space="preserve">Based on this PCF analysis, the following recommendations are made for qsioufujpj to strategically reduce the carbon footprint of xotrwpdejp:</w:t>
      </w:r>
    </w:p>
    <w:p>
      <w:pPr>
        <w:numPr>
          <w:ilvl w:val="0"/>
          <w:numId w:val="1015"/>
        </w:numPr>
        <w:pStyle w:val="Compact"/>
      </w:pPr>
      <w:r>
        <w:rPr>
          <w:bCs/>
          <w:b/>
        </w:rPr>
        <w:t xml:space="preserve">Prioritize Use Phase Efficiency:</w:t>
      </w:r>
      <w:r>
        <w:t xml:space="preserve"> </w:t>
      </w:r>
      <w:r>
        <w:t xml:space="preserve">Given that the use phase is the largest hotspot, significant investment in R&amp;D to reduce the product\'s energy consumption during its operational lifespan is crucial. This includes exploring more energy-efficient designs, components, and potentially offering solutions that incentivize lower energy consumption by end-users.</w:t>
      </w:r>
    </w:p>
    <w:p>
      <w:pPr>
        <w:numPr>
          <w:ilvl w:val="0"/>
          <w:numId w:val="1015"/>
        </w:numPr>
        <w:pStyle w:val="Compact"/>
      </w:pPr>
      <w:r>
        <w:rPr>
          <w:bCs/>
          <w:b/>
        </w:rPr>
        <w:t xml:space="preserve">Optimize Material Selection and Sourcing:</w:t>
      </w:r>
      <w:r>
        <w:t xml:space="preserve"> </w:t>
      </w:r>
      <w:r>
        <w:t xml:space="preserve">Investigate and integrate lower-carbon alternative materials for high-impact components, particularly the ABS plastic casing and the Lithium-ion battery. Prioritize materials with higher recycled content and ensure suppliers have transparent and ambitious decarbonization roadmaps.</w:t>
      </w:r>
    </w:p>
    <w:p>
      <w:pPr>
        <w:numPr>
          <w:ilvl w:val="0"/>
          <w:numId w:val="1015"/>
        </w:numPr>
        <w:pStyle w:val="Compact"/>
      </w:pPr>
      <w:r>
        <w:rPr>
          <w:bCs/>
          <w:b/>
        </w:rPr>
        <w:t xml:space="preserve">Expand Renewable Energy in Manufacturing:</w:t>
      </w:r>
      <w:r>
        <w:t xml:space="preserve"> </w:t>
      </w:r>
      <w:r>
        <w:t xml:space="preserve">Accelerate efforts to increase the percentage of renewable energy used in manufacturing beyond the current</w:t>
      </w:r>
      <w:r>
        <w:t xml:space="preserve"> </w:t>
      </w:r>
      <w:r>
        <w:rPr>
          <w:bCs/>
          <w:b/>
        </w:rPr>
        <w:t xml:space="preserve">rftyytkqmt</w:t>
      </w:r>
      <w:r>
        <w:t xml:space="preserve"> </w:t>
      </w:r>
      <w:r>
        <w:t xml:space="preserve">(60%). Aim for 100% renewable electricity at the production facility to eliminate Scope 2 emissions entirely.</w:t>
      </w:r>
    </w:p>
    <w:p>
      <w:pPr>
        <w:numPr>
          <w:ilvl w:val="0"/>
          <w:numId w:val="1015"/>
        </w:numPr>
        <w:pStyle w:val="Compact"/>
      </w:pPr>
      <w:r>
        <w:rPr>
          <w:bCs/>
          <w:b/>
        </w:rPr>
        <w:t xml:space="preserve">Enhance Circular Economy Initiatives:</w:t>
      </w:r>
      <w:r>
        <w:t xml:space="preserve"> </w:t>
      </w:r>
      <w:r>
        <w:t xml:space="preserve">While strong recyclability and take-back programs (</w:t>
      </w:r>
      <w:r>
        <w:rPr>
          <w:bCs/>
          <w:b/>
        </w:rPr>
        <w:t xml:space="preserve">fdeogytzvw</w:t>
      </w:r>
      <w:r>
        <w:t xml:space="preserve">) are in place, continuously evaluate and improve the efficiency of these programs. Explore strategies for material upcycling or refurbishment to maximize material value retention and further minimize virgin material demand.</w:t>
      </w:r>
    </w:p>
    <w:p>
      <w:pPr>
        <w:numPr>
          <w:ilvl w:val="0"/>
          <w:numId w:val="1015"/>
        </w:numPr>
        <w:pStyle w:val="Compact"/>
      </w:pPr>
      <w:r>
        <w:rPr>
          <w:bCs/>
          <w:b/>
        </w:rPr>
        <w:t xml:space="preserve">Refine Logistics for Efficiency:</w:t>
      </w:r>
      <w:r>
        <w:t xml:space="preserve"> </w:t>
      </w:r>
      <w:r>
        <w:t xml:space="preserve">Explore opportunities to optimize transport routes, consolidate shipments, and consider lower-emission transport modes where feasible, especially for the downstream distribution to end-users.</w:t>
      </w:r>
    </w:p>
    <w:bookmarkEnd w:id="49"/>
    <w:bookmarkEnd w:id="50"/>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xotrwpdejp</dc:title>
  <dc:creator/>
  <dc:description>Detailed Product Carbon Footprint (PCF) analysis report for xotrwpdejp, conducted by Senior Sustainability Consultant lukdpymfyf for qsioufujpj, adhering to GHG Protocol standards including the 2026 LSR update and Scope 3 compliance.</dc:description>
  <dc:language>en</dc:language>
  <cp:keywords/>
  <dcterms:created xsi:type="dcterms:W3CDTF">2026-05-30T12:39:58Z</dcterms:created>
  <dcterms:modified xsi:type="dcterms:W3CDTF">2026-05-30T12:39:58Z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