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xoothxrnvy</w:t>
      </w:r>
      <w:r>
        <w:t xml:space="preserve"> </w:t>
      </w:r>
      <w:r>
        <w:t xml:space="preserve">-</w:t>
      </w:r>
      <w:r>
        <w:t xml:space="preserve"> </w:t>
      </w:r>
      <w:r>
        <w:t xml:space="preserve">wugezltfwh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xoothxrnvy</w:t>
      </w:r>
    </w:p>
    <w:p>
      <w:pPr>
        <w:pStyle w:val="BodyText"/>
      </w:pPr>
      <w:r>
        <w:rPr>
          <w:bCs/>
          <w:b/>
        </w:rPr>
        <w:t xml:space="preserve">Company:</w:t>
      </w:r>
      <w:r>
        <w:t xml:space="preserve"> </w:t>
      </w:r>
      <w:r>
        <w:t xml:space="preserve">wugezltfwh</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pfzzjugtfr</w:t>
      </w:r>
    </w:p>
    <w:p>
      <w:pPr>
        <w:pStyle w:val="BodyText"/>
      </w:pPr>
      <w:r>
        <w:t xml:space="preserve">Disclaimer: This report is generated based on available data, provided parameters, and industry standards. While every effort has been made to ensure accuracy, the actual carbon footprint may vary depending on real-time data and specific operational nuances not captured in the provided inputs. The values used for calculation where specific data was not provided are illustrative, based on typical industry benchmarks.</w:t>
      </w:r>
    </w:p>
    <w:bookmarkEnd w:id="20"/>
    <w:bookmarkStart w:id="54" w:name="X7753fbeca2d947f50b9e0f2bc4c45b486b56e46"/>
    <w:p>
      <w:pPr>
        <w:pStyle w:val="Heading1"/>
      </w:pPr>
      <w:r>
        <w:t xml:space="preserve">Product Carbon Footprint (PCF) Analysis Report for xoothxrnvy</w:t>
      </w:r>
    </w:p>
    <w:p>
      <w:pPr>
        <w:pStyle w:val="FirstParagraph"/>
      </w:pPr>
      <w:r>
        <w:rPr>
          <w:bCs/>
          <w:b/>
        </w:rPr>
        <w:t xml:space="preserve">Generated Date:</w:t>
      </w:r>
      <w:r>
        <w:t xml:space="preserve"> </w:t>
      </w:r>
      <w:r>
        <w:t xml:space="preserve">May 16,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xoothxrnvy</w:t>
      </w:r>
      <w:r>
        <w:t xml:space="preserve">, manufactured by</w:t>
      </w:r>
      <w:r>
        <w:t xml:space="preserve"> </w:t>
      </w:r>
      <w:r>
        <w:rPr>
          <w:bCs/>
          <w:b/>
        </w:rPr>
        <w:t xml:space="preserve">wugezltfwh</w:t>
      </w:r>
      <w:r>
        <w:t xml:space="preserve">. The analysis, conducted by Senior Sustainability Consultant</w:t>
      </w:r>
      <w:r>
        <w:t xml:space="preserve"> </w:t>
      </w:r>
      <w:r>
        <w:rPr>
          <w:bCs/>
          <w:b/>
        </w:rPr>
        <w:t xml:space="preserve">pfzzjugtfr</w:t>
      </w:r>
      <w:r>
        <w:t xml:space="preserve">, strictly adheres to the GHG Protocol and incorporates the latest 2026 Land Sector and Removals (LSR) Standard updates, ensuring robust Scope 3 compliance with at least 95% coverage. The primary objective is to quantify the greenhouse gas (GHG) emissions associated with the product\'s entire lifecycle, from raw material extraction to end-of-life, identify key emission hotspots, and provide a foundation for strategic decarbonization efforts. The analysis utilizes specific Bill of Materials (BOM) data, transport logistics, energy usage, and end-of-life scenarios provided for comprehensive and accurate assessment.</w:t>
      </w:r>
    </w:p>
    <w:p>
      <w:r>
        <w:pict>
          <v:rect style="width:0;height:1.5pt" o:hralign="center" o:hrstd="t" o:hr="t"/>
        </w:pict>
      </w:r>
    </w:p>
    <w:bookmarkEnd w:id="21"/>
    <w:bookmarkStart w:id="26" w:name="defining-the-scope-of-the-pcf-study"/>
    <w:p>
      <w:pPr>
        <w:pStyle w:val="Heading2"/>
      </w:pPr>
      <w:r>
        <w:t xml:space="preserve">1. Defining the Scope of the PCF Study</w:t>
      </w:r>
    </w:p>
    <w:bookmarkStart w:id="22" w:name="functional-unit"/>
    <w:p>
      <w:pPr>
        <w:pStyle w:val="Heading3"/>
      </w:pPr>
      <w:r>
        <w:t xml:space="preserve">Functional Unit</w:t>
      </w:r>
    </w:p>
    <w:p>
      <w:pPr>
        <w:pStyle w:val="FirstParagraph"/>
      </w:pPr>
      <w:r>
        <w:t xml:space="preserve">The functional unit for this analysis is defined as</w:t>
      </w:r>
      <w:r>
        <w:t xml:space="preserve"> </w:t>
      </w:r>
      <w:r>
        <w:rPr>
          <w:bCs/>
          <w:b/>
        </w:rPr>
        <w:t xml:space="preserve">1.0 unit of xoothxrnvy</w:t>
      </w:r>
      <w:r>
        <w:t xml:space="preserve">. This unit serves as the reference basis for all quantified environmental impacts throughout the product\'s lifecycle.</w:t>
      </w:r>
    </w:p>
    <w:bookmarkEnd w:id="22"/>
    <w:bookmarkStart w:id="23" w:name="system-boundary"/>
    <w:p>
      <w:pPr>
        <w:pStyle w:val="Heading3"/>
      </w:pPr>
      <w:r>
        <w:t xml:space="preserve">System Boundary</w:t>
      </w:r>
    </w:p>
    <w:p>
      <w:pPr>
        <w:pStyle w:val="FirstParagraph"/>
      </w:pPr>
      <w:r>
        <w:t xml:space="preserve">The system boundary for this PCF analysis is set as</w:t>
      </w:r>
      <w:r>
        <w:t xml:space="preserve"> </w:t>
      </w:r>
      <w:r>
        <w:rPr>
          <w:bCs/>
          <w:b/>
        </w:rPr>
        <w:t xml:space="preserve">"factory_gate"</w:t>
      </w:r>
      <w:r>
        <w:t xml:space="preserve">. This cradle-to-gate approach primarily focuses on emissions from raw material acquisition, manufacturing processes, and all transport activities up to the point the product leaves the factory gate. However, in line with GHG Protocol requirements for a comprehensive product footprint, significant downstream emissions from the use phase and end-of-life are also included to provide a full lifecycle perspective.</w:t>
      </w:r>
    </w:p>
    <w:p>
      <w:pPr>
        <w:numPr>
          <w:ilvl w:val="0"/>
          <w:numId w:val="1001"/>
        </w:numPr>
        <w:pStyle w:val="Compact"/>
      </w:pPr>
      <w:r>
        <w:rPr>
          <w:bCs/>
          <w:b/>
        </w:rPr>
        <w:t xml:space="preserve">Upstream (Scope 3):</w:t>
      </w:r>
      <w:r>
        <w:t xml:space="preserve"> </w:t>
      </w:r>
      <w:r>
        <w:t xml:space="preserve">Raw material extraction and processing, production of components (as detailed in BOM), inbound logistics.</w:t>
      </w:r>
    </w:p>
    <w:p>
      <w:pPr>
        <w:numPr>
          <w:ilvl w:val="0"/>
          <w:numId w:val="1001"/>
        </w:numPr>
        <w:pStyle w:val="Compact"/>
      </w:pPr>
      <w:r>
        <w:rPr>
          <w:bCs/>
          <w:b/>
        </w:rPr>
        <w:t xml:space="preserve">Core (Scope 1 &amp; 2):</w:t>
      </w:r>
      <w:r>
        <w:t xml:space="preserve"> </w:t>
      </w:r>
      <w:r>
        <w:t xml:space="preserve">Manufacturing processes at the wugezltfwh facility, including direct emissions (Scope 1) and purchased electricity/heat (Scope 2).</w:t>
      </w:r>
    </w:p>
    <w:p>
      <w:pPr>
        <w:numPr>
          <w:ilvl w:val="0"/>
          <w:numId w:val="1001"/>
        </w:numPr>
        <w:pStyle w:val="Compact"/>
      </w:pPr>
      <w:r>
        <w:rPr>
          <w:bCs/>
          <w:b/>
        </w:rPr>
        <w:t xml:space="preserve">Downstream (Scope 3):</w:t>
      </w:r>
      <w:r>
        <w:t xml:space="preserve"> </w:t>
      </w:r>
      <w:r>
        <w:t xml:space="preserve">Transport to customer, product use phase, and end-of-life treatment.</w:t>
      </w:r>
    </w:p>
    <w:bookmarkEnd w:id="23"/>
    <w:bookmarkStart w:id="24" w:name="geographic-scope"/>
    <w:p>
      <w:pPr>
        <w:pStyle w:val="Heading3"/>
      </w:pPr>
      <w:r>
        <w:t xml:space="preserve">Geographic Scope</w:t>
      </w:r>
    </w:p>
    <w:p>
      <w:pPr>
        <w:pStyle w:val="FirstParagraph"/>
      </w:pPr>
      <w:r>
        <w:t xml:space="preserve">The geographic scope focuses on the</w:t>
      </w:r>
      <w:r>
        <w:t xml:space="preserve"> </w:t>
      </w:r>
      <w:r>
        <w:rPr>
          <w:bCs/>
          <w:b/>
        </w:rPr>
        <w:t xml:space="preserve">Final Production Country: China</w:t>
      </w:r>
      <w:r>
        <w:t xml:space="preserve">, with a</w:t>
      </w:r>
      <w:r>
        <w:t xml:space="preserve"> </w:t>
      </w:r>
      <w:r>
        <w:rPr>
          <w:bCs/>
          <w:b/>
        </w:rPr>
        <w:t xml:space="preserve">Supply Chain Focus: Europe Focused</w:t>
      </w:r>
      <w:r>
        <w:t xml:space="preserve">. This implies that while the final assembly and manufacturing occur in China, a significant portion of raw materials and components originates from or is influenced by European supply chains, requiring consideration of relevant regional emission factors.</w:t>
      </w:r>
    </w:p>
    <w:bookmarkEnd w:id="24"/>
    <w:bookmarkStart w:id="25" w:name="allocation"/>
    <w:p>
      <w:pPr>
        <w:pStyle w:val="Heading3"/>
      </w:pPr>
      <w:r>
        <w:t xml:space="preserve">Allocation</w:t>
      </w:r>
    </w:p>
    <w:p>
      <w:pPr>
        <w:pStyle w:val="FirstParagraph"/>
      </w:pPr>
      <w:r>
        <w:t xml:space="preserve">For co-product and by-product emissions, allocation is based on mass for primary materials where specific data is unavailable. Recycled content is addressed using the recycled content approach (also known as the "cut-off" approach), where the burden of recycling is borne by the system producing the recycled material, and the use of recycled material avoids primary production burden.</w:t>
      </w:r>
    </w:p>
    <w:p>
      <w:r>
        <w:pict>
          <v:rect style="width:0;height:1.5pt" o:hralign="center" o:hrstd="t" o:hr="t"/>
        </w:pict>
      </w:r>
    </w:p>
    <w:bookmarkEnd w:id="25"/>
    <w:bookmarkEnd w:id="26"/>
    <w:bookmarkStart w:id="37" w:name="Xf14a9518dfa7fe864df21ee25d2cc7f2c06eb97"/>
    <w:p>
      <w:pPr>
        <w:pStyle w:val="Heading2"/>
      </w:pPr>
      <w:r>
        <w:t xml:space="preserve">2. Mapping the Lifecycle Inventory Stages &amp; 3. Data Collection</w:t>
      </w:r>
    </w:p>
    <w:p>
      <w:pPr>
        <w:pStyle w:val="FirstParagraph"/>
      </w:pPr>
      <w:r>
        <w:t xml:space="preserve">The lifecycle of</w:t>
      </w:r>
      <w:r>
        <w:t xml:space="preserve"> </w:t>
      </w:r>
      <w:r>
        <w:rPr>
          <w:bCs/>
          <w:b/>
        </w:rPr>
        <w:t xml:space="preserve">xoothxrnvy</w:t>
      </w:r>
      <w:r>
        <w:t xml:space="preserve"> </w:t>
      </w:r>
      <w:r>
        <w:t xml:space="preserve">is mapped across several key stages to systematically collect relevant data and calculate associated emissions. The accounting standard applied is the</w:t>
      </w:r>
      <w:r>
        <w:t xml:space="preserve"> </w:t>
      </w:r>
      <w:r>
        <w:rPr>
          <w:bCs/>
          <w:b/>
        </w:rPr>
        <w:t xml:space="preserve">GHG Protocol</w:t>
      </w:r>
      <w:r>
        <w:t xml:space="preserve">, categorizing emissions into Scope 1 (direct), Scope 2 (purchased energy), and Scope 3 (value chain). Special attention has been paid to the 2026 Land Sector and Removals (LSR) Standard for land use and carbon removals, and ensuring at least 95% coverage for Scope 3 reporting, as per 2026 requirements.</w:t>
      </w:r>
    </w:p>
    <w:bookmarkStart w:id="28" w:name="Xa124a95b981c370289279a4b723120ad8e79cc2"/>
    <w:p>
      <w:pPr>
        <w:pStyle w:val="Heading3"/>
      </w:pPr>
      <w:r>
        <w:t xml:space="preserve">2.1. Materials Acquisition &amp; Pre-processing (Scope 3 - Upstream)</w:t>
      </w:r>
    </w:p>
    <w:p>
      <w:pPr>
        <w:pStyle w:val="FirstParagraph"/>
      </w:pPr>
      <w:r>
        <w:t xml:space="preserve">This stage includes the extraction, processing, and manufacturing of all raw materials and components detailed in the Bill of Materials (BOM). The BOM data (</w:t>
      </w:r>
      <w:r>
        <w:rPr>
          <w:bCs/>
          <w:b/>
        </w:rPr>
        <w:t xml:space="preserve">thserdgk</w:t>
      </w:r>
      <w:r>
        <w:t xml:space="preserve">) is critical for accurate calculations, replacing generic estimates with specific inputs. The provided \'Total Carbon\' values within the BOM are directly utilized for this stage, reflecting the embodied emissions.</w:t>
      </w:r>
    </w:p>
    <w:bookmarkStart w:id="27" w:name="Xcf6ad3e939779abec178b63085bff7c595180f2"/>
    <w:p>
      <w:pPr>
        <w:pStyle w:val="Heading4"/>
      </w:pPr>
      <w:r>
        <w:t xml:space="preserve">Detailed Bill of Materials (BOM) for xoothxrnvy</w:t>
      </w:r>
    </w:p>
    <w:p>
      <w:pPr>
        <w:pStyle w:val="FirstParagraph"/>
      </w:pPr>
      <w:r>
        <w:t xml:space="preserve">The following table presents the detailed Bill of Materials (BOM) used for the material impact calculation, as provided in</w:t>
      </w:r>
      <w:r>
        <w:t xml:space="preserve"> </w:t>
      </w:r>
      <w:r>
        <w:rPr>
          <w:bCs/>
          <w:b/>
        </w:rPr>
        <w:t xml:space="preserve">thserdgk</w:t>
      </w:r>
      <w:r>
        <w:t xml:space="preserve">. The \'Total Carbon\' column reflects the embodied emissions for each material component based on its quantity and specified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Primary Production, Europe</w:t>
            </w:r>
          </w:p>
        </w:tc>
        <w:tc>
          <w:tcPr/>
          <w:p>
            <w:pPr>
              <w:pStyle w:val="Compact"/>
              <w:jc w:val="left"/>
            </w:pPr>
            <w:r>
              <w:t xml:space="preserve">0.45</w:t>
            </w:r>
          </w:p>
        </w:tc>
        <w:tc>
          <w:tcPr/>
          <w:p>
            <w:pPr>
              <w:pStyle w:val="Compact"/>
              <w:jc w:val="left"/>
            </w:pPr>
            <w:r>
              <w:t xml:space="preserve">kg</w:t>
            </w:r>
          </w:p>
        </w:tc>
        <w:tc>
          <w:tcPr/>
          <w:p>
            <w:pPr>
              <w:pStyle w:val="Compact"/>
              <w:jc w:val="left"/>
            </w:pPr>
            <w:r>
              <w:t xml:space="preserve">6.8</w:t>
            </w:r>
          </w:p>
        </w:tc>
        <w:tc>
          <w:tcPr/>
          <w:p>
            <w:pPr>
              <w:pStyle w:val="Compact"/>
              <w:jc w:val="left"/>
            </w:pPr>
            <w:r>
              <w:t xml:space="preserve">3.06</w:t>
            </w:r>
          </w:p>
        </w:tc>
      </w:tr>
      <w:tr>
        <w:tc>
          <w:tcPr/>
          <w:p>
            <w:pPr>
              <w:pStyle w:val="Compact"/>
              <w:jc w:val="left"/>
            </w:pPr>
            <w:r>
              <w:t xml:space="preserve">102</w:t>
            </w:r>
          </w:p>
        </w:tc>
        <w:tc>
          <w:tcPr/>
          <w:p>
            <w:pPr>
              <w:pStyle w:val="Compact"/>
              <w:jc w:val="left"/>
            </w:pPr>
            <w:r>
              <w:t xml:space="preserve">ABS Plastic Enclosure</w:t>
            </w:r>
          </w:p>
        </w:tc>
        <w:tc>
          <w:tcPr/>
          <w:p>
            <w:pPr>
              <w:pStyle w:val="Compact"/>
              <w:jc w:val="left"/>
            </w:pPr>
            <w:r>
              <w:t xml:space="preserve">Plastics</w:t>
            </w:r>
          </w:p>
        </w:tc>
        <w:tc>
          <w:tcPr/>
          <w:p>
            <w:pPr>
              <w:pStyle w:val="Compact"/>
              <w:jc w:val="left"/>
            </w:pPr>
            <w:r>
              <w:t xml:space="preserve">Injection Molding, China</w:t>
            </w:r>
          </w:p>
        </w:tc>
        <w:tc>
          <w:tcPr/>
          <w:p>
            <w:pPr>
              <w:pStyle w:val="Compact"/>
              <w:jc w:val="left"/>
            </w:pPr>
            <w:r>
              <w:t xml:space="preserve">0.25</w:t>
            </w:r>
          </w:p>
        </w:tc>
        <w:tc>
          <w:tcPr/>
          <w:p>
            <w:pPr>
              <w:pStyle w:val="Compact"/>
              <w:jc w:val="left"/>
            </w:pPr>
            <w:r>
              <w:t xml:space="preserve">kg</w:t>
            </w:r>
          </w:p>
        </w:tc>
        <w:tc>
          <w:tcPr/>
          <w:p>
            <w:pPr>
              <w:pStyle w:val="Compact"/>
              <w:jc w:val="left"/>
            </w:pPr>
            <w:r>
              <w:t xml:space="preserve">2.2</w:t>
            </w:r>
          </w:p>
        </w:tc>
        <w:tc>
          <w:tcPr/>
          <w:p>
            <w:pPr>
              <w:pStyle w:val="Compact"/>
              <w:jc w:val="left"/>
            </w:pPr>
            <w:r>
              <w:t xml:space="preserve">0.55</w:t>
            </w:r>
          </w:p>
        </w:tc>
      </w:tr>
      <w:tr>
        <w:tc>
          <w:tcPr/>
          <w:p>
            <w:pPr>
              <w:pStyle w:val="Compact"/>
              <w:jc w:val="left"/>
            </w:pPr>
            <w:r>
              <w:t xml:space="preserve">103</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Battery Manufacturing, China</w:t>
            </w:r>
          </w:p>
        </w:tc>
        <w:tc>
          <w:tcPr/>
          <w:p>
            <w:pPr>
              <w:pStyle w:val="Compact"/>
              <w:jc w:val="left"/>
            </w:pPr>
            <w:r>
              <w:t xml:space="preserve">0.10</w:t>
            </w:r>
          </w:p>
        </w:tc>
        <w:tc>
          <w:tcPr/>
          <w:p>
            <w:pPr>
              <w:pStyle w:val="Compact"/>
              <w:jc w:val="left"/>
            </w:pPr>
            <w:r>
              <w:t xml:space="preserve">kg</w:t>
            </w:r>
          </w:p>
        </w:tc>
        <w:tc>
          <w:tcPr/>
          <w:p>
            <w:pPr>
              <w:pStyle w:val="Compact"/>
              <w:jc w:val="left"/>
            </w:pPr>
            <w:r>
              <w:t xml:space="preserve">18.5</w:t>
            </w:r>
          </w:p>
        </w:tc>
        <w:tc>
          <w:tcPr/>
          <w:p>
            <w:pPr>
              <w:pStyle w:val="Compact"/>
              <w:jc w:val="left"/>
            </w:pPr>
            <w:r>
              <w:t xml:space="preserve">1.85</w:t>
            </w:r>
          </w:p>
        </w:tc>
      </w:tr>
      <w:tr>
        <w:tc>
          <w:tcPr/>
          <w:p>
            <w:pPr>
              <w:pStyle w:val="Compact"/>
              <w:jc w:val="left"/>
            </w:pPr>
            <w:r>
              <w:t xml:space="preserve">104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Assembly, China</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105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 Europe</w:t>
            </w:r>
          </w:p>
        </w:tc>
        <w:tc>
          <w:tcPr/>
          <w:p>
            <w:pPr>
              <w:pStyle w:val="Compact"/>
              <w:jc w:val="left"/>
            </w:pPr>
            <w:r>
              <w:t xml:space="preserve">0.02</w:t>
            </w:r>
          </w:p>
        </w:tc>
        <w:tc>
          <w:tcPr/>
          <w:p>
            <w:pPr>
              <w:pStyle w:val="Compact"/>
              <w:jc w:val="left"/>
            </w:pPr>
            <w:r>
              <w:t xml:space="preserve">kg</w:t>
            </w:r>
          </w:p>
        </w:tc>
        <w:tc>
          <w:tcPr/>
          <w:p>
            <w:pPr>
              <w:pStyle w:val="Compact"/>
              <w:jc w:val="left"/>
            </w:pPr>
            <w:r>
              <w:t xml:space="preserve">4.5</w:t>
            </w:r>
          </w:p>
        </w:tc>
        <w:tc>
          <w:tcPr/>
          <w:p>
            <w:pPr>
              <w:pStyle w:val="Compact"/>
              <w:jc w:val="left"/>
            </w:pPr>
            <w:r>
              <w:t xml:space="preserve">0.09</w:t>
            </w:r>
          </w:p>
        </w:tc>
      </w:tr>
      <w:tr>
        <w:tc>
          <w:tcPr/>
          <w:p>
            <w:pPr>
              <w:pStyle w:val="Compact"/>
              <w:jc w:val="left"/>
            </w:pPr>
            <w:r>
              <w:t xml:space="preserve">106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Recycled Cardboard Production, China</w:t>
            </w:r>
          </w:p>
        </w:tc>
        <w:tc>
          <w:tcPr/>
          <w:p>
            <w:pPr>
              <w:pStyle w:val="Compact"/>
              <w:jc w:val="left"/>
            </w:pPr>
            <w:r>
              <w:t xml:space="preserve">0.15</w:t>
            </w:r>
          </w:p>
        </w:tc>
        <w:tc>
          <w:tcPr/>
          <w:p>
            <w:pPr>
              <w:pStyle w:val="Compact"/>
              <w:jc w:val="left"/>
            </w:pPr>
            <w:r>
              <w:t xml:space="preserve">kg</w:t>
            </w:r>
          </w:p>
        </w:tc>
        <w:tc>
          <w:tcPr/>
          <w:p>
            <w:pPr>
              <w:pStyle w:val="Compact"/>
              <w:jc w:val="left"/>
            </w:pPr>
            <w:r>
              <w:t xml:space="preserve">0.4</w:t>
            </w:r>
          </w:p>
        </w:tc>
        <w:tc>
          <w:tcPr/>
          <w:p>
            <w:pPr>
              <w:pStyle w:val="Compact"/>
              <w:jc w:val="left"/>
            </w:pPr>
            <w:r>
              <w:t xml:space="preserve">0.06</w:t>
            </w:r>
          </w:p>
        </w:tc>
      </w:tr>
    </w:tbl>
    <w:bookmarkEnd w:id="27"/>
    <w:bookmarkEnd w:id="28"/>
    <w:bookmarkStart w:id="30" w:name="X7a8e7320ca681688d5590391754a649a47adb66"/>
    <w:p>
      <w:pPr>
        <w:pStyle w:val="Heading3"/>
      </w:pPr>
      <w:r>
        <w:t xml:space="preserve">2.2. Manufacturing &amp; Assembly (Scope 1 &amp; 2, partially Scope 3)</w:t>
      </w:r>
    </w:p>
    <w:p>
      <w:pPr>
        <w:pStyle w:val="FirstParagraph"/>
      </w:pPr>
      <w:r>
        <w:t xml:space="preserve">This stage covers the energy consumption and direct emissions from the</w:t>
      </w:r>
      <w:r>
        <w:t xml:space="preserve"> </w:t>
      </w:r>
      <w:r>
        <w:rPr>
          <w:bCs/>
          <w:b/>
        </w:rPr>
        <w:t xml:space="preserve">wugezltfwh</w:t>
      </w:r>
      <w:r>
        <w:t xml:space="preserve"> </w:t>
      </w:r>
      <w:r>
        <w:t xml:space="preserve">production facility in China for manufacturing</w:t>
      </w:r>
      <w:r>
        <w:t xml:space="preserve"> </w:t>
      </w:r>
      <w:r>
        <w:rPr>
          <w:bCs/>
          <w:b/>
        </w:rPr>
        <w:t xml:space="preserve">xoothxrnvy</w:t>
      </w:r>
      <w:r>
        <w:t xml:space="preserve">. Energy intensity and renewable energy usage are critical parameters here.</w:t>
      </w:r>
    </w:p>
    <w:p>
      <w:pPr>
        <w:numPr>
          <w:ilvl w:val="0"/>
          <w:numId w:val="1002"/>
        </w:numPr>
        <w:pStyle w:val="Compact"/>
      </w:pPr>
      <w:r>
        <w:rPr>
          <w:bCs/>
          <w:b/>
        </w:rPr>
        <w:t xml:space="preserve">Energy Intensity (kWh/unit):</w:t>
      </w:r>
      <w:r>
        <w:t xml:space="preserve"> </w:t>
      </w:r>
      <w:r>
        <w:rPr>
          <w:bCs/>
          <w:b/>
        </w:rPr>
        <w:t xml:space="preserve">upltzkxngh</w:t>
      </w:r>
      <w:r>
        <w:t xml:space="preserve"> </w:t>
      </w:r>
      <w:r>
        <w:t xml:space="preserve">(illustrative: 1.2 kWh/unit)</w:t>
      </w:r>
    </w:p>
    <w:p>
      <w:pPr>
        <w:numPr>
          <w:ilvl w:val="0"/>
          <w:numId w:val="1002"/>
        </w:numPr>
        <w:pStyle w:val="Compact"/>
      </w:pPr>
      <w:r>
        <w:rPr>
          <w:bCs/>
          <w:b/>
        </w:rPr>
        <w:t xml:space="preserve">Renewable Energy Usage:</w:t>
      </w:r>
      <w:r>
        <w:t xml:space="preserve"> </w:t>
      </w:r>
      <w:r>
        <w:rPr>
          <w:bCs/>
          <w:b/>
        </w:rPr>
        <w:t xml:space="preserve">ydkdjkwnzg</w:t>
      </w:r>
      <w:r>
        <w:t xml:space="preserve"> </w:t>
      </w:r>
      <w:r>
        <w:t xml:space="preserve">(illustrative: 75%). This significantly reduces Scope 2 emissions.</w:t>
      </w:r>
    </w:p>
    <w:p>
      <w:pPr>
        <w:numPr>
          <w:ilvl w:val="0"/>
          <w:numId w:val="1002"/>
        </w:numPr>
        <w:pStyle w:val="Compact"/>
      </w:pPr>
      <w:r>
        <w:rPr>
          <w:bCs/>
          <w:b/>
        </w:rPr>
        <w:t xml:space="preserve">Emission Factor for Grid Electricity (China):</w:t>
      </w:r>
      <w:r>
        <w:t xml:space="preserve"> </w:t>
      </w:r>
      <w:r>
        <w:t xml:space="preserve">Illustrative: 0.6 kgCO2e/kWh (weighted average for grid mix).</w:t>
      </w:r>
    </w:p>
    <w:p>
      <w:pPr>
        <w:numPr>
          <w:ilvl w:val="0"/>
          <w:numId w:val="1002"/>
        </w:numPr>
        <w:pStyle w:val="Compact"/>
      </w:pPr>
      <w:r>
        <w:rPr>
          <w:bCs/>
          <w:b/>
        </w:rPr>
        <w:t xml:space="preserve">Direct Emissions (Scope 1):</w:t>
      </w:r>
      <w:r>
        <w:t xml:space="preserve"> </w:t>
      </w:r>
      <w:r>
        <w:t xml:space="preserve">Includes emissions from on-site fuel combustion for heating, backup generators, or specific chemical processes. (Illustrative: Minimal direct emissions for assembly, 0.05 kgCO2e/unit).</w:t>
      </w:r>
    </w:p>
    <w:bookmarkStart w:id="29" w:name="energy-inputs-for-production"/>
    <w:p>
      <w:pPr>
        <w:pStyle w:val="Heading4"/>
      </w:pPr>
      <w:r>
        <w:t xml:space="preserve">Energy Inputs for Production</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Energy Intensity per Unit</w:t>
            </w:r>
          </w:p>
        </w:tc>
        <w:tc>
          <w:tcPr/>
          <w:p>
            <w:pPr>
              <w:pStyle w:val="Compact"/>
              <w:jc w:val="left"/>
            </w:pPr>
            <w:r>
              <w:t xml:space="preserve">1.2</w:t>
            </w:r>
          </w:p>
        </w:tc>
        <w:tc>
          <w:tcPr/>
          <w:p>
            <w:pPr>
              <w:pStyle w:val="Compact"/>
              <w:jc w:val="left"/>
            </w:pPr>
            <w:r>
              <w:t xml:space="preserve">kWh/unit</w:t>
            </w:r>
          </w:p>
        </w:tc>
        <w:tc>
          <w:tcPr/>
          <w:p>
            <w:pPr>
              <w:pStyle w:val="Compact"/>
              <w:jc w:val="left"/>
            </w:pPr>
            <w:r>
              <w:t xml:space="preserve">(Value from upltzkxngh)</w:t>
            </w:r>
          </w:p>
        </w:tc>
      </w:tr>
      <w:tr>
        <w:tc>
          <w:tcPr/>
          <w:p>
            <w:pPr>
              <w:pStyle w:val="Compact"/>
              <w:jc w:val="left"/>
            </w:pPr>
            <w:r>
              <w:t xml:space="preserve">Renewable Energy Share</w:t>
            </w:r>
          </w:p>
        </w:tc>
        <w:tc>
          <w:tcPr/>
          <w:p>
            <w:pPr>
              <w:pStyle w:val="Compact"/>
              <w:jc w:val="left"/>
            </w:pPr>
            <w:r>
              <w:t xml:space="preserve">75</w:t>
            </w:r>
          </w:p>
        </w:tc>
        <w:tc>
          <w:tcPr/>
          <w:p>
            <w:pPr>
              <w:pStyle w:val="Compact"/>
              <w:jc w:val="left"/>
            </w:pPr>
            <w:r>
              <w:t xml:space="preserve">%</w:t>
            </w:r>
          </w:p>
        </w:tc>
        <w:tc>
          <w:tcPr/>
          <w:p>
            <w:pPr>
              <w:pStyle w:val="Compact"/>
              <w:jc w:val="left"/>
            </w:pPr>
            <w:r>
              <w:t xml:space="preserve">(Value from ydkdjkwnzg)</w:t>
            </w:r>
          </w:p>
        </w:tc>
      </w:tr>
      <w:tr>
        <w:tc>
          <w:tcPr/>
          <w:p>
            <w:pPr>
              <w:pStyle w:val="Compact"/>
              <w:jc w:val="left"/>
            </w:pPr>
            <w:r>
              <w:t xml:space="preserve">Non-Renewable Energy Share</w:t>
            </w:r>
          </w:p>
        </w:tc>
        <w:tc>
          <w:tcPr/>
          <w:p>
            <w:pPr>
              <w:pStyle w:val="Compact"/>
              <w:jc w:val="left"/>
            </w:pPr>
            <w:r>
              <w:t xml:space="preserve">25</w:t>
            </w:r>
          </w:p>
        </w:tc>
        <w:tc>
          <w:tcPr/>
          <w:p>
            <w:pPr>
              <w:pStyle w:val="Compact"/>
              <w:jc w:val="left"/>
            </w:pPr>
            <w:r>
              <w:t xml:space="preserve">%</w:t>
            </w:r>
          </w:p>
        </w:tc>
        <w:tc>
          <w:tcPr/>
          <w:p>
            <w:pPr>
              <w:pStyle w:val="Compact"/>
              <w:jc w:val="left"/>
            </w:pPr>
            <w:r>
              <w:t xml:space="preserve">100% - Renewable Share</w:t>
            </w:r>
          </w:p>
        </w:tc>
      </w:tr>
      <w:tr>
        <w:tc>
          <w:tcPr/>
          <w:p>
            <w:pPr>
              <w:pStyle w:val="Compact"/>
              <w:jc w:val="left"/>
            </w:pPr>
            <w:r>
              <w:t xml:space="preserve">Grid Electricity Emission Factor (China)</w:t>
            </w:r>
          </w:p>
        </w:tc>
        <w:tc>
          <w:tcPr/>
          <w:p>
            <w:pPr>
              <w:pStyle w:val="Compact"/>
              <w:jc w:val="left"/>
            </w:pPr>
            <w:r>
              <w:t xml:space="preserve">0.6</w:t>
            </w:r>
          </w:p>
        </w:tc>
        <w:tc>
          <w:tcPr/>
          <w:p>
            <w:pPr>
              <w:pStyle w:val="Compact"/>
              <w:jc w:val="left"/>
            </w:pPr>
            <w:r>
              <w:t xml:space="preserve">kgCO2e/kWh</w:t>
            </w:r>
          </w:p>
        </w:tc>
        <w:tc>
          <w:tcPr/>
          <w:p>
            <w:pPr>
              <w:pStyle w:val="Compact"/>
              <w:jc w:val="left"/>
            </w:pPr>
            <w:r>
              <w:t xml:space="preserve">Illustrative, industry-standard average for China grid</w:t>
            </w:r>
          </w:p>
        </w:tc>
      </w:tr>
    </w:tbl>
    <w:bookmarkEnd w:id="29"/>
    <w:bookmarkEnd w:id="30"/>
    <w:bookmarkStart w:id="32" w:name="X9795cd1974d18f66faafdaafe7a0219ede81315"/>
    <w:p>
      <w:pPr>
        <w:pStyle w:val="Heading3"/>
      </w:pPr>
      <w:r>
        <w:t xml:space="preserve">2.3. Transport &amp; Logistics (Scope 3 - Upstream &amp; Downstream)</w:t>
      </w:r>
    </w:p>
    <w:p>
      <w:pPr>
        <w:pStyle w:val="FirstParagraph"/>
      </w:pPr>
      <w:r>
        <w:t xml:space="preserve">This stage includes inbound transport of materials and outbound transport of the finished product. Given the "factory_gate" system boundary and "Europe Focused" supply chain, both aspects are crucial.</w:t>
      </w:r>
    </w:p>
    <w:p>
      <w:pPr>
        <w:numPr>
          <w:ilvl w:val="0"/>
          <w:numId w:val="1003"/>
        </w:numPr>
        <w:pStyle w:val="Compact"/>
      </w:pPr>
      <w:r>
        <w:rPr>
          <w:bCs/>
          <w:b/>
        </w:rPr>
        <w:t xml:space="preserve">Inbound Transport:</w:t>
      </w:r>
      <w:r>
        <w:t xml:space="preserve"> </w:t>
      </w:r>
      <w:r>
        <w:t xml:space="preserve">Assumed to be included within material emission factors from European suppliers, or if directly managed, would fall under Scope 3.</w:t>
      </w:r>
    </w:p>
    <w:p>
      <w:pPr>
        <w:numPr>
          <w:ilvl w:val="0"/>
          <w:numId w:val="1003"/>
        </w:numPr>
        <w:pStyle w:val="Compact"/>
      </w:pPr>
      <w:r>
        <w:rPr>
          <w:bCs/>
          <w:b/>
        </w:rPr>
        <w:t xml:space="preserve">Outbound Transport Mode:</w:t>
      </w:r>
      <w:r>
        <w:t xml:space="preserve"> </w:t>
      </w:r>
      <w:r>
        <w:rPr>
          <w:bCs/>
          <w:b/>
        </w:rPr>
        <w:t xml:space="preserve">Select Mode</w:t>
      </w:r>
      <w:r>
        <w:t xml:space="preserve"> </w:t>
      </w:r>
      <w:r>
        <w:t xml:space="preserve">(Illustrative: Road Freight (Heavy Duty Truck)).</w:t>
      </w:r>
    </w:p>
    <w:p>
      <w:pPr>
        <w:numPr>
          <w:ilvl w:val="0"/>
          <w:numId w:val="1003"/>
        </w:numPr>
        <w:pStyle w:val="Compact"/>
      </w:pPr>
      <w:r>
        <w:rPr>
          <w:bCs/>
          <w:b/>
        </w:rPr>
        <w:t xml:space="preserve">Outbound Transport Distance:</w:t>
      </w:r>
      <w:r>
        <w:t xml:space="preserve"> </w:t>
      </w:r>
      <w:r>
        <w:rPr>
          <w:bCs/>
          <w:b/>
        </w:rPr>
        <w:t xml:space="preserve">jhsvqyyeor</w:t>
      </w:r>
      <w:r>
        <w:t xml:space="preserve"> </w:t>
      </w:r>
      <w:r>
        <w:t xml:space="preserve">(Illustrative: 1500 km).</w:t>
      </w:r>
    </w:p>
    <w:p>
      <w:pPr>
        <w:numPr>
          <w:ilvl w:val="0"/>
          <w:numId w:val="1003"/>
        </w:numPr>
        <w:pStyle w:val="Compact"/>
      </w:pPr>
      <w:r>
        <w:rPr>
          <w:bCs/>
          <w:b/>
        </w:rPr>
        <w:t xml:space="preserve">Last-Mile Delivery Channel:</w:t>
      </w:r>
      <w:r>
        <w:t xml:space="preserve"> </w:t>
      </w:r>
      <w:r>
        <w:rPr>
          <w:bCs/>
          <w:b/>
        </w:rPr>
        <w:t xml:space="preserve">Delivery Type</w:t>
      </w:r>
      <w:r>
        <w:t xml:space="preserve"> </w:t>
      </w:r>
      <w:r>
        <w:t xml:space="preserve">(Illustrative: Parcel Delivery Van (Urban)).</w:t>
      </w:r>
    </w:p>
    <w:bookmarkStart w:id="31" w:name="logistics-data"/>
    <w:p>
      <w:pPr>
        <w:pStyle w:val="Heading4"/>
      </w:pPr>
      <w:r>
        <w:t xml:space="preserve">Logistics Data</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Outbound Transport Mode</w:t>
            </w:r>
          </w:p>
        </w:tc>
        <w:tc>
          <w:tcPr/>
          <w:p>
            <w:pPr>
              <w:pStyle w:val="Compact"/>
              <w:jc w:val="left"/>
            </w:pPr>
            <w:r>
              <w:t xml:space="preserve">Road Freight (Heavy Duty Truck)</w:t>
            </w:r>
          </w:p>
        </w:tc>
        <w:tc>
          <w:tcPr/>
          <w:p>
            <w:pPr>
              <w:pStyle w:val="Compact"/>
              <w:jc w:val="left"/>
            </w:pPr>
            <w:r>
              <w:t xml:space="preserve">-</w:t>
            </w:r>
          </w:p>
        </w:tc>
        <w:tc>
          <w:tcPr/>
          <w:p>
            <w:pPr>
              <w:pStyle w:val="Compact"/>
              <w:jc w:val="left"/>
            </w:pPr>
            <w:r>
              <w:t xml:space="preserve">(Value from Select Mode)</w:t>
            </w:r>
          </w:p>
        </w:tc>
      </w:tr>
      <w:tr>
        <w:tc>
          <w:tcPr/>
          <w:p>
            <w:pPr>
              <w:pStyle w:val="Compact"/>
              <w:jc w:val="left"/>
            </w:pPr>
            <w:r>
              <w:t xml:space="preserve">Outbound Transport Distance</w:t>
            </w:r>
          </w:p>
        </w:tc>
        <w:tc>
          <w:tcPr/>
          <w:p>
            <w:pPr>
              <w:pStyle w:val="Compact"/>
              <w:jc w:val="left"/>
            </w:pPr>
            <w:r>
              <w:t xml:space="preserve">1500</w:t>
            </w:r>
          </w:p>
        </w:tc>
        <w:tc>
          <w:tcPr/>
          <w:p>
            <w:pPr>
              <w:pStyle w:val="Compact"/>
              <w:jc w:val="left"/>
            </w:pPr>
            <w:r>
              <w:t xml:space="preserve">km</w:t>
            </w:r>
          </w:p>
        </w:tc>
        <w:tc>
          <w:tcPr/>
          <w:p>
            <w:pPr>
              <w:pStyle w:val="Compact"/>
              <w:jc w:val="left"/>
            </w:pPr>
            <w:r>
              <w:t xml:space="preserve">(Value from jhsvqyyeor)</w:t>
            </w:r>
          </w:p>
        </w:tc>
      </w:tr>
      <w:tr>
        <w:tc>
          <w:tcPr/>
          <w:p>
            <w:pPr>
              <w:pStyle w:val="Compact"/>
              <w:jc w:val="left"/>
            </w:pPr>
            <w:r>
              <w:t xml:space="preserve">Last-Mile Delivery Channel</w:t>
            </w:r>
          </w:p>
        </w:tc>
        <w:tc>
          <w:tcPr/>
          <w:p>
            <w:pPr>
              <w:pStyle w:val="Compact"/>
              <w:jc w:val="left"/>
            </w:pPr>
            <w:r>
              <w:t xml:space="preserve">Parcel Delivery Van (Urban)</w:t>
            </w:r>
          </w:p>
        </w:tc>
        <w:tc>
          <w:tcPr/>
          <w:p>
            <w:pPr>
              <w:pStyle w:val="Compact"/>
              <w:jc w:val="left"/>
            </w:pPr>
            <w:r>
              <w:t xml:space="preserve">-</w:t>
            </w:r>
          </w:p>
        </w:tc>
        <w:tc>
          <w:tcPr/>
          <w:p>
            <w:pPr>
              <w:pStyle w:val="Compact"/>
              <w:jc w:val="left"/>
            </w:pPr>
            <w:r>
              <w:t xml:space="preserve">(Value from Delivery Type)</w:t>
            </w:r>
          </w:p>
        </w:tc>
      </w:tr>
      <w:tr>
        <w:tc>
          <w:tcPr/>
          <w:p>
            <w:pPr>
              <w:pStyle w:val="Compact"/>
              <w:jc w:val="left"/>
            </w:pPr>
            <w:r>
              <w:t xml:space="preserve">Emission Factor - Road Freight (Heavy Duty Truck)</w:t>
            </w:r>
          </w:p>
        </w:tc>
        <w:tc>
          <w:tcPr/>
          <w:p>
            <w:pPr>
              <w:pStyle w:val="Compact"/>
              <w:jc w:val="left"/>
            </w:pPr>
            <w:r>
              <w:t xml:space="preserve">0.09</w:t>
            </w:r>
          </w:p>
        </w:tc>
        <w:tc>
          <w:tcPr/>
          <w:p>
            <w:pPr>
              <w:pStyle w:val="Compact"/>
              <w:jc w:val="left"/>
            </w:pPr>
            <w:r>
              <w:t xml:space="preserve">kgCO2e/tkm</w:t>
            </w:r>
          </w:p>
        </w:tc>
        <w:tc>
          <w:tcPr/>
          <w:p>
            <w:pPr>
              <w:pStyle w:val="Compact"/>
              <w:jc w:val="left"/>
            </w:pPr>
            <w:r>
              <w:t xml:space="preserve">Illustrative (e.g., DEFRA 2023)</w:t>
            </w:r>
          </w:p>
        </w:tc>
      </w:tr>
      <w:tr>
        <w:tc>
          <w:tcPr/>
          <w:p>
            <w:pPr>
              <w:pStyle w:val="Compact"/>
              <w:jc w:val="left"/>
            </w:pPr>
            <w:r>
              <w:t xml:space="preserve">Emission Factor - Parcel Delivery Van</w:t>
            </w:r>
          </w:p>
        </w:tc>
        <w:tc>
          <w:tcPr/>
          <w:p>
            <w:pPr>
              <w:pStyle w:val="Compact"/>
              <w:jc w:val="left"/>
            </w:pPr>
            <w:r>
              <w:t xml:space="preserve">0.5</w:t>
            </w:r>
          </w:p>
        </w:tc>
        <w:tc>
          <w:tcPr/>
          <w:p>
            <w:pPr>
              <w:pStyle w:val="Compact"/>
              <w:jc w:val="left"/>
            </w:pPr>
            <w:r>
              <w:t xml:space="preserve">kgCO2e/delivery</w:t>
            </w:r>
          </w:p>
        </w:tc>
        <w:tc>
          <w:tcPr/>
          <w:p>
            <w:pPr>
              <w:pStyle w:val="Compact"/>
              <w:jc w:val="left"/>
            </w:pPr>
            <w:r>
              <w:t xml:space="preserve">Illustrative (e.g., average parcel delivery)</w:t>
            </w:r>
          </w:p>
        </w:tc>
      </w:tr>
      <w:tr>
        <w:tc>
          <w:tcPr/>
          <w:p>
            <w:pPr>
              <w:pStyle w:val="Compact"/>
              <w:jc w:val="left"/>
            </w:pPr>
            <w:r>
              <w:t xml:space="preserve">Product Mass</w:t>
            </w:r>
          </w:p>
        </w:tc>
        <w:tc>
          <w:tcPr/>
          <w:p>
            <w:pPr>
              <w:pStyle w:val="Compact"/>
              <w:jc w:val="left"/>
            </w:pPr>
            <w:r>
              <w:t xml:space="preserve">0.87</w:t>
            </w:r>
          </w:p>
        </w:tc>
        <w:tc>
          <w:tcPr/>
          <w:p>
            <w:pPr>
              <w:pStyle w:val="Compact"/>
              <w:jc w:val="left"/>
            </w:pPr>
            <w:r>
              <w:t xml:space="preserve">kg</w:t>
            </w:r>
          </w:p>
        </w:tc>
        <w:tc>
          <w:tcPr/>
          <w:p>
            <w:pPr>
              <w:pStyle w:val="Compact"/>
              <w:jc w:val="left"/>
            </w:pPr>
            <w:r>
              <w:t xml:space="preserve">Sum of BOM quantities</w:t>
            </w:r>
          </w:p>
        </w:tc>
      </w:tr>
    </w:tbl>
    <w:bookmarkEnd w:id="31"/>
    <w:bookmarkEnd w:id="32"/>
    <w:bookmarkStart w:id="34" w:name="use-phase-scope-3---downstream"/>
    <w:p>
      <w:pPr>
        <w:pStyle w:val="Heading3"/>
      </w:pPr>
      <w:r>
        <w:t xml:space="preserve">2.4. Use Phase (Scope 3 - Downstream)</w:t>
      </w:r>
    </w:p>
    <w:p>
      <w:pPr>
        <w:pStyle w:val="FirstParagraph"/>
      </w:pPr>
      <w:r>
        <w:t xml:space="preserve">The energy consumption during the product\'s lifespan is a significant contributor to its overall footprint, particularly for electronics. The provided durability and consumption data are integrated.</w:t>
      </w:r>
    </w:p>
    <w:p>
      <w:pPr>
        <w:numPr>
          <w:ilvl w:val="0"/>
          <w:numId w:val="1004"/>
        </w:numPr>
        <w:pStyle w:val="Compact"/>
      </w:pPr>
      <w:r>
        <w:rPr>
          <w:bCs/>
          <w:b/>
        </w:rPr>
        <w:t xml:space="preserve">Product Lifespan:</w:t>
      </w:r>
      <w:r>
        <w:t xml:space="preserve"> </w:t>
      </w:r>
      <w:r>
        <w:rPr>
          <w:bCs/>
          <w:b/>
        </w:rPr>
        <w:t xml:space="preserve">eivehpmhfz</w:t>
      </w:r>
      <w:r>
        <w:t xml:space="preserve"> </w:t>
      </w:r>
      <w:r>
        <w:t xml:space="preserve">(Illustrative: 5 years).</w:t>
      </w:r>
    </w:p>
    <w:p>
      <w:pPr>
        <w:numPr>
          <w:ilvl w:val="0"/>
          <w:numId w:val="1004"/>
        </w:numPr>
        <w:pStyle w:val="Compact"/>
      </w:pPr>
      <w:r>
        <w:rPr>
          <w:bCs/>
          <w:b/>
        </w:rPr>
        <w:t xml:space="preserve">Energy Consumption in Use:</w:t>
      </w:r>
      <w:r>
        <w:t xml:space="preserve"> </w:t>
      </w:r>
      <w:r>
        <w:rPr>
          <w:bCs/>
          <w:b/>
        </w:rPr>
        <w:t xml:space="preserve">vjtutprjhr</w:t>
      </w:r>
      <w:r>
        <w:t xml:space="preserve"> </w:t>
      </w:r>
      <w:r>
        <w:t xml:space="preserve">(Illustrative: 10 kWh/year).</w:t>
      </w:r>
    </w:p>
    <w:p>
      <w:pPr>
        <w:numPr>
          <w:ilvl w:val="0"/>
          <w:numId w:val="1004"/>
        </w:numPr>
        <w:pStyle w:val="Compact"/>
      </w:pPr>
      <w:r>
        <w:rPr>
          <w:bCs/>
          <w:b/>
        </w:rPr>
        <w:t xml:space="preserve">Emission Factor for Electricity in Use:</w:t>
      </w:r>
      <w:r>
        <w:t xml:space="preserve"> </w:t>
      </w:r>
      <w:r>
        <w:t xml:space="preserve">Illustrative: 0.4 kgCO2e/kWh (global average, or regional if specified by user location).</w:t>
      </w:r>
    </w:p>
    <w:bookmarkStart w:id="33" w:name="use-phase-data"/>
    <w:p>
      <w:pPr>
        <w:pStyle w:val="Heading4"/>
      </w:pPr>
      <w:r>
        <w:t xml:space="preserve">Use Phase Data</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Product Lifespan</w:t>
            </w:r>
          </w:p>
        </w:tc>
        <w:tc>
          <w:tcPr/>
          <w:p>
            <w:pPr>
              <w:pStyle w:val="Compact"/>
              <w:jc w:val="left"/>
            </w:pPr>
            <w:r>
              <w:t xml:space="preserve">5</w:t>
            </w:r>
          </w:p>
        </w:tc>
        <w:tc>
          <w:tcPr/>
          <w:p>
            <w:pPr>
              <w:pStyle w:val="Compact"/>
              <w:jc w:val="left"/>
            </w:pPr>
            <w:r>
              <w:t xml:space="preserve">years</w:t>
            </w:r>
          </w:p>
        </w:tc>
        <w:tc>
          <w:tcPr/>
          <w:p>
            <w:pPr>
              <w:pStyle w:val="Compact"/>
              <w:jc w:val="left"/>
            </w:pPr>
            <w:r>
              <w:t xml:space="preserve">(Value from eivehpmhfz)</w:t>
            </w:r>
          </w:p>
        </w:tc>
      </w:tr>
      <w:tr>
        <w:tc>
          <w:tcPr/>
          <w:p>
            <w:pPr>
              <w:pStyle w:val="Compact"/>
              <w:jc w:val="left"/>
            </w:pPr>
            <w:r>
              <w:t xml:space="preserve">Energy Consumption in Use per Year</w:t>
            </w:r>
          </w:p>
        </w:tc>
        <w:tc>
          <w:tcPr/>
          <w:p>
            <w:pPr>
              <w:pStyle w:val="Compact"/>
              <w:jc w:val="left"/>
            </w:pPr>
            <w:r>
              <w:t xml:space="preserve">10</w:t>
            </w:r>
          </w:p>
        </w:tc>
        <w:tc>
          <w:tcPr/>
          <w:p>
            <w:pPr>
              <w:pStyle w:val="Compact"/>
              <w:jc w:val="left"/>
            </w:pPr>
            <w:r>
              <w:t xml:space="preserve">kWh/year</w:t>
            </w:r>
          </w:p>
        </w:tc>
        <w:tc>
          <w:tcPr/>
          <w:p>
            <w:pPr>
              <w:pStyle w:val="Compact"/>
              <w:jc w:val="left"/>
            </w:pPr>
            <w:r>
              <w:t xml:space="preserve">(Value from vjtutprjhr)</w:t>
            </w:r>
          </w:p>
        </w:tc>
      </w:tr>
      <w:tr>
        <w:tc>
          <w:tcPr/>
          <w:p>
            <w:pPr>
              <w:pStyle w:val="Compact"/>
              <w:jc w:val="left"/>
            </w:pPr>
            <w:r>
              <w:t xml:space="preserve">Electricity Emission Factor (Use Phase)</w:t>
            </w:r>
          </w:p>
        </w:tc>
        <w:tc>
          <w:tcPr/>
          <w:p>
            <w:pPr>
              <w:pStyle w:val="Compact"/>
              <w:jc w:val="left"/>
            </w:pPr>
            <w:r>
              <w:t xml:space="preserve">0.4</w:t>
            </w:r>
          </w:p>
        </w:tc>
        <w:tc>
          <w:tcPr/>
          <w:p>
            <w:pPr>
              <w:pStyle w:val="Compact"/>
              <w:jc w:val="left"/>
            </w:pPr>
            <w:r>
              <w:t xml:space="preserve">kgCO2e/kWh</w:t>
            </w:r>
          </w:p>
        </w:tc>
        <w:tc>
          <w:tcPr/>
          <w:p>
            <w:pPr>
              <w:pStyle w:val="Compact"/>
              <w:jc w:val="left"/>
            </w:pPr>
            <w:r>
              <w:t xml:space="preserve">Illustrative, average global grid mix</w:t>
            </w:r>
          </w:p>
        </w:tc>
      </w:tr>
    </w:tbl>
    <w:bookmarkEnd w:id="33"/>
    <w:bookmarkEnd w:id="34"/>
    <w:bookmarkStart w:id="36" w:name="end-of-life-eol-scope-3---downstream"/>
    <w:p>
      <w:pPr>
        <w:pStyle w:val="Heading3"/>
      </w:pPr>
      <w:r>
        <w:t xml:space="preserve">2.5. End-of-Life (EoL) (Scope 3 - Downstream)</w:t>
      </w:r>
    </w:p>
    <w:p>
      <w:pPr>
        <w:pStyle w:val="FirstParagraph"/>
      </w:pPr>
      <w:r>
        <w:t xml:space="preserve">This stage accounts for emissions or avoided emissions associated with the product\'s disposal, recycling, or participation in circular economy programs.</w:t>
      </w:r>
    </w:p>
    <w:p>
      <w:pPr>
        <w:numPr>
          <w:ilvl w:val="0"/>
          <w:numId w:val="1005"/>
        </w:numPr>
        <w:pStyle w:val="Compact"/>
      </w:pPr>
      <w:r>
        <w:rPr>
          <w:bCs/>
          <w:b/>
        </w:rPr>
        <w:t xml:space="preserve">Recyclability Percentage:</w:t>
      </w:r>
      <w:r>
        <w:t xml:space="preserve"> </w:t>
      </w:r>
      <w:r>
        <w:rPr>
          <w:bCs/>
          <w:b/>
        </w:rPr>
        <w:t xml:space="preserve">yzeulxjefn</w:t>
      </w:r>
      <w:r>
        <w:t xml:space="preserve"> </w:t>
      </w:r>
      <w:r>
        <w:t xml:space="preserve">(Illustrative: 80%).</w:t>
      </w:r>
    </w:p>
    <w:p>
      <w:pPr>
        <w:numPr>
          <w:ilvl w:val="0"/>
          <w:numId w:val="1005"/>
        </w:numPr>
        <w:pStyle w:val="Compact"/>
      </w:pPr>
      <w:r>
        <w:rPr>
          <w:bCs/>
          <w:b/>
        </w:rPr>
        <w:t xml:space="preserve">Circular/Take-back Programs:</w:t>
      </w:r>
      <w:r>
        <w:t xml:space="preserve"> </w:t>
      </w:r>
      <w:r>
        <w:rPr>
          <w:bCs/>
          <w:b/>
        </w:rPr>
        <w:t xml:space="preserve">yokxqiepvj</w:t>
      </w:r>
      <w:r>
        <w:t xml:space="preserve"> </w:t>
      </w:r>
      <w:r>
        <w:t xml:space="preserve">(Illustrative: Product Take-back Program, Material Recovery Facilities).</w:t>
      </w:r>
    </w:p>
    <w:p>
      <w:pPr>
        <w:numPr>
          <w:ilvl w:val="0"/>
          <w:numId w:val="1005"/>
        </w:numPr>
        <w:pStyle w:val="Compact"/>
      </w:pPr>
      <w:r>
        <w:rPr>
          <w:bCs/>
          <w:b/>
        </w:rPr>
        <w:t xml:space="preserve">Avoided Emissions from Recycling:</w:t>
      </w:r>
      <w:r>
        <w:t xml:space="preserve"> </w:t>
      </w:r>
      <w:r>
        <w:t xml:space="preserve">Illustrative: -1.5 kgCO2e/kg for recycled materials (average across metals/plastics).</w:t>
      </w:r>
    </w:p>
    <w:p>
      <w:pPr>
        <w:numPr>
          <w:ilvl w:val="0"/>
          <w:numId w:val="1005"/>
        </w:numPr>
        <w:pStyle w:val="Compact"/>
      </w:pPr>
      <w:r>
        <w:rPr>
          <w:bCs/>
          <w:b/>
        </w:rPr>
        <w:t xml:space="preserve">Emissions from Landfilling/Incineration:</w:t>
      </w:r>
      <w:r>
        <w:t xml:space="preserve"> </w:t>
      </w:r>
      <w:r>
        <w:t xml:space="preserve">Illustrative: 0.1 kgCO2e/kg for non-recycled waste.</w:t>
      </w:r>
    </w:p>
    <w:bookmarkStart w:id="35" w:name="end-of-life-scenarios"/>
    <w:p>
      <w:pPr>
        <w:pStyle w:val="Heading4"/>
      </w:pPr>
      <w:r>
        <w:t xml:space="preserve">End-of-Life Scenarios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Recyclability Percentage</w:t>
            </w:r>
          </w:p>
        </w:tc>
        <w:tc>
          <w:tcPr/>
          <w:p>
            <w:pPr>
              <w:pStyle w:val="Compact"/>
              <w:jc w:val="left"/>
            </w:pPr>
            <w:r>
              <w:t xml:space="preserve">80</w:t>
            </w:r>
          </w:p>
        </w:tc>
        <w:tc>
          <w:tcPr/>
          <w:p>
            <w:pPr>
              <w:pStyle w:val="Compact"/>
              <w:jc w:val="left"/>
            </w:pPr>
            <w:r>
              <w:t xml:space="preserve">%</w:t>
            </w:r>
          </w:p>
        </w:tc>
        <w:tc>
          <w:tcPr/>
          <w:p>
            <w:pPr>
              <w:pStyle w:val="Compact"/>
              <w:jc w:val="left"/>
            </w:pPr>
            <w:r>
              <w:t xml:space="preserve">(Value from yzeulxjefn)</w:t>
            </w:r>
          </w:p>
        </w:tc>
      </w:tr>
      <w:tr>
        <w:tc>
          <w:tcPr/>
          <w:p>
            <w:pPr>
              <w:pStyle w:val="Compact"/>
              <w:jc w:val="left"/>
            </w:pPr>
            <w:r>
              <w:t xml:space="preserve">Circular/Take-back Programs</w:t>
            </w:r>
          </w:p>
        </w:tc>
        <w:tc>
          <w:tcPr/>
          <w:p>
            <w:pPr>
              <w:pStyle w:val="Compact"/>
              <w:jc w:val="left"/>
            </w:pPr>
            <w:r>
              <w:t xml:space="preserve">Product Take-back Program, Material Recovery Facilities</w:t>
            </w:r>
          </w:p>
        </w:tc>
        <w:tc>
          <w:tcPr/>
          <w:p>
            <w:pPr>
              <w:pStyle w:val="Compact"/>
              <w:jc w:val="left"/>
            </w:pPr>
            <w:r>
              <w:t xml:space="preserve">-</w:t>
            </w:r>
          </w:p>
        </w:tc>
        <w:tc>
          <w:tcPr/>
          <w:p>
            <w:pPr>
              <w:pStyle w:val="Compact"/>
              <w:jc w:val="left"/>
            </w:pPr>
            <w:r>
              <w:t xml:space="preserve">(Value from yokxqiepvj)</w:t>
            </w:r>
          </w:p>
        </w:tc>
      </w:tr>
      <w:tr>
        <w:tc>
          <w:tcPr/>
          <w:p>
            <w:pPr>
              <w:pStyle w:val="Compact"/>
              <w:jc w:val="left"/>
            </w:pPr>
            <w:r>
              <w:t xml:space="preserve">Avoided Emissions from Recycling (Illustrative Avg.)</w:t>
            </w:r>
          </w:p>
        </w:tc>
        <w:tc>
          <w:tcPr/>
          <w:p>
            <w:pPr>
              <w:pStyle w:val="Compact"/>
              <w:jc w:val="left"/>
            </w:pPr>
            <w:r>
              <w:t xml:space="preserve">-1.5</w:t>
            </w:r>
          </w:p>
        </w:tc>
        <w:tc>
          <w:tcPr/>
          <w:p>
            <w:pPr>
              <w:pStyle w:val="Compact"/>
              <w:jc w:val="left"/>
            </w:pPr>
            <w:r>
              <w:t xml:space="preserve">kgCO2e/kg</w:t>
            </w:r>
          </w:p>
        </w:tc>
        <w:tc>
          <w:tcPr/>
          <w:p>
            <w:pPr>
              <w:pStyle w:val="Compact"/>
              <w:jc w:val="left"/>
            </w:pPr>
            <w:r>
              <w:t xml:space="preserve">Average benefit for common materials</w:t>
            </w:r>
          </w:p>
        </w:tc>
      </w:tr>
      <w:tr>
        <w:tc>
          <w:tcPr/>
          <w:p>
            <w:pPr>
              <w:pStyle w:val="Compact"/>
              <w:jc w:val="left"/>
            </w:pPr>
            <w:r>
              <w:t xml:space="preserve">Disposal Emissions (Illustrative Avg.)</w:t>
            </w:r>
          </w:p>
        </w:tc>
        <w:tc>
          <w:tcPr/>
          <w:p>
            <w:pPr>
              <w:pStyle w:val="Compact"/>
              <w:jc w:val="left"/>
            </w:pPr>
            <w:r>
              <w:t xml:space="preserve">0.1</w:t>
            </w:r>
          </w:p>
        </w:tc>
        <w:tc>
          <w:tcPr/>
          <w:p>
            <w:pPr>
              <w:pStyle w:val="Compact"/>
              <w:jc w:val="left"/>
            </w:pPr>
            <w:r>
              <w:t xml:space="preserve">kgCO2e/kg</w:t>
            </w:r>
          </w:p>
        </w:tc>
        <w:tc>
          <w:tcPr/>
          <w:p>
            <w:pPr>
              <w:pStyle w:val="Compact"/>
              <w:jc w:val="left"/>
            </w:pPr>
            <w:r>
              <w:t xml:space="preserve">Average for landfill/incineration</w:t>
            </w:r>
          </w:p>
        </w:tc>
      </w:tr>
    </w:tbl>
    <w:p>
      <w:r>
        <w:pict>
          <v:rect style="width:0;height:1.5pt" o:hralign="center" o:hrstd="t" o:hr="t"/>
        </w:pict>
      </w:r>
    </w:p>
    <w:bookmarkEnd w:id="35"/>
    <w:bookmarkEnd w:id="36"/>
    <w:bookmarkEnd w:id="37"/>
    <w:bookmarkStart w:id="47" w:name="X439a6e6dcb43c636bf515ffaf3f59bce0bd6490"/>
    <w:p>
      <w:pPr>
        <w:pStyle w:val="Heading2"/>
      </w:pPr>
      <w:r>
        <w:t xml:space="preserve">4. Emission Calculation (Activity * Emission Factor = CO2e)</w:t>
      </w:r>
    </w:p>
    <w:p>
      <w:pPr>
        <w:pStyle w:val="FirstParagraph"/>
      </w:pPr>
      <w:r>
        <w:t xml:space="preserve">Emissions are calculated for each lifecycle stage and categorized according to the GHG Protocol Scopes. Industry-standard emission factors (e.g., from Ecoinvent/DEFRA) are used where specific factors are not provided in the BOM.</w:t>
      </w:r>
    </w:p>
    <w:bookmarkStart w:id="38" w:name="Xa5e05c0e793b2e3b8927cb1b228e81f97f2094b"/>
    <w:p>
      <w:pPr>
        <w:pStyle w:val="Heading3"/>
      </w:pPr>
      <w:r>
        <w:t xml:space="preserve">4.1. Scope 1 Emissions (Direct Emissions from Owned or Controlled Sources)</w:t>
      </w:r>
    </w:p>
    <w:p>
      <w:pPr>
        <w:pStyle w:val="FirstParagraph"/>
      </w:pPr>
      <w:r>
        <w:t xml:space="preserve">For the manufacturing phase, it is assumed that direct emissions from on-site fuel combustion are minimal for assembly operations. If specific data for fuel consumption at the</w:t>
      </w:r>
      <w:r>
        <w:t xml:space="preserve"> </w:t>
      </w:r>
      <w:r>
        <w:rPr>
          <w:bCs/>
          <w:b/>
        </w:rPr>
        <w:t xml:space="preserve">wugezltfwh</w:t>
      </w:r>
      <w:r>
        <w:t xml:space="preserve"> </w:t>
      </w:r>
      <w:r>
        <w:t xml:space="preserve">facility were provided, it would be included here.</w:t>
      </w:r>
    </w:p>
    <w:p>
      <w:pPr>
        <w:numPr>
          <w:ilvl w:val="0"/>
          <w:numId w:val="1006"/>
        </w:numPr>
        <w:pStyle w:val="Compact"/>
      </w:pPr>
      <w:r>
        <w:rPr>
          <w:bCs/>
          <w:b/>
        </w:rPr>
        <w:t xml:space="preserve">Manufacturing (Illustrative):</w:t>
      </w:r>
      <w:r>
        <w:t xml:space="preserve"> </w:t>
      </w:r>
      <w:r>
        <w:t xml:space="preserve">0.05 kgCO2e/unit</w:t>
      </w:r>
    </w:p>
    <w:p>
      <w:pPr>
        <w:pStyle w:val="FirstParagraph"/>
      </w:pPr>
      <w:r>
        <w:rPr>
          <w:bCs/>
          <w:b/>
        </w:rPr>
        <w:t xml:space="preserve">Total Scope 1 Emissions:</w:t>
      </w:r>
      <w:r>
        <w:t xml:space="preserve"> </w:t>
      </w:r>
      <w:r>
        <w:t xml:space="preserve">0.05 kgCO2e/unit</w:t>
      </w:r>
    </w:p>
    <w:bookmarkEnd w:id="38"/>
    <w:bookmarkStart w:id="39" w:name="X1bd5ed5ba51603fe7fc5fd46de6dc3081dfffbb"/>
    <w:p>
      <w:pPr>
        <w:pStyle w:val="Heading3"/>
      </w:pPr>
      <w:r>
        <w:t xml:space="preserve">4.2. Scope 2 Emissions (Indirect Emissions from Purchased Energy)</w:t>
      </w:r>
    </w:p>
    <w:p>
      <w:pPr>
        <w:pStyle w:val="FirstParagraph"/>
      </w:pPr>
      <w:r>
        <w:t xml:space="preserve">These emissions arise from the generation of purchased electricity consumed during the manufacturing of</w:t>
      </w:r>
      <w:r>
        <w:t xml:space="preserve"> </w:t>
      </w:r>
      <w:r>
        <w:rPr>
          <w:bCs/>
          <w:b/>
        </w:rPr>
        <w:t xml:space="preserve">xoothxrnvy</w:t>
      </w:r>
      <w:r>
        <w:t xml:space="preserve"> </w:t>
      </w:r>
      <w:r>
        <w:t xml:space="preserve">at the</w:t>
      </w:r>
      <w:r>
        <w:t xml:space="preserve"> </w:t>
      </w:r>
      <w:r>
        <w:rPr>
          <w:bCs/>
          <w:b/>
        </w:rPr>
        <w:t xml:space="preserve">wugezltfwh</w:t>
      </w:r>
      <w:r>
        <w:t xml:space="preserve"> </w:t>
      </w:r>
      <w:r>
        <w:t xml:space="preserve">facility.</w:t>
      </w:r>
    </w:p>
    <w:p>
      <w:pPr>
        <w:numPr>
          <w:ilvl w:val="0"/>
          <w:numId w:val="1007"/>
        </w:numPr>
        <w:pStyle w:val="Compact"/>
      </w:pPr>
      <w:r>
        <w:t xml:space="preserve">Total Energy Consumption: 1.2 kWh/unit (upltzkxngh)</w:t>
      </w:r>
    </w:p>
    <w:p>
      <w:pPr>
        <w:numPr>
          <w:ilvl w:val="0"/>
          <w:numId w:val="1007"/>
        </w:numPr>
        <w:pStyle w:val="Compact"/>
      </w:pPr>
      <w:r>
        <w:t xml:space="preserve">Non-Renewable Energy Consumption: 1.2 kWh/unit * (1 - 0.75) = 0.3 kWh/unit</w:t>
      </w:r>
    </w:p>
    <w:p>
      <w:pPr>
        <w:numPr>
          <w:ilvl w:val="0"/>
          <w:numId w:val="1007"/>
        </w:numPr>
        <w:pStyle w:val="Compact"/>
      </w:pPr>
      <w:r>
        <w:t xml:space="preserve">Grid Electricity Emission Factor (China): 0.6 kgCO2e/kWh</w:t>
      </w:r>
    </w:p>
    <w:p>
      <w:pPr>
        <w:numPr>
          <w:ilvl w:val="0"/>
          <w:numId w:val="1007"/>
        </w:numPr>
        <w:pStyle w:val="Compact"/>
      </w:pPr>
      <w:r>
        <w:rPr>
          <w:bCs/>
          <w:b/>
        </w:rPr>
        <w:t xml:space="preserve">Calculation:</w:t>
      </w:r>
      <w:r>
        <w:t xml:space="preserve"> </w:t>
      </w:r>
      <w:r>
        <w:t xml:space="preserve">0.3 kWh/unit * 0.6 kgCO2e/kWh = 0.18 kgCO2e/unit</w:t>
      </w:r>
    </w:p>
    <w:p>
      <w:pPr>
        <w:pStyle w:val="FirstParagraph"/>
      </w:pPr>
      <w:r>
        <w:rPr>
          <w:bCs/>
          <w:b/>
        </w:rPr>
        <w:t xml:space="preserve">Total Scope 2 Emissions:</w:t>
      </w:r>
      <w:r>
        <w:t xml:space="preserve"> </w:t>
      </w:r>
      <w:r>
        <w:t xml:space="preserve">0.18 kgCO2e/unit</w:t>
      </w:r>
    </w:p>
    <w:bookmarkEnd w:id="39"/>
    <w:bookmarkStart w:id="45" w:name="Xc2eb369f14d79e9c80066dcd090086d0b2cb03d"/>
    <w:p>
      <w:pPr>
        <w:pStyle w:val="Heading3"/>
      </w:pPr>
      <w:r>
        <w:t xml:space="preserve">4.3. Scope 3 Emissions (Indirect Emissions from Value Chain)</w:t>
      </w:r>
    </w:p>
    <w:p>
      <w:pPr>
        <w:pStyle w:val="FirstParagraph"/>
      </w:pPr>
      <w:r>
        <w:t xml:space="preserve">Scope 3 emissions constitute the largest portion of the product\'s footprint, covering upstream and downstream activities.</w:t>
      </w:r>
    </w:p>
    <w:bookmarkStart w:id="40" w:name="Xe0ac96a1e8a24ab825931d79d65a114ba0aea01"/>
    <w:p>
      <w:pPr>
        <w:pStyle w:val="Heading4"/>
      </w:pPr>
      <w:r>
        <w:t xml:space="preserve">4.3.1. Materials Acquisition &amp; Pre-processing (Category 1: Purchased Goods and Services)</w:t>
      </w:r>
    </w:p>
    <w:p>
      <w:pPr>
        <w:pStyle w:val="FirstParagraph"/>
      </w:pPr>
      <w:r>
        <w:t xml:space="preserve">These are derived directly from the "Total Carbon" column of the provided BOM (</w:t>
      </w:r>
      <w:r>
        <w:rPr>
          <w:bCs/>
          <w:b/>
        </w:rPr>
        <w:t xml:space="preserve">thserdgk</w:t>
      </w:r>
      <w:r>
        <w:t xml:space="preserve">).</w:t>
      </w:r>
    </w:p>
    <w:p>
      <w:pPr>
        <w:numPr>
          <w:ilvl w:val="0"/>
          <w:numId w:val="1008"/>
        </w:numPr>
        <w:pStyle w:val="Compact"/>
      </w:pPr>
      <w:r>
        <w:t xml:space="preserve">Aluminum Casing: 3.06 kgCO2e</w:t>
      </w:r>
    </w:p>
    <w:p>
      <w:pPr>
        <w:numPr>
          <w:ilvl w:val="0"/>
          <w:numId w:val="1008"/>
        </w:numPr>
        <w:pStyle w:val="Compact"/>
      </w:pPr>
      <w:r>
        <w:t xml:space="preserve">ABS Plastic Enclosure: 0.55 kgCO2e</w:t>
      </w:r>
    </w:p>
    <w:p>
      <w:pPr>
        <w:numPr>
          <w:ilvl w:val="0"/>
          <w:numId w:val="1008"/>
        </w:numPr>
        <w:pStyle w:val="Compact"/>
      </w:pPr>
      <w:r>
        <w:t xml:space="preserve">Lithium-Ion Battery: 1.85 kgCO2e</w:t>
      </w:r>
    </w:p>
    <w:p>
      <w:pPr>
        <w:numPr>
          <w:ilvl w:val="0"/>
          <w:numId w:val="1008"/>
        </w:numPr>
        <w:pStyle w:val="Compact"/>
      </w:pPr>
      <w:r>
        <w:t xml:space="preserve">Printed Circuit Board (PCB): 0.75 kgCO2e</w:t>
      </w:r>
    </w:p>
    <w:p>
      <w:pPr>
        <w:numPr>
          <w:ilvl w:val="0"/>
          <w:numId w:val="1008"/>
        </w:numPr>
        <w:pStyle w:val="Compact"/>
      </w:pPr>
      <w:r>
        <w:t xml:space="preserve">Copper Wiring: 0.09 kgCO2e</w:t>
      </w:r>
    </w:p>
    <w:p>
      <w:pPr>
        <w:numPr>
          <w:ilvl w:val="0"/>
          <w:numId w:val="1008"/>
        </w:numPr>
        <w:pStyle w:val="Compact"/>
      </w:pPr>
      <w:r>
        <w:t xml:space="preserve">Packaging (Cardboard): 0.06 kgCO2e</w:t>
      </w:r>
    </w:p>
    <w:p>
      <w:pPr>
        <w:numPr>
          <w:ilvl w:val="0"/>
          <w:numId w:val="1008"/>
        </w:numPr>
        <w:pStyle w:val="Compact"/>
      </w:pPr>
      <w:r>
        <w:rPr>
          <w:bCs/>
          <w:b/>
        </w:rPr>
        <w:t xml:space="preserve">Sum of Illustrative BOM Total Carbon:</w:t>
      </w:r>
      <w:r>
        <w:t xml:space="preserve"> </w:t>
      </w:r>
      <w:r>
        <w:t xml:space="preserve">6.36 kgCO2e/unit</w:t>
      </w:r>
    </w:p>
    <w:p>
      <w:pPr>
        <w:pStyle w:val="FirstParagraph"/>
      </w:pPr>
      <w:r>
        <w:rPr>
          <w:bCs/>
          <w:b/>
        </w:rPr>
        <w:t xml:space="preserve">Total Scope 3 (Materials):</w:t>
      </w:r>
      <w:r>
        <w:t xml:space="preserve"> </w:t>
      </w:r>
      <w:r>
        <w:t xml:space="preserve">6.36 kgCO2e/unit</w:t>
      </w:r>
    </w:p>
    <w:bookmarkEnd w:id="40"/>
    <w:bookmarkStart w:id="41" w:name="Xc66b50900ab412bc53132f2460aedf6f796e2b8"/>
    <w:p>
      <w:pPr>
        <w:pStyle w:val="Heading4"/>
      </w:pPr>
      <w:r>
        <w:t xml:space="preserve">4.3.2. Transport &amp; Logistics (Categories 4 &amp; 9: Upstream and Downstream Transportation and Distribution)</w:t>
      </w:r>
    </w:p>
    <w:p>
      <w:pPr>
        <w:pStyle w:val="FirstParagraph"/>
      </w:pPr>
      <w:r>
        <w:t xml:space="preserve">This includes outbound transport and last-mile delivery.</w:t>
      </w:r>
    </w:p>
    <w:p>
      <w:pPr>
        <w:numPr>
          <w:ilvl w:val="0"/>
          <w:numId w:val="1009"/>
        </w:numPr>
        <w:pStyle w:val="Compact"/>
      </w:pPr>
      <w:r>
        <w:t xml:space="preserve">Product Mass: ~0.87 kg (assuming sum of BOM quantities)</w:t>
      </w:r>
    </w:p>
    <w:p>
      <w:pPr>
        <w:numPr>
          <w:ilvl w:val="0"/>
          <w:numId w:val="1009"/>
        </w:numPr>
        <w:pStyle w:val="Compact"/>
      </w:pPr>
      <w:r>
        <w:t xml:space="preserve">Outbound Transport (Road Freight): (0.87 kg / 1000 kg/t) * 1500 km * 0.09 kgCO2e/tkm = 0.117 kgCO2e/unit</w:t>
      </w:r>
    </w:p>
    <w:p>
      <w:pPr>
        <w:numPr>
          <w:ilvl w:val="0"/>
          <w:numId w:val="1009"/>
        </w:numPr>
        <w:pStyle w:val="Compact"/>
      </w:pPr>
      <w:r>
        <w:t xml:space="preserve">Last-Mile Delivery (Parcel Van): 0.5 kgCO2e/delivery = 0.5 kgCO2e/unit (assuming one delivery per unit)</w:t>
      </w:r>
    </w:p>
    <w:p>
      <w:pPr>
        <w:pStyle w:val="FirstParagraph"/>
      </w:pPr>
      <w:r>
        <w:rPr>
          <w:bCs/>
          <w:b/>
        </w:rPr>
        <w:t xml:space="preserve">Total Scope 3 (Transport):</w:t>
      </w:r>
      <w:r>
        <w:t xml:space="preserve"> </w:t>
      </w:r>
      <w:r>
        <w:t xml:space="preserve">0.117 + 0.5 = 0.617 kgCO2e/unit</w:t>
      </w:r>
    </w:p>
    <w:bookmarkEnd w:id="41"/>
    <w:bookmarkStart w:id="42" w:name="X8d12bf184da61ed1b86eb215c14cb92288143a6"/>
    <w:p>
      <w:pPr>
        <w:pStyle w:val="Heading4"/>
      </w:pPr>
      <w:r>
        <w:t xml:space="preserve">4.3.3. Use Phase (Category 11: Use of Sold Products)</w:t>
      </w:r>
    </w:p>
    <w:p>
      <w:pPr>
        <w:pStyle w:val="FirstParagraph"/>
      </w:pPr>
      <w:r>
        <w:t xml:space="preserve">Energy consumed by the product over its lifespan.</w:t>
      </w:r>
    </w:p>
    <w:p>
      <w:pPr>
        <w:numPr>
          <w:ilvl w:val="0"/>
          <w:numId w:val="1010"/>
        </w:numPr>
        <w:pStyle w:val="Compact"/>
      </w:pPr>
      <w:r>
        <w:t xml:space="preserve">Annual Energy Consumption: 10 kWh/year (vjtutprjhr)</w:t>
      </w:r>
    </w:p>
    <w:p>
      <w:pPr>
        <w:numPr>
          <w:ilvl w:val="0"/>
          <w:numId w:val="1010"/>
        </w:numPr>
        <w:pStyle w:val="Compact"/>
      </w:pPr>
      <w:r>
        <w:t xml:space="preserve">Product Lifespan: 5 years (eivehpmhfz)</w:t>
      </w:r>
    </w:p>
    <w:p>
      <w:pPr>
        <w:numPr>
          <w:ilvl w:val="0"/>
          <w:numId w:val="1010"/>
        </w:numPr>
        <w:pStyle w:val="Compact"/>
      </w:pPr>
      <w:r>
        <w:t xml:space="preserve">Total Energy in Use: 10 kWh/year * 5 years = 50 kWh/unit</w:t>
      </w:r>
    </w:p>
    <w:p>
      <w:pPr>
        <w:numPr>
          <w:ilvl w:val="0"/>
          <w:numId w:val="1010"/>
        </w:numPr>
        <w:pStyle w:val="Compact"/>
      </w:pPr>
      <w:r>
        <w:t xml:space="preserve">Electricity Emission Factor (Use Phase): 0.4 kgCO2e/kWh</w:t>
      </w:r>
    </w:p>
    <w:p>
      <w:pPr>
        <w:numPr>
          <w:ilvl w:val="0"/>
          <w:numId w:val="1010"/>
        </w:numPr>
        <w:pStyle w:val="Compact"/>
      </w:pPr>
      <w:r>
        <w:rPr>
          <w:bCs/>
          <w:b/>
        </w:rPr>
        <w:t xml:space="preserve">Calculation:</w:t>
      </w:r>
      <w:r>
        <w:t xml:space="preserve"> </w:t>
      </w:r>
      <w:r>
        <w:t xml:space="preserve">50 kWh/unit * 0.4 kgCO2e/kWh = 20.0 kgCO2e/unit</w:t>
      </w:r>
    </w:p>
    <w:p>
      <w:pPr>
        <w:pStyle w:val="FirstParagraph"/>
      </w:pPr>
      <w:r>
        <w:rPr>
          <w:bCs/>
          <w:b/>
        </w:rPr>
        <w:t xml:space="preserve">Total Scope 3 (Use Phase):</w:t>
      </w:r>
      <w:r>
        <w:t xml:space="preserve"> </w:t>
      </w:r>
      <w:r>
        <w:t xml:space="preserve">20.0 kgCO2e/unit</w:t>
      </w:r>
    </w:p>
    <w:bookmarkEnd w:id="42"/>
    <w:bookmarkStart w:id="43" w:name="X0be21310ab81f542a201c2c7e51858b701e7fc6"/>
    <w:p>
      <w:pPr>
        <w:pStyle w:val="Heading4"/>
      </w:pPr>
      <w:r>
        <w:t xml:space="preserve">4.3.4. End-of-Life (Category 12: End-of-Life Treatment of Sold Products)</w:t>
      </w:r>
    </w:p>
    <w:p>
      <w:pPr>
        <w:pStyle w:val="FirstParagraph"/>
      </w:pPr>
      <w:r>
        <w:t xml:space="preserve">Emissions and avoided emissions from disposal/recycling.</w:t>
      </w:r>
    </w:p>
    <w:p>
      <w:pPr>
        <w:numPr>
          <w:ilvl w:val="0"/>
          <w:numId w:val="1011"/>
        </w:numPr>
        <w:pStyle w:val="Compact"/>
      </w:pPr>
      <w:r>
        <w:t xml:space="preserve">Product Mass: 0.87 kg</w:t>
      </w:r>
    </w:p>
    <w:p>
      <w:pPr>
        <w:numPr>
          <w:ilvl w:val="0"/>
          <w:numId w:val="1011"/>
        </w:numPr>
        <w:pStyle w:val="Compact"/>
      </w:pPr>
      <w:r>
        <w:t xml:space="preserve">Recycled Portion: 0.87 kg * 80% = 0.696 kg</w:t>
      </w:r>
    </w:p>
    <w:p>
      <w:pPr>
        <w:numPr>
          <w:ilvl w:val="0"/>
          <w:numId w:val="1011"/>
        </w:numPr>
        <w:pStyle w:val="Compact"/>
      </w:pPr>
      <w:r>
        <w:t xml:space="preserve">Disposed Portion: 0.87 kg * 20% = 0.174 kg</w:t>
      </w:r>
    </w:p>
    <w:p>
      <w:pPr>
        <w:numPr>
          <w:ilvl w:val="0"/>
          <w:numId w:val="1011"/>
        </w:numPr>
        <w:pStyle w:val="Compact"/>
      </w:pPr>
      <w:r>
        <w:t xml:space="preserve">Avoided Emissions from Recycling: 0.696 kg * (-1.5 kgCO2e/kg) = -1.044 kgCO2e</w:t>
      </w:r>
    </w:p>
    <w:p>
      <w:pPr>
        <w:numPr>
          <w:ilvl w:val="0"/>
          <w:numId w:val="1011"/>
        </w:numPr>
        <w:pStyle w:val="Compact"/>
      </w:pPr>
      <w:r>
        <w:t xml:space="preserve">Emissions from Disposal: 0.174 kg * (0.1 kgCO2e/kg) = 0.0174 kgCO2e</w:t>
      </w:r>
    </w:p>
    <w:p>
      <w:pPr>
        <w:pStyle w:val="FirstParagraph"/>
      </w:pPr>
      <w:r>
        <w:rPr>
          <w:bCs/>
          <w:b/>
        </w:rPr>
        <w:t xml:space="preserve">Total Scope 3 (End-of-Life):</w:t>
      </w:r>
      <w:r>
        <w:t xml:space="preserve"> </w:t>
      </w:r>
      <w:r>
        <w:t xml:space="preserve">-1.044 + 0.0174 = -1.0266 kgCO2e/unit (Net Carbon Sequestration due to high recyclability benefit)</w:t>
      </w:r>
    </w:p>
    <w:bookmarkEnd w:id="43"/>
    <w:bookmarkStart w:id="44" w:name="X4445851c14d44f9a23021f1d53388bca2c4dd3d"/>
    <w:p>
      <w:pPr>
        <w:pStyle w:val="Heading4"/>
      </w:pPr>
      <w:r>
        <w:t xml:space="preserve">4.3.5. Land Sector and Removals (LSR) Standard (2026 Update)</w:t>
      </w:r>
    </w:p>
    <w:p>
      <w:pPr>
        <w:pStyle w:val="FirstParagraph"/>
      </w:pPr>
      <w:r>
        <w:t xml:space="preserve">The 2026 LSR Standard is applied to account for land use change emissions and carbon removals. For</w:t>
      </w:r>
      <w:r>
        <w:t xml:space="preserve"> </w:t>
      </w:r>
      <w:r>
        <w:rPr>
          <w:bCs/>
          <w:b/>
        </w:rPr>
        <w:t xml:space="preserve">xoothxrnvy</w:t>
      </w:r>
      <w:r>
        <w:t xml:space="preserve">, direct land use change is not explicitly defined in the parameters. However, the carbon sequestration associated with renewable energy sources (if bio-based or from managed forests) and the avoided emissions through recycling (reducing demand for virgin materials, which can have land use impacts) implicitly contribute to removals. If the product contained bio-based materials (e.g., sustainable wood), their biogenic carbon uptake and release would be quantified here. Given the current data, the primary LSR impact comes from avoided emissions via circularity and assumed sustainable sourcing within the supply chain focus.</w:t>
      </w:r>
    </w:p>
    <w:p>
      <w:pPr>
        <w:pStyle w:val="BodyText"/>
      </w:pPr>
      <w:r>
        <w:rPr>
          <w:bCs/>
          <w:b/>
        </w:rPr>
        <w:t xml:space="preserve">Total Scope 3 Emissions:</w:t>
      </w:r>
      <w:r>
        <w:t xml:space="preserve"> </w:t>
      </w:r>
      <w:r>
        <w:t xml:space="preserve">6.36 (Materials) + 0.617 (Transport) + 20.0 (Use Phase) - 1.0266 (EoL) = 25.9504 kgCO2e/unit</w:t>
      </w:r>
    </w:p>
    <w:bookmarkEnd w:id="44"/>
    <w:bookmarkEnd w:id="45"/>
    <w:bookmarkStart w:id="46" w:name="X3861157ecbca34c2fdb703884b706436e234d83"/>
    <w:p>
      <w:pPr>
        <w:pStyle w:val="Heading3"/>
      </w:pPr>
      <w:r>
        <w:t xml:space="preserve">Summary of Total Product Carbon Footprint (GHG Protocol Scopes)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Emissions (kgCO2e/unit)</w:t>
            </w:r>
          </w:p>
        </w:tc>
        <w:tc>
          <w:tcPr/>
          <w:p>
            <w:pPr>
              <w:pStyle w:val="Compact"/>
              <w:jc w:val="left"/>
            </w:pPr>
            <w:r>
              <w:t xml:space="preserve">Notes</w:t>
            </w:r>
          </w:p>
        </w:tc>
      </w:tr>
      <w:tr>
        <w:tc>
          <w:tcPr/>
          <w:p>
            <w:pPr>
              <w:pStyle w:val="Compact"/>
              <w:jc w:val="left"/>
            </w:pPr>
            <w:r>
              <w:t xml:space="preserve">Scope 1</w:t>
            </w:r>
          </w:p>
        </w:tc>
        <w:tc>
          <w:tcPr/>
          <w:p>
            <w:pPr>
              <w:pStyle w:val="Compact"/>
              <w:jc w:val="left"/>
            </w:pPr>
            <w:r>
              <w:t xml:space="preserve">Manufacturing (Direct Emissions)</w:t>
            </w:r>
          </w:p>
        </w:tc>
        <w:tc>
          <w:tcPr/>
          <w:p>
            <w:pPr>
              <w:pStyle w:val="Compact"/>
              <w:jc w:val="left"/>
            </w:pPr>
            <w:r>
              <w:t xml:space="preserve">0.05</w:t>
            </w:r>
          </w:p>
        </w:tc>
        <w:tc>
          <w:tcPr/>
          <w:p>
            <w:pPr>
              <w:pStyle w:val="Compact"/>
              <w:jc w:val="left"/>
            </w:pPr>
            <w:r>
              <w:t xml:space="preserve">Illustrative, facility-level emissions</w:t>
            </w:r>
          </w:p>
        </w:tc>
      </w:tr>
      <w:tr>
        <w:tc>
          <w:tcPr/>
          <w:p>
            <w:pPr>
              <w:pStyle w:val="Compact"/>
              <w:jc w:val="left"/>
            </w:pPr>
            <w:r>
              <w:t xml:space="preserve">Scope 2</w:t>
            </w:r>
          </w:p>
        </w:tc>
        <w:tc>
          <w:tcPr/>
          <w:p>
            <w:pPr>
              <w:pStyle w:val="Compact"/>
              <w:jc w:val="left"/>
            </w:pPr>
            <w:r>
              <w:t xml:space="preserve">Manufacturing (Purchased Electricity)</w:t>
            </w:r>
          </w:p>
        </w:tc>
        <w:tc>
          <w:tcPr/>
          <w:p>
            <w:pPr>
              <w:pStyle w:val="Compact"/>
              <w:jc w:val="left"/>
            </w:pPr>
            <w:r>
              <w:t xml:space="preserve">0.18</w:t>
            </w:r>
          </w:p>
        </w:tc>
        <w:tc>
          <w:tcPr/>
          <w:p>
            <w:pPr>
              <w:pStyle w:val="Compact"/>
              <w:jc w:val="left"/>
            </w:pPr>
            <w:r>
              <w:t xml:space="preserve">Based on non-renewable energy share and China grid mix</w:t>
            </w:r>
          </w:p>
        </w:tc>
      </w:tr>
      <w:tr>
        <w:tc>
          <w:tcPr>
            <w:vMerge w:val="restart"/>
          </w:tcPr>
          <w:p>
            <w:pPr>
              <w:pStyle w:val="Compact"/>
              <w:jc w:val="left"/>
            </w:pPr>
            <w:r>
              <w:t xml:space="preserve">Scope 3</w:t>
            </w:r>
          </w:p>
        </w:tc>
        <w:tc>
          <w:tcPr/>
          <w:p>
            <w:pPr>
              <w:pStyle w:val="Compact"/>
              <w:jc w:val="left"/>
            </w:pPr>
            <w:r>
              <w:t xml:space="preserve">Materials Acquisition &amp; Pre-processing</w:t>
            </w:r>
          </w:p>
        </w:tc>
        <w:tc>
          <w:tcPr/>
          <w:p>
            <w:pPr>
              <w:pStyle w:val="Compact"/>
              <w:jc w:val="left"/>
            </w:pPr>
            <w:r>
              <w:t xml:space="preserve">6.36</w:t>
            </w:r>
          </w:p>
        </w:tc>
        <w:tc>
          <w:tcPr/>
          <w:p>
            <w:pPr>
              <w:pStyle w:val="Compact"/>
              <w:jc w:val="left"/>
            </w:pPr>
            <w:r>
              <w:t xml:space="preserve">From Detailed BOM (thserdgk)</w:t>
            </w:r>
          </w:p>
        </w:tc>
      </w:tr>
      <w:tr>
        <w:tc>
          <w:tcPr>
            <w:gridSpan w:val="1"/>
            <w:vMerge w:val="continue"/>
          </w:tcPr>
          <w:p>
            <w:pPr/>
          </w:p>
        </w:tc>
        <w:tc>
          <w:tcPr/>
          <w:p>
            <w:pPr>
              <w:pStyle w:val="Compact"/>
              <w:jc w:val="left"/>
            </w:pPr>
            <w:r>
              <w:t xml:space="preserve">Transport &amp; Logistics</w:t>
            </w:r>
          </w:p>
        </w:tc>
        <w:tc>
          <w:tcPr/>
          <w:p>
            <w:pPr>
              <w:pStyle w:val="Compact"/>
              <w:jc w:val="left"/>
            </w:pPr>
            <w:r>
              <w:t xml:space="preserve">0.617</w:t>
            </w:r>
          </w:p>
        </w:tc>
        <w:tc>
          <w:tcPr/>
          <w:p>
            <w:pPr>
              <w:pStyle w:val="Compact"/>
              <w:jc w:val="left"/>
            </w:pPr>
            <w:r>
              <w:t xml:space="preserve">Outbound transport and last-mile delivery</w:t>
            </w:r>
          </w:p>
        </w:tc>
      </w:tr>
      <w:tr>
        <w:tc>
          <w:tcPr>
            <w:gridSpan w:val="1"/>
            <w:vMerge w:val="continue"/>
          </w:tcPr>
          <w:p>
            <w:pPr/>
          </w:p>
        </w:tc>
        <w:tc>
          <w:tcPr/>
          <w:p>
            <w:pPr>
              <w:pStyle w:val="Compact"/>
              <w:jc w:val="left"/>
            </w:pPr>
            <w:r>
              <w:t xml:space="preserve">Use Phase</w:t>
            </w:r>
          </w:p>
        </w:tc>
        <w:tc>
          <w:tcPr/>
          <w:p>
            <w:pPr>
              <w:pStyle w:val="Compact"/>
              <w:jc w:val="left"/>
            </w:pPr>
            <w:r>
              <w:t xml:space="preserve">20.00</w:t>
            </w:r>
          </w:p>
        </w:tc>
        <w:tc>
          <w:tcPr/>
          <w:p>
            <w:pPr>
              <w:pStyle w:val="Compact"/>
              <w:jc w:val="left"/>
            </w:pPr>
            <w:r>
              <w:t xml:space="preserve">Energy consumption over product lifespan</w:t>
            </w:r>
          </w:p>
        </w:tc>
      </w:tr>
      <w:tr>
        <w:tc>
          <w:tcPr>
            <w:gridSpan w:val="1"/>
            <w:vMerge w:val="continue"/>
          </w:tcPr>
          <w:p>
            <w:pPr/>
          </w:p>
        </w:tc>
        <w:tc>
          <w:tcPr/>
          <w:p>
            <w:pPr>
              <w:pStyle w:val="Compact"/>
              <w:jc w:val="left"/>
            </w:pPr>
            <w:r>
              <w:t xml:space="preserve">End-of-Life Treatment</w:t>
            </w:r>
          </w:p>
        </w:tc>
        <w:tc>
          <w:tcPr/>
          <w:p>
            <w:pPr>
              <w:pStyle w:val="Compact"/>
              <w:jc w:val="left"/>
            </w:pPr>
            <w:r>
              <w:t xml:space="preserve">-1.0266</w:t>
            </w:r>
          </w:p>
        </w:tc>
        <w:tc>
          <w:tcPr/>
          <w:p>
            <w:pPr>
              <w:pStyle w:val="Compact"/>
              <w:jc w:val="left"/>
            </w:pPr>
            <w:r>
              <w:t xml:space="preserve">Net benefit from high recyclability</w:t>
            </w:r>
          </w:p>
        </w:tc>
      </w:tr>
      <w:tr>
        <w:tc>
          <w:tcPr>
            <w:gridSpan w:val="2"/>
          </w:tcPr>
          <w:p>
            <w:pPr>
              <w:pStyle w:val="Compact"/>
              <w:jc w:val="left"/>
            </w:pPr>
            <w:r>
              <w:t xml:space="preserve">Total Product Carbon Footprint</w:t>
            </w:r>
          </w:p>
        </w:tc>
        <w:tc>
          <w:tcPr/>
          <w:p>
            <w:pPr>
              <w:pStyle w:val="Compact"/>
              <w:jc w:val="left"/>
            </w:pPr>
            <w:r>
              <w:t xml:space="preserve">26.1804</w:t>
            </w:r>
          </w:p>
        </w:tc>
        <w:tc>
          <w:tcPr/>
          <w:p>
            <w:pPr>
              <w:pStyle w:val="Compact"/>
            </w:pPr>
          </w:p>
        </w:tc>
      </w:tr>
    </w:tbl>
    <w:p>
      <w:pPr>
        <w:pStyle w:val="BodyText"/>
      </w:pPr>
      <w:r>
        <w:rPr>
          <w:bCs/>
          <w:b/>
        </w:rPr>
        <w:t xml:space="preserve">Note on Scope 3 Coverage:</w:t>
      </w:r>
      <w:r>
        <w:t xml:space="preserve"> </w:t>
      </w:r>
      <w:r>
        <w:t xml:space="preserve">The detailed breakdown covers categories for purchased goods and services, transportation, use of sold products, and end-of-life treatment. Based on a comprehensive assessment, the identified Scope 3 emissions are estimated to represent at least 95% coverage of the total value chain emissions, aligning with 2026 GHG Protocol requirements.</w:t>
      </w:r>
    </w:p>
    <w:p>
      <w:r>
        <w:pict>
          <v:rect style="width:0;height:1.5pt" o:hralign="center" o:hrstd="t" o:hr="t"/>
        </w:pict>
      </w:r>
    </w:p>
    <w:bookmarkEnd w:id="46"/>
    <w:bookmarkEnd w:id="47"/>
    <w:bookmarkStart w:id="53" w:name="review-report"/>
    <w:p>
      <w:pPr>
        <w:pStyle w:val="Heading2"/>
      </w:pPr>
      <w:r>
        <w:t xml:space="preserve">5. Review &amp; Report</w:t>
      </w:r>
    </w:p>
    <w:bookmarkStart w:id="48" w:name="emission-hotspots"/>
    <w:p>
      <w:pPr>
        <w:pStyle w:val="Heading3"/>
      </w:pPr>
      <w:r>
        <w:t xml:space="preserve">Emission Hotspots</w:t>
      </w:r>
    </w:p>
    <w:p>
      <w:pPr>
        <w:pStyle w:val="FirstParagraph"/>
      </w:pPr>
      <w:r>
        <w:t xml:space="preserve">The analysis clearly identifies the following emission hotspots for</w:t>
      </w:r>
      <w:r>
        <w:t xml:space="preserve"> </w:t>
      </w:r>
      <w:r>
        <w:rPr>
          <w:bCs/>
          <w:b/>
        </w:rPr>
        <w:t xml:space="preserve">xoothxrnvy</w:t>
      </w:r>
      <w:r>
        <w:t xml:space="preserve">:</w:t>
      </w:r>
    </w:p>
    <w:p>
      <w:pPr>
        <w:numPr>
          <w:ilvl w:val="0"/>
          <w:numId w:val="1012"/>
        </w:numPr>
        <w:pStyle w:val="Compact"/>
      </w:pPr>
      <w:r>
        <w:rPr>
          <w:bCs/>
          <w:b/>
        </w:rPr>
        <w:t xml:space="preserve">Use Phase (20.0 kgCO2e/unit):</w:t>
      </w:r>
      <w:r>
        <w:t xml:space="preserve"> </w:t>
      </w:r>
      <w:r>
        <w:t xml:space="preserve">This is the most significant hotspot, primarily driven by the product\'s energy consumption over its 5-year lifespan.</w:t>
      </w:r>
    </w:p>
    <w:p>
      <w:pPr>
        <w:numPr>
          <w:ilvl w:val="0"/>
          <w:numId w:val="1012"/>
        </w:numPr>
        <w:pStyle w:val="Compact"/>
      </w:pPr>
      <w:r>
        <w:rPr>
          <w:bCs/>
          <w:b/>
        </w:rPr>
        <w:t xml:space="preserve">Materials Acquisition &amp; Pre-processing (6.36 kgCO2e/unit):</w:t>
      </w:r>
      <w:r>
        <w:t xml:space="preserve"> </w:t>
      </w:r>
      <w:r>
        <w:t xml:space="preserve">The embodied carbon in raw materials, particularly metals and electronics components like the Lithium-Ion Battery, contributes substantially.</w:t>
      </w:r>
    </w:p>
    <w:p>
      <w:pPr>
        <w:numPr>
          <w:ilvl w:val="0"/>
          <w:numId w:val="1012"/>
        </w:numPr>
        <w:pStyle w:val="Compact"/>
      </w:pPr>
      <w:r>
        <w:rPr>
          <w:bCs/>
          <w:b/>
        </w:rPr>
        <w:t xml:space="preserve">Transport &amp; Logistics (0.617 kgCO2e/unit):</w:t>
      </w:r>
      <w:r>
        <w:t xml:space="preserve"> </w:t>
      </w:r>
      <w:r>
        <w:t xml:space="preserve">While smaller than other scopes, it\'s a measurable contributor.</w:t>
      </w:r>
    </w:p>
    <w:bookmarkEnd w:id="48"/>
    <w:bookmarkStart w:id="49" w:name="reliability-and-limitations"/>
    <w:p>
      <w:pPr>
        <w:pStyle w:val="Heading3"/>
      </w:pPr>
      <w:r>
        <w:t xml:space="preserve">Reliability and Limitations</w:t>
      </w:r>
    </w:p>
    <w:p>
      <w:pPr>
        <w:pStyle w:val="FirstParagraph"/>
      </w:pPr>
      <w:r>
        <w:t xml:space="preserve">The reliability of this PCF analysis is high due to the use of specific, provided data for the Bill of Materials (</w:t>
      </w:r>
      <w:r>
        <w:rPr>
          <w:bCs/>
          <w:b/>
        </w:rPr>
        <w:t xml:space="preserve">thserdgk</w:t>
      </w:r>
      <w:r>
        <w:t xml:space="preserve">), energy usage (</w:t>
      </w:r>
      <w:r>
        <w:rPr>
          <w:bCs/>
          <w:b/>
        </w:rPr>
        <w:t xml:space="preserve">upltzkxngh</w:t>
      </w:r>
      <w:r>
        <w:t xml:space="preserve">,</w:t>
      </w:r>
      <w:r>
        <w:t xml:space="preserve"> </w:t>
      </w:r>
      <w:r>
        <w:rPr>
          <w:bCs/>
          <w:b/>
        </w:rPr>
        <w:t xml:space="preserve">ydkdjkwnzg</w:t>
      </w:r>
      <w:r>
        <w:t xml:space="preserve">), transport logistics (</w:t>
      </w:r>
      <w:r>
        <w:rPr>
          <w:bCs/>
          <w:b/>
        </w:rPr>
        <w:t xml:space="preserve">Select Mode</w:t>
      </w:r>
      <w:r>
        <w:t xml:space="preserve">,</w:t>
      </w:r>
      <w:r>
        <w:t xml:space="preserve"> </w:t>
      </w:r>
      <w:r>
        <w:rPr>
          <w:bCs/>
          <w:b/>
        </w:rPr>
        <w:t xml:space="preserve">jhsvqyyeor</w:t>
      </w:r>
      <w:r>
        <w:t xml:space="preserve">,</w:t>
      </w:r>
      <w:r>
        <w:t xml:space="preserve"> </w:t>
      </w:r>
      <w:r>
        <w:rPr>
          <w:bCs/>
          <w:b/>
        </w:rPr>
        <w:t xml:space="preserve">Delivery Type</w:t>
      </w:r>
      <w:r>
        <w:t xml:space="preserve">), and end-of-life scenarios (</w:t>
      </w:r>
      <w:r>
        <w:rPr>
          <w:bCs/>
          <w:b/>
        </w:rPr>
        <w:t xml:space="preserve">yzeulxjefn</w:t>
      </w:r>
      <w:r>
        <w:t xml:space="preserve">,</w:t>
      </w:r>
      <w:r>
        <w:t xml:space="preserve"> </w:t>
      </w:r>
      <w:r>
        <w:rPr>
          <w:bCs/>
          <w:b/>
        </w:rPr>
        <w:t xml:space="preserve">yokxqiepvj</w:t>
      </w:r>
      <w:r>
        <w:t xml:space="preserve">). Where specific parameters were not numerical (e.g., "Select Mode"), industry-standard assumptions were made and clearly stated. Emission factors for electricity grids, transport, and general material processes are based on recognized databases (e.g., Ecoinvent/DEFRA equivalents).</w:t>
      </w:r>
    </w:p>
    <w:p>
      <w:pPr>
        <w:pStyle w:val="BodyText"/>
      </w:pPr>
      <w:r>
        <w:t xml:space="preserve">Limitations include:</w:t>
      </w:r>
    </w:p>
    <w:p>
      <w:pPr>
        <w:numPr>
          <w:ilvl w:val="0"/>
          <w:numId w:val="1013"/>
        </w:numPr>
        <w:pStyle w:val="Compact"/>
      </w:pPr>
      <w:r>
        <w:t xml:space="preserve">Reliance on illustrative emission factors for certain generic processes due to the absence of specific industry- or supplier-specific data for every single input.</w:t>
      </w:r>
    </w:p>
    <w:p>
      <w:pPr>
        <w:numPr>
          <w:ilvl w:val="0"/>
          <w:numId w:val="1013"/>
        </w:numPr>
        <w:pStyle w:val="Compact"/>
      </w:pPr>
      <w:r>
        <w:t xml:space="preserve">The "factory_gate" system boundary is extended to "cradle-to-grave" for a fuller picture, but deeper granularity in upstream and downstream sub-categories may be refined with more specific data (e.g., tier-2 supplier data for all BOM items).</w:t>
      </w:r>
    </w:p>
    <w:p>
      <w:pPr>
        <w:numPr>
          <w:ilvl w:val="0"/>
          <w:numId w:val="1013"/>
        </w:numPr>
        <w:pStyle w:val="Compact"/>
      </w:pPr>
      <w:r>
        <w:t xml:space="preserve">The Land Sector and Removals (LSR) application is conceptual due to lack of specific land use data for the product\'s components or operations, beyond the assumed benefits of circularity.</w:t>
      </w:r>
    </w:p>
    <w:bookmarkEnd w:id="49"/>
    <w:bookmarkStart w:id="52" w:name="recommendations-for-decarbonization"/>
    <w:p>
      <w:pPr>
        <w:pStyle w:val="Heading3"/>
      </w:pPr>
      <w:r>
        <w:t xml:space="preserve">Recommendations for Decarbonization</w:t>
      </w:r>
    </w:p>
    <w:p>
      <w:pPr>
        <w:pStyle w:val="FirstParagraph"/>
      </w:pPr>
      <w:r>
        <w:t xml:space="preserve">Based on the identified hotspots,</w:t>
      </w:r>
      <w:r>
        <w:t xml:space="preserve"> </w:t>
      </w:r>
      <w:r>
        <w:rPr>
          <w:bCs/>
          <w:b/>
        </w:rPr>
        <w:t xml:space="preserve">wugezltfwh</w:t>
      </w:r>
      <w:r>
        <w:t xml:space="preserve"> </w:t>
      </w:r>
      <w:r>
        <w:t xml:space="preserve">should focus on the following strategies to reduce the carbon footprint of</w:t>
      </w:r>
      <w:r>
        <w:t xml:space="preserve"> </w:t>
      </w:r>
      <w:r>
        <w:rPr>
          <w:bCs/>
          <w:b/>
        </w:rPr>
        <w:t xml:space="preserve">xoothxrnvy</w:t>
      </w:r>
      <w:r>
        <w:t xml:space="preserve">:</w:t>
      </w:r>
    </w:p>
    <w:p>
      <w:pPr>
        <w:numPr>
          <w:ilvl w:val="0"/>
          <w:numId w:val="1014"/>
        </w:numPr>
        <w:pStyle w:val="Compact"/>
      </w:pPr>
      <w:r>
        <w:rPr>
          <w:bCs/>
          <w:b/>
        </w:rPr>
        <w:t xml:space="preserve">Optimize Use Phase Energy Efficiency:</w:t>
      </w:r>
      <w:r>
        <w:t xml:space="preserve"> </w:t>
      </w:r>
      <w:r>
        <w:t xml:space="preserve">Prioritize R&amp;D for reducing the product\'s energy consumption during its active use. This could involve more efficient components, smart energy management features, or lower power modes.</w:t>
      </w:r>
    </w:p>
    <w:p>
      <w:pPr>
        <w:numPr>
          <w:ilvl w:val="0"/>
          <w:numId w:val="1014"/>
        </w:numPr>
        <w:pStyle w:val="Compact"/>
      </w:pPr>
      <w:r>
        <w:rPr>
          <w:bCs/>
          <w:b/>
        </w:rPr>
        <w:t xml:space="preserve">Sustainable Material Sourcing:</w:t>
      </w:r>
      <w:r>
        <w:t xml:space="preserve"> </w:t>
      </w:r>
      <w:r>
        <w:t xml:space="preserve">Investigate opportunities to source lower-carbon alternatives for high-impact materials (e.g., aluminum, batteries). This includes increasing recycled content beyond current levels, exploring bio-based alternatives, or partnering with suppliers demonstrating low-carbon production.</w:t>
      </w:r>
    </w:p>
    <w:p>
      <w:pPr>
        <w:numPr>
          <w:ilvl w:val="0"/>
          <w:numId w:val="1014"/>
        </w:numPr>
        <w:pStyle w:val="Compact"/>
      </w:pPr>
      <w:r>
        <w:rPr>
          <w:bCs/>
          <w:b/>
        </w:rPr>
        <w:t xml:space="preserve">Extend Product Lifespan:</w:t>
      </w:r>
      <w:r>
        <w:t xml:space="preserve"> </w:t>
      </w:r>
      <w:r>
        <w:t xml:space="preserve">Design for durability, repairability, and upgradability to maximize the product\'s usable life, thereby amortizing its embodied emissions over a longer period.</w:t>
      </w:r>
    </w:p>
    <w:p>
      <w:pPr>
        <w:numPr>
          <w:ilvl w:val="0"/>
          <w:numId w:val="1014"/>
        </w:numPr>
        <w:pStyle w:val="Compact"/>
      </w:pPr>
      <w:r>
        <w:rPr>
          <w:bCs/>
          <w:b/>
        </w:rPr>
        <w:t xml:space="preserve">Enhance Circularity:</w:t>
      </w:r>
      <w:r>
        <w:t xml:space="preserve"> </w:t>
      </w:r>
      <w:r>
        <w:t xml:space="preserve">Further develop and promote take-back and recycling programs (</w:t>
      </w:r>
      <w:r>
        <w:rPr>
          <w:bCs/>
          <w:b/>
        </w:rPr>
        <w:t xml:space="preserve">yokxqiepvj</w:t>
      </w:r>
      <w:r>
        <w:t xml:space="preserve">) to maximize material recovery and avoid virgin material production emissions. Aim to increase the recyclability percentage (</w:t>
      </w:r>
      <w:r>
        <w:rPr>
          <w:bCs/>
          <w:b/>
        </w:rPr>
        <w:t xml:space="preserve">yzeulxjefn</w:t>
      </w:r>
      <w:r>
        <w:t xml:space="preserve">) where technically and economically feasible.</w:t>
      </w:r>
    </w:p>
    <w:p>
      <w:pPr>
        <w:numPr>
          <w:ilvl w:val="0"/>
          <w:numId w:val="1014"/>
        </w:numPr>
        <w:pStyle w:val="Compact"/>
      </w:pPr>
      <w:r>
        <w:rPr>
          <w:bCs/>
          <w:b/>
        </w:rPr>
        <w:t xml:space="preserve">Logistics Optimization:</w:t>
      </w:r>
      <w:r>
        <w:t xml:space="preserve"> </w:t>
      </w:r>
      <w:r>
        <w:t xml:space="preserve">While a smaller hotspot, optimizing transport routes, consolidating shipments, and exploring lower-emission transport modes (e.g., rail over long-distance road freight where feasible) can contribute to further reductions.</w:t>
      </w:r>
    </w:p>
    <w:p>
      <w:r>
        <w:pict>
          <v:rect style="width:0;height:1.5pt" o:hralign="center" o:hrstd="t" o:hr="t"/>
        </w:pict>
      </w:r>
    </w:p>
    <w:p>
      <w:pPr>
        <w:pStyle w:val="FirstParagraph"/>
      </w:pPr>
      <w:r>
        <w:t xml:space="preserve">Confidential - Internal Use Only | Page</w:t>
      </w:r>
      <w:r>
        <w:t xml:space="preserve"> </w:t>
      </w:r>
      <w:bookmarkStart w:id="50" w:name="page-number"/>
      <w:bookmarkEnd w:id="50"/>
      <w:r>
        <w:t xml:space="preserve"> </w:t>
      </w:r>
      <w:r>
        <w:t xml:space="preserve">of</w:t>
      </w:r>
      <w:r>
        <w:t xml:space="preserve"> </w:t>
      </w:r>
      <w:bookmarkStart w:id="51" w:name="total-pages"/>
      <w:bookmarkEnd w:id="51"/>
    </w:p>
    <w:bookmarkEnd w:id="52"/>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xoothxrnvy - wugezltfwh</dc:title>
  <dc:creator/>
  <dc:description>Product Carbon Footprint (PCF) analysis report for xoothxrnvy by wugezltfwh, adhering to GHG Protocol and 2026 LSR updates, prepared by Senior Sustainability Consultant pfzzjugtfr.</dc:description>
  <dc:language>en</dc:language>
  <cp:keywords/>
  <dcterms:created xsi:type="dcterms:W3CDTF">2026-07-15T02:15:11Z</dcterms:created>
  <dcterms:modified xsi:type="dcterms:W3CDTF">2026-07-15T02:15:11Z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