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xnpzxmvjwj</w:t>
      </w:r>
    </w:p>
    <w:p>
      <w:pPr>
        <w:pStyle w:val="FirstParagraph"/>
      </w:pPr>
      <w:r>
        <w:t xml:space="preserve">carboncalcpcf.com</w:t>
      </w:r>
    </w:p>
    <w:bookmarkStart w:id="20" w:name="Xf2e6ab5be446359d80f42f50d41e46314dfe19d"/>
    <w:p>
      <w:pPr>
        <w:pStyle w:val="Heading1"/>
      </w:pPr>
      <w:r>
        <w:t xml:space="preserve">Product Carbon Footprint (PCF) Analysis Report</w:t>
      </w:r>
    </w:p>
    <w:p>
      <w:pPr>
        <w:pStyle w:val="FirstParagraph"/>
      </w:pPr>
      <w:r>
        <w:rPr>
          <w:bCs/>
          <w:b/>
        </w:rPr>
        <w:t xml:space="preserve">Product Name:</w:t>
      </w:r>
      <w:r>
        <w:t xml:space="preserve"> </w:t>
      </w:r>
      <w:r>
        <w:t xml:space="preserve">xnpzxmvjwj</w:t>
      </w:r>
    </w:p>
    <w:p>
      <w:pPr>
        <w:pStyle w:val="BodyText"/>
      </w:pPr>
      <w:r>
        <w:rPr>
          <w:bCs/>
          <w:b/>
        </w:rPr>
        <w:t xml:space="preserve">Company Name:</w:t>
      </w:r>
      <w:r>
        <w:t xml:space="preserve"> </w:t>
      </w:r>
      <w:r>
        <w:t xml:space="preserve">elqnspvzmj</w:t>
      </w:r>
    </w:p>
    <w:p>
      <w:pPr>
        <w:pStyle w:val="BodyText"/>
      </w:pPr>
      <w:r>
        <w:rPr>
          <w:bCs/>
          <w:b/>
        </w:rPr>
        <w:t xml:space="preserve">Senior Sustainability Consultant:</w:t>
      </w:r>
      <w:r>
        <w:t xml:space="preserve"> </w:t>
      </w:r>
      <w:r>
        <w:t xml:space="preserve">fffroqpmep</w:t>
      </w:r>
    </w:p>
    <w:p>
      <w:pPr>
        <w:pStyle w:val="BodyText"/>
      </w:pPr>
      <w:r>
        <w:rPr>
          <w:bCs/>
          <w:b/>
        </w:rPr>
        <w:t xml:space="preserve">Protocol Data (Accounting Standard):</w:t>
      </w:r>
      <w:r>
        <w:t xml:space="preserve"> </w:t>
      </w:r>
      <w:r>
        <w:t xml:space="preserve">GHG Protocol</w:t>
      </w:r>
    </w:p>
    <w:p>
      <w:pPr>
        <w:pStyle w:val="BodyText"/>
      </w:pPr>
      <w:r>
        <w:t xml:space="preserve">Generated Date: May 20, 2026</w:t>
      </w:r>
    </w:p>
    <w:p>
      <w:pPr>
        <w:pStyle w:val="BodyText"/>
      </w:pPr>
      <w:r>
        <w:t xml:space="preserve">Disclaimer: This report is generated based on available data and industry standards.</w:t>
      </w:r>
      <w:r>
        <w:t xml:space="preserve"> </w:t>
      </w:r>
      <w:r>
        <w:t xml:space="preserve">The calculations rely on the provided input parameters and publicly available emission factors,</w:t>
      </w:r>
      <w:r>
        <w:t xml:space="preserve"> </w:t>
      </w:r>
      <w:r>
        <w:t xml:space="preserve">and represent an estimate of the product\'s carbon footprint.</w:t>
      </w:r>
    </w:p>
    <w:bookmarkEnd w:id="20"/>
    <w:bookmarkStart w:id="50" w:name="X15b668e5d78c114284daa12dbc6b5963dafc7c8"/>
    <w:p>
      <w:pPr>
        <w:pStyle w:val="Heading1"/>
      </w:pPr>
      <w:r>
        <w:t xml:space="preserve">Product Carbon Footprint Analysis Report for xnpzxmvjwj</w:t>
      </w:r>
    </w:p>
    <w:p>
      <w:pPr>
        <w:pStyle w:val="FirstParagraph"/>
      </w:pPr>
      <w:r>
        <w:rPr>
          <w:bCs/>
          <w:b/>
        </w:rPr>
        <w:t xml:space="preserve">Generated Date:</w:t>
      </w:r>
      <w:r>
        <w:t xml:space="preserve"> </w:t>
      </w:r>
      <w:r>
        <w:t xml:space="preserve">May 20,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w:t>
      </w:r>
      <w:r>
        <w:t xml:space="preserve"> </w:t>
      </w:r>
      <w:r>
        <w:t xml:space="preserve">xnpzxmvjwj</w:t>
      </w:r>
      <w:r>
        <w:t xml:space="preserve">,</w:t>
      </w:r>
      <w:r>
        <w:t xml:space="preserve"> </w:t>
      </w:r>
      <w:r>
        <w:t xml:space="preserve">conducted by</w:t>
      </w:r>
      <w:r>
        <w:t xml:space="preserve"> </w:t>
      </w:r>
      <w:r>
        <w:t xml:space="preserve">fffroqpmep</w:t>
      </w:r>
      <w:r>
        <w:t xml:space="preserve">, Senior Sustainability Consultant at</w:t>
      </w:r>
      <w:r>
        <w:t xml:space="preserve"> </w:t>
      </w:r>
      <w:r>
        <w:t xml:space="preserve">elqnspvzmj</w:t>
      </w:r>
      <w:r>
        <w:t xml:space="preserve">.</w:t>
      </w:r>
      <w:r>
        <w:t xml:space="preserve"> </w:t>
      </w:r>
      <w:r>
        <w:t xml:space="preserve">The analysis adheres strictly to the</w:t>
      </w:r>
      <w:r>
        <w:t xml:space="preserve"> </w:t>
      </w:r>
      <w:r>
        <w:t xml:space="preserve">GHG Protocol</w:t>
      </w:r>
      <w:r>
        <w:t xml:space="preserve"> </w:t>
      </w:r>
      <w:r>
        <w:t xml:space="preserve">standards, incorporating the 2026 Land Sector and Removals (LSR)</w:t>
      </w:r>
      <w:r>
        <w:t xml:space="preserve"> </w:t>
      </w:r>
      <w:r>
        <w:t xml:space="preserve">Standard and ensuring at least 95% coverage for Scope 3 emissions. The system boundary for this PCF is</w:t>
      </w:r>
      <w:r>
        <w:t xml:space="preserve"> </w:t>
      </w:r>
      <w:r>
        <w:t xml:space="preserve">"factory-gate" with a focus extending to the entire product lifecycle for comprehensive impact assessment.</w:t>
      </w:r>
      <w:r>
        <w:t xml:space="preserve"> </w:t>
      </w:r>
      <w:r>
        <w:t xml:space="preserve">The primary objective is to identify greenhouse gas emission hotspots across the product\'s lifecycle,</w:t>
      </w:r>
      <w:r>
        <w:t xml:space="preserve"> </w:t>
      </w:r>
      <w:r>
        <w:t xml:space="preserve">from raw material acquisition through end-of-life, providing a foundation for targeted reduction strategies.</w:t>
      </w:r>
    </w:p>
    <w:p>
      <w:r>
        <w:pict>
          <v:rect style="width:0;height:1.5pt" o:hralign="center" o:hrstd="t" o:hr="t"/>
        </w:pict>
      </w:r>
    </w:p>
    <w:bookmarkEnd w:id="21"/>
    <w:bookmarkStart w:id="22" w:name="defining-the-scope"/>
    <w:p>
      <w:pPr>
        <w:pStyle w:val="Heading2"/>
      </w:pPr>
      <w:r>
        <w:t xml:space="preserve">1. Defining the Scope</w:t>
      </w:r>
    </w:p>
    <w:p>
      <w:pPr>
        <w:pStyle w:val="FirstParagraph"/>
      </w:pPr>
      <w:r>
        <w:t xml:space="preserve">The initial phase of the PCF analysis establishes the foundational parameters for accurate and consistent accounting.</w:t>
      </w:r>
    </w:p>
    <w:p>
      <w:pPr>
        <w:numPr>
          <w:ilvl w:val="0"/>
          <w:numId w:val="1001"/>
        </w:numPr>
        <w:pStyle w:val="Compact"/>
      </w:pPr>
      <w:r>
        <w:rPr>
          <w:bCs/>
          <w:b/>
        </w:rPr>
        <w:t xml:space="preserve">Functional Unit:</w:t>
      </w:r>
      <w:r>
        <w:t xml:space="preserve"> </w:t>
      </w:r>
      <w:r>
        <w:t xml:space="preserve">1.0 unit of xnpzxmvjwj. This defines the quantified performance of the product for which the PCF is calculated.</w:t>
      </w:r>
    </w:p>
    <w:p>
      <w:pPr>
        <w:numPr>
          <w:ilvl w:val="0"/>
          <w:numId w:val="1001"/>
        </w:numPr>
        <w:pStyle w:val="Compact"/>
      </w:pPr>
      <w:r>
        <w:rPr>
          <w:bCs/>
          <w:b/>
        </w:rPr>
        <w:t xml:space="preserve">System Boundary:</w:t>
      </w:r>
      <w:r>
        <w:t xml:space="preserve"> </w:t>
      </w:r>
      <w:r>
        <w:t xml:space="preserve">Cradle-to-grave, with a primary "factory_gate" focus for direct operational control, but extended to include upstream (raw materials, transport to factory) and downstream (use phase, end-of-life) impacts to align with comprehensive GHG Protocol Scope 3 requirements.</w:t>
      </w:r>
    </w:p>
    <w:p>
      <w:pPr>
        <w:numPr>
          <w:ilvl w:val="0"/>
          <w:numId w:val="1001"/>
        </w:numPr>
        <w:pStyle w:val="Compact"/>
      </w:pPr>
      <w:r>
        <w:rPr>
          <w:bCs/>
          <w:b/>
        </w:rPr>
        <w:t xml:space="preserve">Geographic Scope:</w:t>
      </w:r>
      <w:r>
        <w:t xml:space="preserve"> </w:t>
      </w:r>
      <w:r>
        <w:t xml:space="preserve">Final Production Country: China. Supply Chain Focus: Europe Focused. This considers specific energy grids and transport distances relevant to these regions.</w:t>
      </w:r>
    </w:p>
    <w:p>
      <w:pPr>
        <w:numPr>
          <w:ilvl w:val="0"/>
          <w:numId w:val="1001"/>
        </w:numPr>
        <w:pStyle w:val="Compact"/>
      </w:pPr>
      <w:r>
        <w:rPr>
          <w:bCs/>
          <w:b/>
        </w:rPr>
        <w:t xml:space="preserve">Accounting Standard:</w:t>
      </w:r>
      <w:r>
        <w:t xml:space="preserve"> </w:t>
      </w:r>
      <w:r>
        <w:t xml:space="preserve">The analysis rigorously follows the Greenhouse Gas (GHG) Protocol Product Standard. Emissions are categorized into Scope 1 (direct emissions), Scope 2 (indirect emissions from purchased energy), and Scope 3 (all other indirect emissions in the value chain).</w:t>
      </w:r>
    </w:p>
    <w:p>
      <w:pPr>
        <w:numPr>
          <w:ilvl w:val="0"/>
          <w:numId w:val="1001"/>
        </w:numPr>
        <w:pStyle w:val="Compact"/>
      </w:pPr>
      <w:r>
        <w:rPr>
          <w:bCs/>
          <w:b/>
        </w:rPr>
        <w:t xml:space="preserve">Allocation:</w:t>
      </w:r>
      <w:r>
        <w:t xml:space="preserve"> </w:t>
      </w:r>
      <w:r>
        <w:t xml:space="preserve">All emissions are allocated directly to the functional unit (1.0 unit of xnpzxmvjwj) as this is a product-specific assessment. Co-product allocation methods would be applied if shared processes were identified, but for this specific product, direct allocation is assumed.</w:t>
      </w:r>
    </w:p>
    <w:p>
      <w:r>
        <w:pict>
          <v:rect style="width:0;height:1.5pt" o:hralign="center" o:hrstd="t" o:hr="t"/>
        </w:pict>
      </w:r>
    </w:p>
    <w:bookmarkEnd w:id="22"/>
    <w:bookmarkStart w:id="28" w:name="Xeceb5f3c4cb430539f02d69dd8b49b0c98a11ff"/>
    <w:p>
      <w:pPr>
        <w:pStyle w:val="Heading2"/>
      </w:pPr>
      <w:r>
        <w:t xml:space="preserve">2. Mapping the Lifecycle (LCI Inventory Stages)</w:t>
      </w:r>
    </w:p>
    <w:p>
      <w:pPr>
        <w:pStyle w:val="FirstParagraph"/>
      </w:pPr>
      <w:r>
        <w:t xml:space="preserve">The lifecycle of</w:t>
      </w:r>
      <w:r>
        <w:t xml:space="preserve"> </w:t>
      </w:r>
      <w:r>
        <w:t xml:space="preserve">xnpzxmvjwj</w:t>
      </w:r>
      <w:r>
        <w:t xml:space="preserve"> </w:t>
      </w:r>
      <w:r>
        <w:t xml:space="preserve">is mapped into distinct stages to systematically identify and quantify associated environmental impacts.</w:t>
      </w:r>
    </w:p>
    <w:bookmarkStart w:id="23" w:name="raw-material-acquisition-pre-processing"/>
    <w:p>
      <w:pPr>
        <w:pStyle w:val="Heading3"/>
      </w:pPr>
      <w:r>
        <w:t xml:space="preserve">2.1. Raw Material Acquisition &amp; Pre-processing</w:t>
      </w:r>
    </w:p>
    <w:p>
      <w:pPr>
        <w:pStyle w:val="FirstParagraph"/>
      </w:pPr>
      <w:r>
        <w:t xml:space="preserve">This stage encompasses the extraction, processing, and refining of all raw materials required for</w:t>
      </w:r>
      <w:r>
        <w:t xml:space="preserve"> </w:t>
      </w:r>
      <w:r>
        <w:t xml:space="preserve">xnpzxmvjwj</w:t>
      </w:r>
      <w:r>
        <w:t xml:space="preserve">.</w:t>
      </w:r>
      <w:r>
        <w:t xml:space="preserve"> </w:t>
      </w:r>
      <w:r>
        <w:t xml:space="preserve">The Detailed Bill of Materials (BOM) for</w:t>
      </w:r>
      <w:r>
        <w:t xml:space="preserve"> </w:t>
      </w:r>
      <w:r>
        <w:t xml:space="preserve">etksntwy</w:t>
      </w:r>
      <w:r>
        <w:t xml:space="preserve"> </w:t>
      </w:r>
      <w:r>
        <w:t xml:space="preserve">is utilized to specify the components and their respective processes.</w:t>
      </w:r>
    </w:p>
    <w:p>
      <w:pPr>
        <w:numPr>
          <w:ilvl w:val="0"/>
          <w:numId w:val="1002"/>
        </w:numPr>
        <w:pStyle w:val="Compact"/>
      </w:pPr>
      <w:r>
        <w:rPr>
          <w:bCs/>
          <w:b/>
        </w:rPr>
        <w:t xml:space="preserve">Materials:</w:t>
      </w:r>
      <w:r>
        <w:t xml:space="preserve"> </w:t>
      </w:r>
      <w:r>
        <w:t xml:space="preserve">Includes various categories such as metals, plastics, and electronic components, each with unique extraction and processing requirements.</w:t>
      </w:r>
    </w:p>
    <w:p>
      <w:pPr>
        <w:numPr>
          <w:ilvl w:val="0"/>
          <w:numId w:val="1002"/>
        </w:numPr>
        <w:pStyle w:val="Compact"/>
      </w:pPr>
      <w:r>
        <w:rPr>
          <w:bCs/>
          <w:b/>
        </w:rPr>
        <w:t xml:space="preserve">Pre-processing:</w:t>
      </w:r>
      <w:r>
        <w:t xml:space="preserve"> </w:t>
      </w:r>
      <w:r>
        <w:t xml:space="preserve">Energy and resource consumption associated with transforming raw materials into usable forms (e.g., polymer production, metal smelting, component fabrication).</w:t>
      </w:r>
    </w:p>
    <w:bookmarkEnd w:id="23"/>
    <w:bookmarkStart w:id="24" w:name="manufacturingproduction"/>
    <w:p>
      <w:pPr>
        <w:pStyle w:val="Heading3"/>
      </w:pPr>
      <w:r>
        <w:t xml:space="preserve">2.2. Manufacturing/Production</w:t>
      </w:r>
    </w:p>
    <w:p>
      <w:pPr>
        <w:pStyle w:val="FirstParagraph"/>
      </w:pPr>
      <w:r>
        <w:t xml:space="preserve">This stage covers all processes occurring at the manufacturing facility in China, leading to the final assembly of</w:t>
      </w:r>
      <w:r>
        <w:t xml:space="preserve"> </w:t>
      </w:r>
      <w:r>
        <w:t xml:space="preserve">xnpzxmvjwj</w:t>
      </w:r>
      <w:r>
        <w:t xml:space="preserve">.</w:t>
      </w:r>
    </w:p>
    <w:p>
      <w:pPr>
        <w:numPr>
          <w:ilvl w:val="0"/>
          <w:numId w:val="1003"/>
        </w:numPr>
        <w:pStyle w:val="Compact"/>
      </w:pPr>
      <w:r>
        <w:rPr>
          <w:bCs/>
          <w:b/>
        </w:rPr>
        <w:t xml:space="preserve">Energy Inputs:</w:t>
      </w:r>
      <w:r>
        <w:t xml:space="preserve"> </w:t>
      </w:r>
      <w:r>
        <w:t xml:space="preserve">Electricity consumption during assembly, testing, and other factory operations. The</w:t>
      </w:r>
      <w:r>
        <w:t xml:space="preserve"> </w:t>
      </w:r>
      <w:r>
        <w:t xml:space="preserve">Energy Intensity (dyxeimmiyl)</w:t>
      </w:r>
      <w:r>
        <w:t xml:space="preserve"> </w:t>
      </w:r>
      <w:r>
        <w:t xml:space="preserve">and</w:t>
      </w:r>
      <w:r>
        <w:t xml:space="preserve"> </w:t>
      </w:r>
      <w:r>
        <w:t xml:space="preserve">Renewable Energy Usage (uvifejnmlm)</w:t>
      </w:r>
      <w:r>
        <w:t xml:space="preserve"> </w:t>
      </w:r>
      <w:r>
        <w:t xml:space="preserve">parameters are critical here.</w:t>
      </w:r>
    </w:p>
    <w:p>
      <w:pPr>
        <w:numPr>
          <w:ilvl w:val="0"/>
          <w:numId w:val="1003"/>
        </w:numPr>
        <w:pStyle w:val="Compact"/>
      </w:pPr>
      <w:r>
        <w:rPr>
          <w:bCs/>
          <w:b/>
        </w:rPr>
        <w:t xml:space="preserve">Process Emissions:</w:t>
      </w:r>
      <w:r>
        <w:t xml:space="preserve"> </w:t>
      </w:r>
      <w:r>
        <w:t xml:space="preserve">Any direct emissions from manufacturing processes (e.g., chemical reactions, fugitive emissions), although not explicitly detailed in the parameters, are considered under Scope 1 if direct combustion occurs, or Scope 3 if part of upstream material processing.</w:t>
      </w:r>
    </w:p>
    <w:bookmarkEnd w:id="24"/>
    <w:bookmarkStart w:id="25" w:name="transport"/>
    <w:p>
      <w:pPr>
        <w:pStyle w:val="Heading3"/>
      </w:pPr>
      <w:r>
        <w:t xml:space="preserve">2.3. Transport</w:t>
      </w:r>
    </w:p>
    <w:p>
      <w:pPr>
        <w:pStyle w:val="FirstParagraph"/>
      </w:pPr>
      <w:r>
        <w:t xml:space="preserve">Logistics play a significant role in the overall PCF. This stage accounts for the transportation of raw materials to the factory and the finished product to the market.</w:t>
      </w:r>
    </w:p>
    <w:p>
      <w:pPr>
        <w:numPr>
          <w:ilvl w:val="0"/>
          <w:numId w:val="1004"/>
        </w:numPr>
        <w:pStyle w:val="Compact"/>
      </w:pPr>
      <w:r>
        <w:rPr>
          <w:bCs/>
          <w:b/>
        </w:rPr>
        <w:t xml:space="preserve">Upstream Transport:</w:t>
      </w:r>
      <w:r>
        <w:t xml:space="preserve"> </w:t>
      </w:r>
      <w:r>
        <w:t xml:space="preserve">Inbound logistics for components from Europe-focused supply chains to the production facility in China.</w:t>
      </w:r>
    </w:p>
    <w:p>
      <w:pPr>
        <w:numPr>
          <w:ilvl w:val="0"/>
          <w:numId w:val="1004"/>
        </w:numPr>
        <w:pStyle w:val="Compact"/>
      </w:pPr>
      <w:r>
        <w:rPr>
          <w:bCs/>
          <w:b/>
        </w:rPr>
        <w:t xml:space="preserve">Downstream Transport:</w:t>
      </w:r>
      <w:r>
        <w:t xml:space="preserve"> </w:t>
      </w:r>
      <w:r>
        <w:t xml:space="preserve">Outbound logistics for the finished product from the factory to distribution centers and ultimately to the end-user. Specific</w:t>
      </w:r>
      <w:r>
        <w:t xml:space="preserve"> </w:t>
      </w:r>
      <w:r>
        <w:t xml:space="preserve">Transport Mode (Select Mode)</w:t>
      </w:r>
      <w:r>
        <w:t xml:space="preserve">,</w:t>
      </w:r>
      <w:r>
        <w:t xml:space="preserve"> </w:t>
      </w:r>
      <w:r>
        <w:t xml:space="preserve">Transport Distance (rznjjnjjzz)</w:t>
      </w:r>
      <w:r>
        <w:t xml:space="preserve">, and</w:t>
      </w:r>
      <w:r>
        <w:t xml:space="preserve"> </w:t>
      </w:r>
      <w:r>
        <w:t xml:space="preserve">Last-Mile Delivery Channel (Delivery Type)</w:t>
      </w:r>
      <w:r>
        <w:t xml:space="preserve"> </w:t>
      </w:r>
      <w:r>
        <w:t xml:space="preserve">are analyzed.</w:t>
      </w:r>
    </w:p>
    <w:bookmarkEnd w:id="25"/>
    <w:bookmarkStart w:id="26" w:name="use-phase"/>
    <w:p>
      <w:pPr>
        <w:pStyle w:val="Heading3"/>
      </w:pPr>
      <w:r>
        <w:t xml:space="preserve">2.4. Use Phase</w:t>
      </w:r>
    </w:p>
    <w:p>
      <w:pPr>
        <w:pStyle w:val="FirstParagraph"/>
      </w:pPr>
      <w:r>
        <w:t xml:space="preserve">The emissions generated during the typical operational lifespan of</w:t>
      </w:r>
      <w:r>
        <w:t xml:space="preserve"> </w:t>
      </w:r>
      <w:r>
        <w:t xml:space="preserve">xnpzxmvjwj</w:t>
      </w:r>
      <w:r>
        <w:t xml:space="preserve"> </w:t>
      </w:r>
      <w:r>
        <w:t xml:space="preserve">by the end-user.</w:t>
      </w:r>
    </w:p>
    <w:p>
      <w:pPr>
        <w:numPr>
          <w:ilvl w:val="0"/>
          <w:numId w:val="1005"/>
        </w:numPr>
        <w:pStyle w:val="Compact"/>
      </w:pPr>
      <w:r>
        <w:rPr>
          <w:bCs/>
          <w:b/>
        </w:rPr>
        <w:t xml:space="preserve">Product Lifespan:</w:t>
      </w:r>
      <w:r>
        <w:t xml:space="preserve"> </w:t>
      </w:r>
      <w:r>
        <w:t xml:space="preserve">The expected operational duration of</w:t>
      </w:r>
      <w:r>
        <w:t xml:space="preserve"> </w:t>
      </w:r>
      <w:r>
        <w:t xml:space="preserve">ijjxlykexm</w:t>
      </w:r>
      <w:r>
        <w:t xml:space="preserve"> </w:t>
      </w:r>
      <w:r>
        <w:t xml:space="preserve">years.</w:t>
      </w:r>
    </w:p>
    <w:p>
      <w:pPr>
        <w:numPr>
          <w:ilvl w:val="0"/>
          <w:numId w:val="1005"/>
        </w:numPr>
        <w:pStyle w:val="Compact"/>
      </w:pPr>
      <w:r>
        <w:rPr>
          <w:bCs/>
          <w:b/>
        </w:rPr>
        <w:t xml:space="preserve">Energy Consumption in Use:</w:t>
      </w:r>
      <w:r>
        <w:t xml:space="preserve"> </w:t>
      </w:r>
      <w:r>
        <w:t xml:space="preserve">The energy consumed by the product during its operation, specified as</w:t>
      </w:r>
      <w:r>
        <w:t xml:space="preserve"> </w:t>
      </w:r>
      <w:r>
        <w:t xml:space="preserve">ilwopdeyod</w:t>
      </w:r>
      <w:r>
        <w:t xml:space="preserve">.</w:t>
      </w:r>
    </w:p>
    <w:bookmarkEnd w:id="26"/>
    <w:bookmarkStart w:id="27" w:name="end-of-life-eol"/>
    <w:p>
      <w:pPr>
        <w:pStyle w:val="Heading3"/>
      </w:pPr>
      <w:r>
        <w:t xml:space="preserve">2.5. End-of-Life (EoL)</w:t>
      </w:r>
    </w:p>
    <w:p>
      <w:pPr>
        <w:pStyle w:val="FirstParagraph"/>
      </w:pPr>
      <w:r>
        <w:t xml:space="preserve">This final stage considers the management of</w:t>
      </w:r>
      <w:r>
        <w:t xml:space="preserve"> </w:t>
      </w:r>
      <w:r>
        <w:t xml:space="preserve">xnpzxmvjwj</w:t>
      </w:r>
      <w:r>
        <w:t xml:space="preserve"> </w:t>
      </w:r>
      <w:r>
        <w:t xml:space="preserve">at the end of its useful life.</w:t>
      </w:r>
    </w:p>
    <w:p>
      <w:pPr>
        <w:numPr>
          <w:ilvl w:val="0"/>
          <w:numId w:val="1006"/>
        </w:numPr>
        <w:pStyle w:val="Compact"/>
      </w:pPr>
      <w:r>
        <w:rPr>
          <w:bCs/>
          <w:b/>
        </w:rPr>
        <w:t xml:space="preserve">Disposal:</w:t>
      </w:r>
      <w:r>
        <w:t xml:space="preserve"> </w:t>
      </w:r>
      <w:r>
        <w:t xml:space="preserve">Emissions from landfilling or incineration of non-recyclable components.</w:t>
      </w:r>
    </w:p>
    <w:p>
      <w:pPr>
        <w:numPr>
          <w:ilvl w:val="0"/>
          <w:numId w:val="1006"/>
        </w:numPr>
        <w:pStyle w:val="Compact"/>
      </w:pPr>
      <w:r>
        <w:rPr>
          <w:bCs/>
          <w:b/>
        </w:rPr>
        <w:t xml:space="preserve">Recycling:</w:t>
      </w:r>
      <w:r>
        <w:t xml:space="preserve"> </w:t>
      </w:r>
      <w:r>
        <w:t xml:space="preserve">Avoided emissions due to recycling activities, informed by the</w:t>
      </w:r>
      <w:r>
        <w:t xml:space="preserve"> </w:t>
      </w:r>
      <w:r>
        <w:t xml:space="preserve">Recyclability Percentage (mvjpplomul)</w:t>
      </w:r>
      <w:r>
        <w:t xml:space="preserve">.</w:t>
      </w:r>
    </w:p>
    <w:p>
      <w:pPr>
        <w:numPr>
          <w:ilvl w:val="0"/>
          <w:numId w:val="1006"/>
        </w:numPr>
        <w:pStyle w:val="Compact"/>
      </w:pPr>
      <w:r>
        <w:rPr>
          <w:bCs/>
          <w:b/>
        </w:rPr>
        <w:t xml:space="preserve">Circular/Take-back Programs:</w:t>
      </w:r>
      <w:r>
        <w:t xml:space="preserve"> </w:t>
      </w:r>
      <w:r>
        <w:t xml:space="preserve">The presence and impact of</w:t>
      </w:r>
      <w:r>
        <w:t xml:space="preserve"> </w:t>
      </w:r>
      <w:r>
        <w:t xml:space="preserve">jyfzxllzgj</w:t>
      </w:r>
      <w:r>
        <w:t xml:space="preserve"> </w:t>
      </w:r>
      <w:r>
        <w:t xml:space="preserve">programs contribute to reducing EoL impacts.</w:t>
      </w:r>
    </w:p>
    <w:p>
      <w:r>
        <w:pict>
          <v:rect style="width:0;height:1.5pt" o:hralign="center" o:hrstd="t" o:hr="t"/>
        </w:pict>
      </w:r>
    </w:p>
    <w:bookmarkEnd w:id="27"/>
    <w:bookmarkEnd w:id="28"/>
    <w:bookmarkStart w:id="34" w:name="collecting-data"/>
    <w:p>
      <w:pPr>
        <w:pStyle w:val="Heading2"/>
      </w:pPr>
      <w:r>
        <w:t xml:space="preserve">3. Collecting Data</w:t>
      </w:r>
    </w:p>
    <w:p>
      <w:pPr>
        <w:pStyle w:val="FirstParagraph"/>
      </w:pPr>
      <w:r>
        <w:t xml:space="preserve">Data collection for the PCF analysis involves gathering specific primary and secondary data points across all lifecycle stages.</w:t>
      </w:r>
      <w:r>
        <w:t xml:space="preserve"> </w:t>
      </w:r>
      <w:r>
        <w:t xml:space="preserve">For the purpose of this report, the provided parameters are treated as specific data points for calculation demonstration.</w:t>
      </w:r>
    </w:p>
    <w:bookmarkStart w:id="29" w:name="X8df370666f4b69ebccb7abc56134dc43c51e826"/>
    <w:p>
      <w:pPr>
        <w:pStyle w:val="Heading3"/>
      </w:pPr>
      <w:r>
        <w:t xml:space="preserve">3.1. Detailed Bill of Materials (BOM) - etksntwy</w:t>
      </w:r>
    </w:p>
    <w:p>
      <w:pPr>
        <w:pStyle w:val="FirstParagraph"/>
      </w:pPr>
      <w:r>
        <w:t xml:space="preserve">The provided Detailed BOM for</w:t>
      </w:r>
      <w:r>
        <w:t xml:space="preserve"> </w:t>
      </w:r>
      <w:r>
        <w:t xml:space="preserve">etksntwy</w:t>
      </w:r>
      <w:r>
        <w:t xml:space="preserve"> </w:t>
      </w:r>
      <w:r>
        <w:t xml:space="preserve">is crucial for calculating the material-specific impacts.</w:t>
      </w:r>
      <w:r>
        <w:t xml:space="preserve"> </w:t>
      </w:r>
      <w:r>
        <w:t xml:space="preserve">The table below demonstrates the structure and example data derived from the provided BOM format.</w:t>
      </w:r>
      <w:r>
        <w:t xml:space="preserve"> </w:t>
      </w:r>
      <w:r>
        <w:t xml:space="preserve">(Note: Actual values for \'etksntwy\' are illustrative based on the specified format: ID, Description, Category, Process, Qty, Unit, Emission Factor, Total Carbon).</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 or kg)</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Aluminum Casing</w:t>
            </w:r>
          </w:p>
        </w:tc>
        <w:tc>
          <w:tcPr/>
          <w:p>
            <w:pPr>
              <w:pStyle w:val="Compact"/>
              <w:jc w:val="left"/>
            </w:pPr>
            <w:r>
              <w:t xml:space="preserve">Metals</w:t>
            </w:r>
          </w:p>
        </w:tc>
        <w:tc>
          <w:tcPr/>
          <w:p>
            <w:pPr>
              <w:pStyle w:val="Compact"/>
              <w:jc w:val="left"/>
            </w:pPr>
            <w:r>
              <w:t xml:space="preserve">Casting</w:t>
            </w:r>
          </w:p>
        </w:tc>
        <w:tc>
          <w:tcPr/>
          <w:p>
            <w:pPr>
              <w:pStyle w:val="Compact"/>
              <w:jc w:val="left"/>
            </w:pPr>
            <w:r>
              <w:t xml:space="preserve">2.5</w:t>
            </w:r>
          </w:p>
        </w:tc>
        <w:tc>
          <w:tcPr/>
          <w:p>
            <w:pPr>
              <w:pStyle w:val="Compact"/>
              <w:jc w:val="left"/>
            </w:pPr>
            <w:r>
              <w:t xml:space="preserve">kg</w:t>
            </w:r>
          </w:p>
        </w:tc>
        <w:tc>
          <w:tcPr/>
          <w:p>
            <w:pPr>
              <w:pStyle w:val="Compact"/>
              <w:jc w:val="left"/>
            </w:pPr>
            <w:r>
              <w:t xml:space="preserve">5.0</w:t>
            </w:r>
          </w:p>
        </w:tc>
        <w:tc>
          <w:tcPr/>
          <w:p>
            <w:pPr>
              <w:pStyle w:val="Compact"/>
              <w:jc w:val="left"/>
            </w:pPr>
            <w:r>
              <w:t xml:space="preserve">12.5</w:t>
            </w:r>
          </w:p>
        </w:tc>
      </w:tr>
      <w:tr>
        <w:tc>
          <w:tcPr/>
          <w:p>
            <w:pPr>
              <w:pStyle w:val="Compact"/>
              <w:jc w:val="left"/>
            </w:pPr>
            <w:r>
              <w:t xml:space="preserve">M002</w:t>
            </w:r>
          </w:p>
        </w:tc>
        <w:tc>
          <w:tcPr/>
          <w:p>
            <w:pPr>
              <w:pStyle w:val="Compact"/>
              <w:jc w:val="left"/>
            </w:pPr>
            <w:r>
              <w:t xml:space="preserve">Plastic Enclosure</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1.2</w:t>
            </w:r>
          </w:p>
        </w:tc>
        <w:tc>
          <w:tcPr/>
          <w:p>
            <w:pPr>
              <w:pStyle w:val="Compact"/>
              <w:jc w:val="left"/>
            </w:pPr>
            <w:r>
              <w:t xml:space="preserve">kg</w:t>
            </w:r>
          </w:p>
        </w:tc>
        <w:tc>
          <w:tcPr/>
          <w:p>
            <w:pPr>
              <w:pStyle w:val="Compact"/>
              <w:jc w:val="left"/>
            </w:pPr>
            <w:r>
              <w:t xml:space="preserve">3.0</w:t>
            </w:r>
          </w:p>
        </w:tc>
        <w:tc>
          <w:tcPr/>
          <w:p>
            <w:pPr>
              <w:pStyle w:val="Compact"/>
              <w:jc w:val="left"/>
            </w:pPr>
            <w:r>
              <w:t xml:space="preserve">3.6</w:t>
            </w:r>
          </w:p>
        </w:tc>
      </w:tr>
      <w:tr>
        <w:tc>
          <w:tcPr/>
          <w:p>
            <w:pPr>
              <w:pStyle w:val="Compact"/>
              <w:jc w:val="left"/>
            </w:pPr>
            <w:r>
              <w:t xml:space="preserve">M003</w:t>
            </w:r>
          </w:p>
        </w:tc>
        <w:tc>
          <w:tcPr/>
          <w:p>
            <w:pPr>
              <w:pStyle w:val="Compact"/>
              <w:jc w:val="left"/>
            </w:pPr>
            <w:r>
              <w:t xml:space="preserve">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1.0</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15.0</w:t>
            </w:r>
          </w:p>
        </w:tc>
      </w:tr>
      <w:tr>
        <w:tc>
          <w:tcPr/>
          <w:p>
            <w:pPr>
              <w:pStyle w:val="Compact"/>
              <w:jc w:val="left"/>
            </w:pPr>
            <w:r>
              <w:t xml:space="preserve">M004</w:t>
            </w:r>
          </w:p>
        </w:tc>
        <w:tc>
          <w:tcPr/>
          <w:p>
            <w:pPr>
              <w:pStyle w:val="Compact"/>
              <w:jc w:val="left"/>
            </w:pPr>
            <w:r>
              <w:t xml:space="preserve">Copper Wire</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0.1</w:t>
            </w:r>
          </w:p>
        </w:tc>
        <w:tc>
          <w:tcPr/>
          <w:p>
            <w:pPr>
              <w:pStyle w:val="Compact"/>
              <w:jc w:val="left"/>
            </w:pPr>
            <w:r>
              <w:t xml:space="preserve">kg</w:t>
            </w:r>
          </w:p>
        </w:tc>
        <w:tc>
          <w:tcPr/>
          <w:p>
            <w:pPr>
              <w:pStyle w:val="Compact"/>
              <w:jc w:val="left"/>
            </w:pPr>
            <w:r>
              <w:t xml:space="preserve">8.0</w:t>
            </w:r>
          </w:p>
        </w:tc>
        <w:tc>
          <w:tcPr/>
          <w:p>
            <w:pPr>
              <w:pStyle w:val="Compact"/>
              <w:jc w:val="left"/>
            </w:pPr>
            <w:r>
              <w:t xml:space="preserve">0.8</w:t>
            </w:r>
          </w:p>
        </w:tc>
      </w:tr>
      <w:tr>
        <w:tc>
          <w:tcPr/>
          <w:p>
            <w:pPr>
              <w:pStyle w:val="Compact"/>
              <w:jc w:val="left"/>
            </w:pPr>
            <w:r>
              <w:t xml:space="preserve">M005</w:t>
            </w:r>
          </w:p>
        </w:tc>
        <w:tc>
          <w:tcPr/>
          <w:p>
            <w:pPr>
              <w:pStyle w:val="Compact"/>
              <w:jc w:val="left"/>
            </w:pPr>
            <w:r>
              <w:t xml:space="preserve">Packaging Material</w:t>
            </w:r>
          </w:p>
        </w:tc>
        <w:tc>
          <w:tcPr/>
          <w:p>
            <w:pPr>
              <w:pStyle w:val="Compact"/>
              <w:jc w:val="left"/>
            </w:pPr>
            <w:r>
              <w:t xml:space="preserve">Paper/Cardboard</w:t>
            </w:r>
          </w:p>
        </w:tc>
        <w:tc>
          <w:tcPr/>
          <w:p>
            <w:pPr>
              <w:pStyle w:val="Compact"/>
              <w:jc w:val="left"/>
            </w:pPr>
            <w:r>
              <w:t xml:space="preserve">Production</w:t>
            </w:r>
          </w:p>
        </w:tc>
        <w:tc>
          <w:tcPr/>
          <w:p>
            <w:pPr>
              <w:pStyle w:val="Compact"/>
              <w:jc w:val="left"/>
            </w:pPr>
            <w:r>
              <w:t xml:space="preserve">0.3</w:t>
            </w:r>
          </w:p>
        </w:tc>
        <w:tc>
          <w:tcPr/>
          <w:p>
            <w:pPr>
              <w:pStyle w:val="Compact"/>
              <w:jc w:val="left"/>
            </w:pPr>
            <w:r>
              <w:t xml:space="preserve">kg</w:t>
            </w:r>
          </w:p>
        </w:tc>
        <w:tc>
          <w:tcPr/>
          <w:p>
            <w:pPr>
              <w:pStyle w:val="Compact"/>
              <w:jc w:val="left"/>
            </w:pPr>
            <w:r>
              <w:t xml:space="preserve">1.5</w:t>
            </w:r>
          </w:p>
        </w:tc>
        <w:tc>
          <w:tcPr/>
          <w:p>
            <w:pPr>
              <w:pStyle w:val="Compact"/>
              <w:jc w:val="left"/>
            </w:pPr>
            <w:r>
              <w:t xml:space="preserve">0.45</w:t>
            </w:r>
          </w:p>
        </w:tc>
      </w:tr>
    </w:tbl>
    <w:p>
      <w:pPr>
        <w:pStyle w:val="BodyText"/>
      </w:pPr>
      <w:r>
        <w:rPr>
          <w:bCs/>
          <w:b/>
        </w:rPr>
        <w:t xml:space="preserve">Total Material Carbon from BOM (Illustrative Sum):</w:t>
      </w:r>
      <w:r>
        <w:t xml:space="preserve"> </w:t>
      </w:r>
      <w:r>
        <w:t xml:space="preserve">12.5 + 3.6 + 15.0 + 0.8 + 0.45 = 32.35 kgCO2e</w:t>
      </w:r>
    </w:p>
    <w:bookmarkEnd w:id="29"/>
    <w:bookmarkStart w:id="30" w:name="production-phase-data"/>
    <w:p>
      <w:pPr>
        <w:pStyle w:val="Heading3"/>
      </w:pPr>
      <w:r>
        <w:t xml:space="preserve">3.2. Production Phase Data</w:t>
      </w:r>
    </w:p>
    <w:p>
      <w:pPr>
        <w:numPr>
          <w:ilvl w:val="0"/>
          <w:numId w:val="1007"/>
        </w:numPr>
        <w:pStyle w:val="Compact"/>
      </w:pPr>
      <w:r>
        <w:rPr>
          <w:bCs/>
          <w:b/>
        </w:rPr>
        <w:t xml:space="preserve">Renewable Energy Usage:</w:t>
      </w:r>
      <w:r>
        <w:t xml:space="preserve"> </w:t>
      </w:r>
      <w:r>
        <w:t xml:space="preserve">uvifejnmlm</w:t>
      </w:r>
      <w:r>
        <w:t xml:space="preserve"> </w:t>
      </w:r>
      <w:r>
        <w:t xml:space="preserve">(e.g., 50%)</w:t>
      </w:r>
    </w:p>
    <w:p>
      <w:pPr>
        <w:numPr>
          <w:ilvl w:val="0"/>
          <w:numId w:val="1007"/>
        </w:numPr>
        <w:pStyle w:val="Compact"/>
      </w:pPr>
      <w:r>
        <w:rPr>
          <w:bCs/>
          <w:b/>
        </w:rPr>
        <w:t xml:space="preserve">Energy Intensity (kWh/unit):</w:t>
      </w:r>
      <w:r>
        <w:t xml:space="preserve"> </w:t>
      </w:r>
      <w:r>
        <w:t xml:space="preserve">dyxeimmiyl</w:t>
      </w:r>
      <w:r>
        <w:t xml:space="preserve"> </w:t>
      </w:r>
      <w:r>
        <w:t xml:space="preserve">(e.g., 25 kWh/unit)</w:t>
      </w:r>
    </w:p>
    <w:p>
      <w:pPr>
        <w:numPr>
          <w:ilvl w:val="0"/>
          <w:numId w:val="1007"/>
        </w:numPr>
        <w:pStyle w:val="Compact"/>
      </w:pPr>
      <w:r>
        <w:rPr>
          <w:iCs/>
          <w:i/>
        </w:rPr>
        <w:t xml:space="preserve">Assumed Grid Emission Factor (China):</w:t>
      </w:r>
      <w:r>
        <w:t xml:space="preserve"> </w:t>
      </w:r>
      <w:r>
        <w:t xml:space="preserve">0.55 kgCO2e/kWh (IEA 2023 average for China electricity generation).</w:t>
      </w:r>
    </w:p>
    <w:p>
      <w:pPr>
        <w:numPr>
          <w:ilvl w:val="0"/>
          <w:numId w:val="1007"/>
        </w:numPr>
        <w:pStyle w:val="Compact"/>
      </w:pPr>
      <w:r>
        <w:rPr>
          <w:iCs/>
          <w:i/>
        </w:rPr>
        <w:t xml:space="preserve">Assumed Renewable Energy Emission Factor:</w:t>
      </w:r>
      <w:r>
        <w:t xml:space="preserve"> </w:t>
      </w:r>
      <w:r>
        <w:t xml:space="preserve">0.02 kgCO2e/kWh (acknowledging upstream emissions for renewable infrastructure).</w:t>
      </w:r>
    </w:p>
    <w:bookmarkEnd w:id="30"/>
    <w:bookmarkStart w:id="31" w:name="logistics-data"/>
    <w:p>
      <w:pPr>
        <w:pStyle w:val="Heading3"/>
      </w:pPr>
      <w:r>
        <w:t xml:space="preserve">3.3. Logistics Data</w:t>
      </w:r>
    </w:p>
    <w:p>
      <w:pPr>
        <w:numPr>
          <w:ilvl w:val="0"/>
          <w:numId w:val="1008"/>
        </w:numPr>
        <w:pStyle w:val="Compact"/>
      </w:pPr>
      <w:r>
        <w:rPr>
          <w:bCs/>
          <w:b/>
        </w:rPr>
        <w:t xml:space="preserve">Transport Mode:</w:t>
      </w:r>
      <w:r>
        <w:t xml:space="preserve"> </w:t>
      </w:r>
      <w:r>
        <w:t xml:space="preserve">Select Mode</w:t>
      </w:r>
      <w:r>
        <w:t xml:space="preserve"> </w:t>
      </w:r>
      <w:r>
        <w:t xml:space="preserve">(e.g., Ocean Freight)</w:t>
      </w:r>
    </w:p>
    <w:p>
      <w:pPr>
        <w:numPr>
          <w:ilvl w:val="0"/>
          <w:numId w:val="1008"/>
        </w:numPr>
        <w:pStyle w:val="Compact"/>
      </w:pPr>
      <w:r>
        <w:rPr>
          <w:bCs/>
          <w:b/>
        </w:rPr>
        <w:t xml:space="preserve">Transport Distance:</w:t>
      </w:r>
      <w:r>
        <w:t xml:space="preserve"> </w:t>
      </w:r>
      <w:r>
        <w:t xml:space="preserve">rznjjnjjzz</w:t>
      </w:r>
      <w:r>
        <w:t xml:space="preserve"> </w:t>
      </w:r>
      <w:r>
        <w:t xml:space="preserve">(e.g., 10,000 km for main transport, 50 km for last-mile)</w:t>
      </w:r>
    </w:p>
    <w:p>
      <w:pPr>
        <w:numPr>
          <w:ilvl w:val="0"/>
          <w:numId w:val="1008"/>
        </w:numPr>
        <w:pStyle w:val="Compact"/>
      </w:pPr>
      <w:r>
        <w:rPr>
          <w:bCs/>
          <w:b/>
        </w:rPr>
        <w:t xml:space="preserve">Last-Mile Delivery Channel:</w:t>
      </w:r>
      <w:r>
        <w:t xml:space="preserve"> </w:t>
      </w:r>
      <w:r>
        <w:t xml:space="preserve">Delivery Type</w:t>
      </w:r>
      <w:r>
        <w:t xml:space="preserve"> </w:t>
      </w:r>
      <w:r>
        <w:t xml:space="preserve">(e.g., Road Freight - Light Duty Van)</w:t>
      </w:r>
    </w:p>
    <w:p>
      <w:pPr>
        <w:numPr>
          <w:ilvl w:val="0"/>
          <w:numId w:val="1008"/>
        </w:numPr>
        <w:pStyle w:val="Compact"/>
      </w:pPr>
      <w:r>
        <w:rPr>
          <w:iCs/>
          <w:i/>
        </w:rPr>
        <w:t xml:space="preserve">Assumed Product Weight (based on BOM):</w:t>
      </w:r>
      <w:r>
        <w:t xml:space="preserve"> </w:t>
      </w:r>
      <w:r>
        <w:t xml:space="preserve">~4.15 kg (sum of kg units, plus assumed weight for PCB if not specified). Let\'s use 5 kg for calculation ease.</w:t>
      </w:r>
    </w:p>
    <w:p>
      <w:pPr>
        <w:numPr>
          <w:ilvl w:val="0"/>
          <w:numId w:val="1008"/>
        </w:numPr>
        <w:pStyle w:val="Compact"/>
      </w:pPr>
      <w:r>
        <w:rPr>
          <w:iCs/>
          <w:i/>
        </w:rPr>
        <w:t xml:space="preserve">Assumed Emission Factor for Ocean Freight:</w:t>
      </w:r>
      <w:r>
        <w:t xml:space="preserve"> </w:t>
      </w:r>
      <w:r>
        <w:t xml:space="preserve">0.01 kgCO2e/tonne-km.</w:t>
      </w:r>
    </w:p>
    <w:p>
      <w:pPr>
        <w:numPr>
          <w:ilvl w:val="0"/>
          <w:numId w:val="1008"/>
        </w:numPr>
        <w:pStyle w:val="Compact"/>
      </w:pPr>
      <w:r>
        <w:rPr>
          <w:iCs/>
          <w:i/>
        </w:rPr>
        <w:t xml:space="preserve">Assumed Emission Factor for Road Freight (Light Duty Van):</w:t>
      </w:r>
      <w:r>
        <w:t xml:space="preserve"> </w:t>
      </w:r>
      <w:r>
        <w:t xml:space="preserve">0.20 kgCO2e/tonne-km.</w:t>
      </w:r>
    </w:p>
    <w:bookmarkEnd w:id="31"/>
    <w:bookmarkStart w:id="32" w:name="use-phase-data"/>
    <w:p>
      <w:pPr>
        <w:pStyle w:val="Heading3"/>
      </w:pPr>
      <w:r>
        <w:t xml:space="preserve">3.4. Use Phase Data</w:t>
      </w:r>
    </w:p>
    <w:p>
      <w:pPr>
        <w:numPr>
          <w:ilvl w:val="0"/>
          <w:numId w:val="1009"/>
        </w:numPr>
        <w:pStyle w:val="Compact"/>
      </w:pPr>
      <w:r>
        <w:rPr>
          <w:bCs/>
          <w:b/>
        </w:rPr>
        <w:t xml:space="preserve">Product Lifespan:</w:t>
      </w:r>
      <w:r>
        <w:t xml:space="preserve"> </w:t>
      </w:r>
      <w:r>
        <w:t xml:space="preserve">ijjxlykexm</w:t>
      </w:r>
      <w:r>
        <w:t xml:space="preserve"> </w:t>
      </w:r>
      <w:r>
        <w:t xml:space="preserve">(e.g., 5 years)</w:t>
      </w:r>
    </w:p>
    <w:p>
      <w:pPr>
        <w:numPr>
          <w:ilvl w:val="0"/>
          <w:numId w:val="1009"/>
        </w:numPr>
        <w:pStyle w:val="Compact"/>
      </w:pPr>
      <w:r>
        <w:rPr>
          <w:bCs/>
          <w:b/>
        </w:rPr>
        <w:t xml:space="preserve">Energy Consumption in Use:</w:t>
      </w:r>
      <w:r>
        <w:t xml:space="preserve"> </w:t>
      </w:r>
      <w:r>
        <w:t xml:space="preserve">ilwopdeyod</w:t>
      </w:r>
      <w:r>
        <w:t xml:space="preserve"> </w:t>
      </w:r>
      <w:r>
        <w:t xml:space="preserve">(e.g., 10 kWh/year)</w:t>
      </w:r>
    </w:p>
    <w:p>
      <w:pPr>
        <w:numPr>
          <w:ilvl w:val="0"/>
          <w:numId w:val="1009"/>
        </w:numPr>
        <w:pStyle w:val="Compact"/>
      </w:pPr>
      <w:r>
        <w:rPr>
          <w:iCs/>
          <w:i/>
        </w:rPr>
        <w:t xml:space="preserve">Assumed User Country Grid Emission Factor (e.g., Europe average):</w:t>
      </w:r>
      <w:r>
        <w:t xml:space="preserve"> </w:t>
      </w:r>
      <w:r>
        <w:t xml:space="preserve">0.25 kgCO2e/kWh.</w:t>
      </w:r>
    </w:p>
    <w:bookmarkEnd w:id="32"/>
    <w:bookmarkStart w:id="33" w:name="end-of-life-eol-data"/>
    <w:p>
      <w:pPr>
        <w:pStyle w:val="Heading3"/>
      </w:pPr>
      <w:r>
        <w:t xml:space="preserve">3.5. End-of-Life (EoL) Data</w:t>
      </w:r>
    </w:p>
    <w:p>
      <w:pPr>
        <w:numPr>
          <w:ilvl w:val="0"/>
          <w:numId w:val="1010"/>
        </w:numPr>
        <w:pStyle w:val="Compact"/>
      </w:pPr>
      <w:r>
        <w:rPr>
          <w:bCs/>
          <w:b/>
        </w:rPr>
        <w:t xml:space="preserve">Recyclability Percentage:</w:t>
      </w:r>
      <w:r>
        <w:t xml:space="preserve"> </w:t>
      </w:r>
      <w:r>
        <w:t xml:space="preserve">mvjpplomul</w:t>
      </w:r>
      <w:r>
        <w:t xml:space="preserve"> </w:t>
      </w:r>
      <w:r>
        <w:t xml:space="preserve">(e.g., 70%)</w:t>
      </w:r>
    </w:p>
    <w:p>
      <w:pPr>
        <w:numPr>
          <w:ilvl w:val="0"/>
          <w:numId w:val="1010"/>
        </w:numPr>
        <w:pStyle w:val="Compact"/>
      </w:pPr>
      <w:r>
        <w:rPr>
          <w:bCs/>
          <w:b/>
        </w:rPr>
        <w:t xml:space="preserve">Circular/Take-back Programs:</w:t>
      </w:r>
      <w:r>
        <w:t xml:space="preserve"> </w:t>
      </w:r>
      <w:r>
        <w:t xml:space="preserve">jyfzxllzgj</w:t>
      </w:r>
      <w:r>
        <w:t xml:space="preserve"> </w:t>
      </w:r>
      <w:r>
        <w:t xml:space="preserve">(e.g., Yes, established take-back program for key components)</w:t>
      </w:r>
    </w:p>
    <w:p>
      <w:pPr>
        <w:numPr>
          <w:ilvl w:val="0"/>
          <w:numId w:val="1010"/>
        </w:numPr>
        <w:pStyle w:val="Compact"/>
      </w:pPr>
      <w:r>
        <w:rPr>
          <w:iCs/>
          <w:i/>
        </w:rPr>
        <w:t xml:space="preserve">Assumed Landfill Emission Factor:</w:t>
      </w:r>
      <w:r>
        <w:t xml:space="preserve"> </w:t>
      </w:r>
      <w:r>
        <w:t xml:space="preserve">0.5 kgCO2e/kg (for non-recyclable waste).</w:t>
      </w:r>
    </w:p>
    <w:p>
      <w:pPr>
        <w:numPr>
          <w:ilvl w:val="0"/>
          <w:numId w:val="1010"/>
        </w:numPr>
        <w:pStyle w:val="Compact"/>
      </w:pPr>
      <w:r>
        <w:rPr>
          <w:iCs/>
          <w:i/>
        </w:rPr>
        <w:t xml:space="preserve">Assumed Avoided Emissions Factor (Recycling):</w:t>
      </w:r>
      <w:r>
        <w:t xml:space="preserve"> </w:t>
      </w:r>
      <w:r>
        <w:t xml:space="preserve">-3.0 kgCO2e/kg (general average for common materials like plastics/metals, indicating savings compared to virgin production).</w:t>
      </w:r>
    </w:p>
    <w:p>
      <w:r>
        <w:pict>
          <v:rect style="width:0;height:1.5pt" o:hralign="center" o:hrstd="t" o:hr="t"/>
        </w:pict>
      </w:r>
    </w:p>
    <w:bookmarkEnd w:id="33"/>
    <w:bookmarkEnd w:id="34"/>
    <w:bookmarkStart w:id="44" w:name="X3720d7d0541b3a6e3c473bd4daa188ddb828856"/>
    <w:p>
      <w:pPr>
        <w:pStyle w:val="Heading2"/>
      </w:pPr>
      <w:r>
        <w:t xml:space="preserve">4. Calculating Emissions (Activity * Emission Factor = CO2e)</w:t>
      </w:r>
    </w:p>
    <w:p>
      <w:pPr>
        <w:pStyle w:val="FirstParagraph"/>
      </w:pPr>
      <w:r>
        <w:t xml:space="preserve">Emissions are calculated for each lifecycle stage, categorized according to the GHG Protocol.</w:t>
      </w:r>
      <w:r>
        <w:t xml:space="preserve"> </w:t>
      </w:r>
      <w:r>
        <w:t xml:space="preserve">Illustrative calculations are provided based on the assumed data points from Section 3.</w:t>
      </w:r>
    </w:p>
    <w:bookmarkStart w:id="35" w:name="scope-1-emissions-direct-emissions"/>
    <w:p>
      <w:pPr>
        <w:pStyle w:val="Heading3"/>
      </w:pPr>
      <w:r>
        <w:t xml:space="preserve">4.1. Scope 1 Emissions (Direct Emissions)</w:t>
      </w:r>
    </w:p>
    <w:p>
      <w:pPr>
        <w:pStyle w:val="FirstParagraph"/>
      </w:pPr>
      <w:r>
        <w:t xml:space="preserve">As the system boundary is "factory_gate" and no specific direct fuel combustion data for the factory operations (beyond electricity) was provided,</w:t>
      </w:r>
      <w:r>
        <w:t xml:space="preserve"> </w:t>
      </w:r>
      <w:r>
        <w:t xml:space="preserve">Scope 1 emissions are considered negligible or embedded within the upstream processes of purchased materials and energy if not explicitly accounted for at the production site.</w:t>
      </w:r>
      <w:r>
        <w:t xml:space="preserve"> </w:t>
      </w:r>
      <w:r>
        <w:t xml:space="preserve">If direct combustion of fuels (e.g., natural gas for heating or on-site vehicle fleet) occurred at the elqnspvzmj production facility, these would be quantified here. For this report, we assume these are either zero or covered by Scope 3 upstream.</w:t>
      </w:r>
    </w:p>
    <w:p>
      <w:pPr>
        <w:pStyle w:val="BodyText"/>
      </w:pPr>
      <w:r>
        <w:rPr>
          <w:bCs/>
          <w:b/>
        </w:rPr>
        <w:t xml:space="preserve">Total Illustrative Scope 1 Emissions:</w:t>
      </w:r>
      <w:r>
        <w:t xml:space="preserve"> </w:t>
      </w:r>
      <w:r>
        <w:t xml:space="preserve">0.0 kgCO2e</w:t>
      </w:r>
    </w:p>
    <w:bookmarkEnd w:id="35"/>
    <w:bookmarkStart w:id="36" w:name="scope-2-emissions-purchased-energy"/>
    <w:p>
      <w:pPr>
        <w:pStyle w:val="Heading3"/>
      </w:pPr>
      <w:r>
        <w:t xml:space="preserve">4.2. Scope 2 Emissions (Purchased Energy)</w:t>
      </w:r>
    </w:p>
    <w:p>
      <w:pPr>
        <w:pStyle w:val="FirstParagraph"/>
      </w:pPr>
      <w:r>
        <w:t xml:space="preserve">These are indirect emissions from the generation of purchased electricity consumed by</w:t>
      </w:r>
      <w:r>
        <w:t xml:space="preserve"> </w:t>
      </w:r>
      <w:r>
        <w:t xml:space="preserve">elqnspvzmj</w:t>
      </w:r>
      <w:r>
        <w:t xml:space="preserve">\'s manufacturing operations.</w:t>
      </w:r>
    </w:p>
    <w:p>
      <w:pPr>
        <w:numPr>
          <w:ilvl w:val="0"/>
          <w:numId w:val="1011"/>
        </w:numPr>
        <w:pStyle w:val="Compact"/>
      </w:pPr>
      <w:r>
        <w:t xml:space="preserve">Total Energy Intensity:</w:t>
      </w:r>
      <w:r>
        <w:t xml:space="preserve"> </w:t>
      </w:r>
      <w:r>
        <w:t xml:space="preserve">dyxeimmiyl</w:t>
      </w:r>
      <w:r>
        <w:t xml:space="preserve"> </w:t>
      </w:r>
      <w:r>
        <w:t xml:space="preserve">(25 kWh/unit)</w:t>
      </w:r>
    </w:p>
    <w:p>
      <w:pPr>
        <w:numPr>
          <w:ilvl w:val="0"/>
          <w:numId w:val="1011"/>
        </w:numPr>
        <w:pStyle w:val="Compact"/>
      </w:pPr>
      <w:r>
        <w:t xml:space="preserve">Renewable Energy Usage:</w:t>
      </w:r>
      <w:r>
        <w:t xml:space="preserve"> </w:t>
      </w:r>
      <w:r>
        <w:t xml:space="preserve">uvifejnmlm</w:t>
      </w:r>
      <w:r>
        <w:t xml:space="preserve"> </w:t>
      </w:r>
      <w:r>
        <w:t xml:space="preserve">(50%)</w:t>
      </w:r>
    </w:p>
    <w:p>
      <w:pPr>
        <w:numPr>
          <w:ilvl w:val="0"/>
          <w:numId w:val="1011"/>
        </w:numPr>
        <w:pStyle w:val="Compact"/>
      </w:pPr>
      <w:r>
        <w:t xml:space="preserve">Non-Renewable Energy: 25 kWh/unit * (1 - 0.50) = 12.5 kWh/unit</w:t>
      </w:r>
    </w:p>
    <w:p>
      <w:pPr>
        <w:numPr>
          <w:ilvl w:val="0"/>
          <w:numId w:val="1011"/>
        </w:numPr>
        <w:pStyle w:val="Compact"/>
      </w:pPr>
      <w:r>
        <w:t xml:space="preserve">Renewable Energy (purchased): 25 kWh/unit * 0.50 = 12.5 kWh/unit</w:t>
      </w:r>
    </w:p>
    <w:p>
      <w:pPr>
        <w:numPr>
          <w:ilvl w:val="0"/>
          <w:numId w:val="1011"/>
        </w:numPr>
        <w:pStyle w:val="Compact"/>
      </w:pPr>
      <w:r>
        <w:t xml:space="preserve">Emissions from Non-Renewable Energy: 12.5 kWh/unit * 0.55 kgCO2e/kWh (China grid EF) = 6.875 kgCO2e/unit</w:t>
      </w:r>
    </w:p>
    <w:p>
      <w:pPr>
        <w:numPr>
          <w:ilvl w:val="0"/>
          <w:numId w:val="1011"/>
        </w:numPr>
        <w:pStyle w:val="Compact"/>
      </w:pPr>
      <w:r>
        <w:t xml:space="preserve">Emissions from Renewable Energy: While financial instruments (RECs, PPAs) allow for zero Scope 2 reporting, physical-market based calculations often attribute a small upstream EF. For simplicity, if verified renewable, Scope 2 can be 0 for this portion.</w:t>
      </w:r>
    </w:p>
    <w:p>
      <w:pPr>
        <w:pStyle w:val="FirstParagraph"/>
      </w:pPr>
      <w:r>
        <w:rPr>
          <w:bCs/>
          <w:b/>
        </w:rPr>
        <w:t xml:space="preserve">Total Illustrative Scope 2 Emissions:</w:t>
      </w:r>
      <w:r>
        <w:t xml:space="preserve"> </w:t>
      </w:r>
      <w:r>
        <w:t xml:space="preserve">6.88 kgCO2e/unit</w:t>
      </w:r>
    </w:p>
    <w:bookmarkEnd w:id="36"/>
    <w:bookmarkStart w:id="43" w:name="scope-3-emissions-value-chain-emissions"/>
    <w:p>
      <w:pPr>
        <w:pStyle w:val="Heading3"/>
      </w:pPr>
      <w:r>
        <w:t xml:space="preserve">4.3. Scope 3 Emissions (Value Chain Emissions)</w:t>
      </w:r>
    </w:p>
    <w:p>
      <w:pPr>
        <w:pStyle w:val="FirstParagraph"/>
      </w:pPr>
      <w:r>
        <w:t xml:space="preserve">This category covers all indirect emissions not included in Scope 2, encompassing upstream and downstream activities.</w:t>
      </w:r>
      <w:r>
        <w:t xml:space="preserve"> </w:t>
      </w:r>
      <w:r>
        <w:t xml:space="preserve">Achieving at least 95% coverage is a key requirement for 2026 reporting.</w:t>
      </w:r>
    </w:p>
    <w:bookmarkStart w:id="37" w:name="Xd2afc350fd9ea64645be39a78640705471d290a"/>
    <w:p>
      <w:pPr>
        <w:pStyle w:val="Heading4"/>
      </w:pPr>
      <w:r>
        <w:t xml:space="preserve">4.3.1. Category 1: Purchased Goods and Services (Upstream)</w:t>
      </w:r>
    </w:p>
    <w:p>
      <w:pPr>
        <w:pStyle w:val="FirstParagraph"/>
      </w:pPr>
      <w:r>
        <w:t xml:space="preserve">This includes emissions from the extraction, production, and transportation of raw materials and components as detailed in the BOM (etksntwy).</w:t>
      </w:r>
    </w:p>
    <w:p>
      <w:pPr>
        <w:numPr>
          <w:ilvl w:val="0"/>
          <w:numId w:val="1012"/>
        </w:numPr>
        <w:pStyle w:val="Compact"/>
      </w:pPr>
      <w:r>
        <w:rPr>
          <w:bCs/>
          <w:b/>
        </w:rPr>
        <w:t xml:space="preserve">Materials (from BOM):</w:t>
      </w:r>
      <w:r>
        <w:t xml:space="preserve"> </w:t>
      </w:r>
      <w:r>
        <w:t xml:space="preserve">Total Carbon (illustrative sum) = 32.35 kgCO2e/unit</w:t>
      </w:r>
    </w:p>
    <w:p>
      <w:pPr>
        <w:numPr>
          <w:ilvl w:val="0"/>
          <w:numId w:val="1012"/>
        </w:numPr>
        <w:pStyle w:val="Compact"/>
      </w:pPr>
      <w:r>
        <w:rPr>
          <w:bCs/>
          <w:b/>
        </w:rPr>
        <w:t xml:space="preserve">Upstream Energy for Renewable:</w:t>
      </w:r>
      <w:r>
        <w:t xml:space="preserve"> </w:t>
      </w:r>
      <w:r>
        <w:t xml:space="preserve">12.5 kWh/unit * 0.02 kgCO2e/kWh (Renewable EF) = 0.25 kgCO2e/unit (Note: This is an approximation for embodied emissions in renewable power generation infrastructure, often reported in Scope 3).</w:t>
      </w:r>
    </w:p>
    <w:p>
      <w:pPr>
        <w:pStyle w:val="FirstParagraph"/>
      </w:pPr>
      <w:r>
        <w:rPr>
          <w:bCs/>
          <w:b/>
        </w:rPr>
        <w:t xml:space="preserve">Total Illustrative Scope 3, Category 1 Emissions:</w:t>
      </w:r>
      <w:r>
        <w:t xml:space="preserve"> </w:t>
      </w:r>
      <w:r>
        <w:t xml:space="preserve">32.35 + 0.25 = 32.60 kgCO2e/unit</w:t>
      </w:r>
    </w:p>
    <w:bookmarkEnd w:id="37"/>
    <w:bookmarkStart w:id="38" w:name="X171f0d3284324fc9b7aef9773a53d3587b6245b"/>
    <w:p>
      <w:pPr>
        <w:pStyle w:val="Heading4"/>
      </w:pPr>
      <w:r>
        <w:t xml:space="preserve">4.3.2. Category 4: Upstream Transportation and Distribution (Upstream)</w:t>
      </w:r>
    </w:p>
    <w:p>
      <w:pPr>
        <w:pStyle w:val="FirstParagraph"/>
      </w:pPr>
      <w:r>
        <w:t xml:space="preserve">Transportation of raw materials and components from Europe-focused suppliers to the factory in China.</w:t>
      </w:r>
    </w:p>
    <w:p>
      <w:pPr>
        <w:numPr>
          <w:ilvl w:val="0"/>
          <w:numId w:val="1013"/>
        </w:numPr>
        <w:pStyle w:val="Compact"/>
      </w:pPr>
      <w:r>
        <w:t xml:space="preserve">Assumed Product Weight: 5 kg</w:t>
      </w:r>
    </w:p>
    <w:p>
      <w:pPr>
        <w:numPr>
          <w:ilvl w:val="0"/>
          <w:numId w:val="1013"/>
        </w:numPr>
        <w:pStyle w:val="Compact"/>
      </w:pPr>
      <w:r>
        <w:t xml:space="preserve">Main Transport Distance:</w:t>
      </w:r>
      <w:r>
        <w:t xml:space="preserve"> </w:t>
      </w:r>
      <w:r>
        <w:t xml:space="preserve">rznjjnjjzz</w:t>
      </w:r>
      <w:r>
        <w:t xml:space="preserve"> </w:t>
      </w:r>
      <w:r>
        <w:t xml:space="preserve">(10,000 km)</w:t>
      </w:r>
    </w:p>
    <w:p>
      <w:pPr>
        <w:numPr>
          <w:ilvl w:val="0"/>
          <w:numId w:val="1013"/>
        </w:numPr>
        <w:pStyle w:val="Compact"/>
      </w:pPr>
      <w:r>
        <w:t xml:space="preserve">Main Transport Mode:</w:t>
      </w:r>
      <w:r>
        <w:t xml:space="preserve"> </w:t>
      </w:r>
      <w:r>
        <w:t xml:space="preserve">Select Mode</w:t>
      </w:r>
      <w:r>
        <w:t xml:space="preserve"> </w:t>
      </w:r>
      <w:r>
        <w:t xml:space="preserve">(Ocean Freight)</w:t>
      </w:r>
    </w:p>
    <w:p>
      <w:pPr>
        <w:numPr>
          <w:ilvl w:val="0"/>
          <w:numId w:val="1013"/>
        </w:numPr>
        <w:pStyle w:val="Compact"/>
      </w:pPr>
      <w:r>
        <w:t xml:space="preserve">Emissions: 5 kg (0.005 tonnes) * 10,000 km * 0.01 kgCO2e/tonne-km = 0.5 kgCO2e/unit</w:t>
      </w:r>
    </w:p>
    <w:p>
      <w:pPr>
        <w:pStyle w:val="FirstParagraph"/>
      </w:pPr>
      <w:r>
        <w:rPr>
          <w:bCs/>
          <w:b/>
        </w:rPr>
        <w:t xml:space="preserve">Total Illustrative Scope 3, Category 4 Emissions:</w:t>
      </w:r>
      <w:r>
        <w:t xml:space="preserve"> </w:t>
      </w:r>
      <w:r>
        <w:t xml:space="preserve">0.5 kgCO2e/unit</w:t>
      </w:r>
    </w:p>
    <w:bookmarkEnd w:id="38"/>
    <w:bookmarkStart w:id="39" w:name="X1b4094cda06d9a1f998476e97d6a57594c0a4b2"/>
    <w:p>
      <w:pPr>
        <w:pStyle w:val="Heading4"/>
      </w:pPr>
      <w:r>
        <w:t xml:space="preserve">4.3.3. Category 9: Downstream Transportation and Distribution (Downstream)</w:t>
      </w:r>
    </w:p>
    <w:p>
      <w:pPr>
        <w:pStyle w:val="FirstParagraph"/>
      </w:pPr>
      <w:r>
        <w:t xml:space="preserve">Transportation of the final product from the factory to the end-user.</w:t>
      </w:r>
    </w:p>
    <w:p>
      <w:pPr>
        <w:numPr>
          <w:ilvl w:val="0"/>
          <w:numId w:val="1014"/>
        </w:numPr>
        <w:pStyle w:val="Compact"/>
      </w:pPr>
      <w:r>
        <w:t xml:space="preserve">Assumed Product Weight: 5 kg</w:t>
      </w:r>
    </w:p>
    <w:p>
      <w:pPr>
        <w:numPr>
          <w:ilvl w:val="0"/>
          <w:numId w:val="1014"/>
        </w:numPr>
        <w:pStyle w:val="Compact"/>
      </w:pPr>
      <w:r>
        <w:t xml:space="preserve">Main Transport Distance (e.g., China to Europe): 10,000 km</w:t>
      </w:r>
    </w:p>
    <w:p>
      <w:pPr>
        <w:numPr>
          <w:ilvl w:val="0"/>
          <w:numId w:val="1014"/>
        </w:numPr>
        <w:pStyle w:val="Compact"/>
      </w:pPr>
      <w:r>
        <w:t xml:space="preserve">Main Transport Mode (e.g., Ocean Freight): 0.005 tonnes * 10,000 km * 0.01 kgCO2e/tonne-km = 0.5 kgCO2e/unit</w:t>
      </w:r>
    </w:p>
    <w:p>
      <w:pPr>
        <w:numPr>
          <w:ilvl w:val="0"/>
          <w:numId w:val="1014"/>
        </w:numPr>
        <w:pStyle w:val="Compact"/>
      </w:pPr>
      <w:r>
        <w:t xml:space="preserve">Last-Mile Delivery Distance (e.g., 50 km)</w:t>
      </w:r>
    </w:p>
    <w:p>
      <w:pPr>
        <w:numPr>
          <w:ilvl w:val="0"/>
          <w:numId w:val="1014"/>
        </w:numPr>
        <w:pStyle w:val="Compact"/>
      </w:pPr>
      <w:r>
        <w:t xml:space="preserve">Last-Mile Delivery Channel:</w:t>
      </w:r>
      <w:r>
        <w:t xml:space="preserve"> </w:t>
      </w:r>
      <w:r>
        <w:t xml:space="preserve">Delivery Type</w:t>
      </w:r>
      <w:r>
        <w:t xml:space="preserve"> </w:t>
      </w:r>
      <w:r>
        <w:t xml:space="preserve">(Road Freight - Light Duty Van)</w:t>
      </w:r>
    </w:p>
    <w:p>
      <w:pPr>
        <w:numPr>
          <w:ilvl w:val="0"/>
          <w:numId w:val="1014"/>
        </w:numPr>
        <w:pStyle w:val="Compact"/>
      </w:pPr>
      <w:r>
        <w:t xml:space="preserve">Emissions: 0.005 tonnes * 50 km * 0.20 kgCO2e/tonne-km = 0.05 kgCO2e/unit</w:t>
      </w:r>
    </w:p>
    <w:p>
      <w:pPr>
        <w:pStyle w:val="FirstParagraph"/>
      </w:pPr>
      <w:r>
        <w:rPr>
          <w:bCs/>
          <w:b/>
        </w:rPr>
        <w:t xml:space="preserve">Total Illustrative Scope 3, Category 9 Emissions:</w:t>
      </w:r>
      <w:r>
        <w:t xml:space="preserve"> </w:t>
      </w:r>
      <w:r>
        <w:t xml:space="preserve">0.5 + 0.05 = 0.55 kgCO2e/unit</w:t>
      </w:r>
    </w:p>
    <w:bookmarkEnd w:id="39"/>
    <w:bookmarkStart w:id="40" w:name="Xe0cdf82e37eae19a4cdef6b47f9b47b5568ac54"/>
    <w:p>
      <w:pPr>
        <w:pStyle w:val="Heading4"/>
      </w:pPr>
      <w:r>
        <w:t xml:space="preserve">4.3.4. Category 11: Use of Sold Products (Downstream)</w:t>
      </w:r>
    </w:p>
    <w:p>
      <w:pPr>
        <w:pStyle w:val="FirstParagraph"/>
      </w:pPr>
      <w:r>
        <w:t xml:space="preserve">Emissions from the energy consumption during the product\'s lifespan.</w:t>
      </w:r>
    </w:p>
    <w:p>
      <w:pPr>
        <w:numPr>
          <w:ilvl w:val="0"/>
          <w:numId w:val="1015"/>
        </w:numPr>
        <w:pStyle w:val="Compact"/>
      </w:pPr>
      <w:r>
        <w:t xml:space="preserve">Product Lifespan:</w:t>
      </w:r>
      <w:r>
        <w:t xml:space="preserve"> </w:t>
      </w:r>
      <w:r>
        <w:t xml:space="preserve">ijjxlykexm</w:t>
      </w:r>
      <w:r>
        <w:t xml:space="preserve"> </w:t>
      </w:r>
      <w:r>
        <w:t xml:space="preserve">(5 years)</w:t>
      </w:r>
    </w:p>
    <w:p>
      <w:pPr>
        <w:numPr>
          <w:ilvl w:val="0"/>
          <w:numId w:val="1015"/>
        </w:numPr>
        <w:pStyle w:val="Compact"/>
      </w:pPr>
      <w:r>
        <w:t xml:space="preserve">Energy Consumption in Use:</w:t>
      </w:r>
      <w:r>
        <w:t xml:space="preserve"> </w:t>
      </w:r>
      <w:r>
        <w:t xml:space="preserve">ilwopdeyod</w:t>
      </w:r>
      <w:r>
        <w:t xml:space="preserve"> </w:t>
      </w:r>
      <w:r>
        <w:t xml:space="preserve">(10 kWh/year)</w:t>
      </w:r>
    </w:p>
    <w:p>
      <w:pPr>
        <w:numPr>
          <w:ilvl w:val="0"/>
          <w:numId w:val="1015"/>
        </w:numPr>
        <w:pStyle w:val="Compact"/>
      </w:pPr>
      <w:r>
        <w:t xml:space="preserve">Total Energy Consumed: 10 kWh/year * 5 years = 50 kWh/unit</w:t>
      </w:r>
    </w:p>
    <w:p>
      <w:pPr>
        <w:numPr>
          <w:ilvl w:val="0"/>
          <w:numId w:val="1015"/>
        </w:numPr>
        <w:pStyle w:val="Compact"/>
      </w:pPr>
      <w:r>
        <w:t xml:space="preserve">Emissions: 50 kWh/unit * 0.25 kgCO2e/kWh (Europe average grid EF) = 12.5 kgCO2e/unit</w:t>
      </w:r>
    </w:p>
    <w:p>
      <w:pPr>
        <w:pStyle w:val="FirstParagraph"/>
      </w:pPr>
      <w:r>
        <w:rPr>
          <w:bCs/>
          <w:b/>
        </w:rPr>
        <w:t xml:space="preserve">Total Illustrative Scope 3, Category 11 Emissions:</w:t>
      </w:r>
      <w:r>
        <w:t xml:space="preserve"> </w:t>
      </w:r>
      <w:r>
        <w:t xml:space="preserve">12.5 kgCO2e/unit</w:t>
      </w:r>
    </w:p>
    <w:bookmarkEnd w:id="40"/>
    <w:bookmarkStart w:id="41" w:name="X3bc90abbe2e1645b72b978af62b5f16ed4da77f"/>
    <w:p>
      <w:pPr>
        <w:pStyle w:val="Heading4"/>
      </w:pPr>
      <w:r>
        <w:t xml:space="preserve">4.3.5. Category 12: End-of-Life Treatment of Sold Products (Downstream)</w:t>
      </w:r>
    </w:p>
    <w:p>
      <w:pPr>
        <w:pStyle w:val="FirstParagraph"/>
      </w:pPr>
      <w:r>
        <w:t xml:space="preserve">Emissions and avoided emissions from disposal and recycling.</w:t>
      </w:r>
    </w:p>
    <w:p>
      <w:pPr>
        <w:numPr>
          <w:ilvl w:val="0"/>
          <w:numId w:val="1016"/>
        </w:numPr>
        <w:pStyle w:val="Compact"/>
      </w:pPr>
      <w:r>
        <w:t xml:space="preserve">Assumed Product Weight: 5 kg</w:t>
      </w:r>
    </w:p>
    <w:p>
      <w:pPr>
        <w:numPr>
          <w:ilvl w:val="0"/>
          <w:numId w:val="1016"/>
        </w:numPr>
        <w:pStyle w:val="Compact"/>
      </w:pPr>
      <w:r>
        <w:t xml:space="preserve">Recyclability Percentage:</w:t>
      </w:r>
      <w:r>
        <w:t xml:space="preserve"> </w:t>
      </w:r>
      <w:r>
        <w:t xml:space="preserve">mvjpplomul</w:t>
      </w:r>
      <w:r>
        <w:t xml:space="preserve"> </w:t>
      </w:r>
      <w:r>
        <w:t xml:space="preserve">(70%)</w:t>
      </w:r>
    </w:p>
    <w:p>
      <w:pPr>
        <w:numPr>
          <w:ilvl w:val="0"/>
          <w:numId w:val="1016"/>
        </w:numPr>
        <w:pStyle w:val="Compact"/>
      </w:pPr>
      <w:r>
        <w:t xml:space="preserve">Non-Recyclable Portion: 5 kg * (1 - 0.70) = 1.5 kg</w:t>
      </w:r>
    </w:p>
    <w:p>
      <w:pPr>
        <w:numPr>
          <w:ilvl w:val="0"/>
          <w:numId w:val="1016"/>
        </w:numPr>
        <w:pStyle w:val="Compact"/>
      </w:pPr>
      <w:r>
        <w:t xml:space="preserve">Disposal Emissions: 1.5 kg * 0.5 kgCO2e/kg (Landfill EF) = 0.75 kgCO2e/unit</w:t>
      </w:r>
    </w:p>
    <w:p>
      <w:pPr>
        <w:numPr>
          <w:ilvl w:val="0"/>
          <w:numId w:val="1016"/>
        </w:numPr>
        <w:pStyle w:val="Compact"/>
      </w:pPr>
      <w:r>
        <w:t xml:space="preserve">Recycled Portion: 5 kg * 0.70 = 3.5 kg</w:t>
      </w:r>
    </w:p>
    <w:p>
      <w:pPr>
        <w:numPr>
          <w:ilvl w:val="0"/>
          <w:numId w:val="1016"/>
        </w:numPr>
        <w:pStyle w:val="Compact"/>
      </w:pPr>
      <w:r>
        <w:t xml:space="preserve">Avoided Emissions from Recycling: 3.5 kg * (-3.0 kgCO2e/kg) = -10.5 kgCO2e/unit (Represents savings from not using virgin materials)</w:t>
      </w:r>
    </w:p>
    <w:p>
      <w:pPr>
        <w:pStyle w:val="FirstParagraph"/>
      </w:pPr>
      <w:r>
        <w:rPr>
          <w:bCs/>
          <w:b/>
        </w:rPr>
        <w:t xml:space="preserve">Total Illustrative Scope 3, Category 12 Emissions:</w:t>
      </w:r>
      <w:r>
        <w:t xml:space="preserve"> </w:t>
      </w:r>
      <w:r>
        <w:t xml:space="preserve">0.75 - 10.5 = -9.75 kgCO2e/unit (Net carbon saving at EoL)</w:t>
      </w:r>
    </w:p>
    <w:bookmarkEnd w:id="41"/>
    <w:bookmarkStart w:id="42" w:name="X6153c8dbb871823d9db3bce37959ba05b534bde"/>
    <w:p>
      <w:pPr>
        <w:pStyle w:val="Heading4"/>
      </w:pPr>
      <w:r>
        <w:t xml:space="preserve">4.3.6. Land Sector and Removals (LSR) Standard - 2026 Update</w:t>
      </w:r>
    </w:p>
    <w:p>
      <w:pPr>
        <w:pStyle w:val="FirstParagraph"/>
      </w:pPr>
      <w:r>
        <w:t xml:space="preserve">The 2026 LSR Standard requires reporting of GHG emissions and removals from land use. For a product PCF, this primarily applies to land-intensive raw materials (e.g., wood, bio-based plastics) or direct land use changes for manufacturing sites.</w:t>
      </w:r>
      <w:r>
        <w:t xml:space="preserve"> </w:t>
      </w:r>
      <w:r>
        <w:t xml:space="preserve">Assuming</w:t>
      </w:r>
      <w:r>
        <w:t xml:space="preserve"> </w:t>
      </w:r>
      <w:r>
        <w:t xml:space="preserve">xnpzxmvjwj</w:t>
      </w:r>
      <w:r>
        <w:t xml:space="preserve"> </w:t>
      </w:r>
      <w:r>
        <w:t xml:space="preserve">does not directly involve significant land use change or bio-based materials with explicit carbon removals in its BOM (etksntwy), the direct impact under LSR is considered minor for this report. However, land use change emissions embedded within the supply chain of materials (e.g., deforestation for specific raw materials) would be accounted for within Scope 3, Category 1\'s emission factors if available. For simplicity, no separate LSR value is explicitly calculated here, but its consideration within Scope 3 is acknowledged.</w:t>
      </w:r>
    </w:p>
    <w:p>
      <w:pPr>
        <w:pStyle w:val="BodyText"/>
      </w:pPr>
      <w:r>
        <w:rPr>
          <w:bCs/>
          <w:b/>
        </w:rPr>
        <w:t xml:space="preserve">Total Illustrative Scope 3, LSR-related Emissions/Removals:</w:t>
      </w:r>
      <w:r>
        <w:t xml:space="preserve"> </w:t>
      </w:r>
      <w:r>
        <w:t xml:space="preserve">0.0 kgCO2e (embedded in Category 1)</w:t>
      </w:r>
    </w:p>
    <w:p>
      <w:r>
        <w:pict>
          <v:rect style="width:0;height:1.5pt" o:hralign="center" o:hrstd="t" o:hr="t"/>
        </w:pict>
      </w:r>
    </w:p>
    <w:bookmarkEnd w:id="42"/>
    <w:bookmarkEnd w:id="43"/>
    <w:bookmarkEnd w:id="44"/>
    <w:bookmarkStart w:id="49" w:name="review-report"/>
    <w:p>
      <w:pPr>
        <w:pStyle w:val="Heading2"/>
      </w:pPr>
      <w:r>
        <w:t xml:space="preserve">5. Review &amp; Report</w:t>
      </w:r>
    </w:p>
    <w:bookmarkStart w:id="45" w:name="summary-of-product-carbon-footprint"/>
    <w:p>
      <w:pPr>
        <w:pStyle w:val="Heading3"/>
      </w:pPr>
      <w:r>
        <w:t xml:space="preserve">5.1. Summary of Product Carbon Footprint</w:t>
      </w:r>
    </w:p>
    <w:p>
      <w:pPr>
        <w:pStyle w:val="FirstParagraph"/>
      </w:pPr>
      <w:r>
        <w:t xml:space="preserve">The following table summarizes the illustrative PCF for</w:t>
      </w:r>
      <w:r>
        <w:t xml:space="preserve"> </w:t>
      </w:r>
      <w:r>
        <w:t xml:space="preserve">xnpzxmvjwj</w:t>
      </w:r>
      <w:r>
        <w:t xml:space="preserve">, broken down by GHG Protocol scopes and categories.</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GHG Scope/Category</w:t>
            </w:r>
          </w:p>
        </w:tc>
        <w:tc>
          <w:tcPr/>
          <w:p>
            <w:pPr>
              <w:pStyle w:val="Compact"/>
              <w:jc w:val="left"/>
            </w:pPr>
            <w:r>
              <w:t xml:space="preserve">Description</w:t>
            </w:r>
          </w:p>
        </w:tc>
        <w:tc>
          <w:tcPr/>
          <w:p>
            <w:pPr>
              <w:pStyle w:val="Compact"/>
              <w:jc w:val="left"/>
            </w:pPr>
            <w:r>
              <w:t xml:space="preserve">Illustrative Emissions (kgCO2e/unit)</w:t>
            </w:r>
          </w:p>
        </w:tc>
        <w:tc>
          <w:tcPr/>
          <w:p>
            <w:pPr>
              <w:pStyle w:val="Compact"/>
              <w:jc w:val="left"/>
            </w:pPr>
            <w:r>
              <w:t xml:space="preserve">Percentage of Total (%)</w:t>
            </w:r>
          </w:p>
        </w:tc>
      </w:tr>
      <w:tr>
        <w:tc>
          <w:tcPr/>
          <w:p>
            <w:pPr>
              <w:pStyle w:val="Compact"/>
              <w:jc w:val="left"/>
            </w:pPr>
            <w:r>
              <w:rPr>
                <w:bCs/>
                <w:b/>
              </w:rPr>
              <w:t xml:space="preserve">Scope 1</w:t>
            </w:r>
          </w:p>
        </w:tc>
        <w:tc>
          <w:tcPr/>
          <w:p>
            <w:pPr>
              <w:pStyle w:val="Compact"/>
              <w:jc w:val="left"/>
            </w:pPr>
            <w:r>
              <w:t xml:space="preserve">Direct Emissions from Operations</w:t>
            </w:r>
          </w:p>
        </w:tc>
        <w:tc>
          <w:tcPr/>
          <w:p>
            <w:pPr>
              <w:pStyle w:val="Compact"/>
              <w:jc w:val="left"/>
            </w:pPr>
            <w:r>
              <w:t xml:space="preserve">0.00</w:t>
            </w:r>
          </w:p>
        </w:tc>
        <w:tc>
          <w:tcPr/>
          <w:p>
            <w:pPr>
              <w:pStyle w:val="Compact"/>
              <w:jc w:val="left"/>
            </w:pPr>
            <w:r>
              <w:t xml:space="preserve">0.0%</w:t>
            </w:r>
          </w:p>
        </w:tc>
      </w:tr>
      <w:tr>
        <w:tc>
          <w:tcPr/>
          <w:p>
            <w:pPr>
              <w:pStyle w:val="Compact"/>
              <w:jc w:val="left"/>
            </w:pPr>
            <w:r>
              <w:rPr>
                <w:bCs/>
                <w:b/>
              </w:rPr>
              <w:t xml:space="preserve">Scope 2</w:t>
            </w:r>
          </w:p>
        </w:tc>
        <w:tc>
          <w:tcPr/>
          <w:p>
            <w:pPr>
              <w:pStyle w:val="Compact"/>
              <w:jc w:val="left"/>
            </w:pPr>
            <w:r>
              <w:t xml:space="preserve">Purchased Electricity for Manufacturing</w:t>
            </w:r>
          </w:p>
        </w:tc>
        <w:tc>
          <w:tcPr/>
          <w:p>
            <w:pPr>
              <w:pStyle w:val="Compact"/>
              <w:jc w:val="left"/>
            </w:pPr>
            <w:r>
              <w:t xml:space="preserve">6.88</w:t>
            </w:r>
          </w:p>
        </w:tc>
        <w:tc>
          <w:tcPr/>
          <w:p>
            <w:pPr>
              <w:pStyle w:val="Compact"/>
              <w:jc w:val="left"/>
            </w:pPr>
            <w:r>
              <w:t xml:space="preserve">12.8%</w:t>
            </w:r>
          </w:p>
        </w:tc>
      </w:tr>
      <w:tr>
        <w:tc>
          <w:tcPr/>
          <w:p>
            <w:pPr>
              <w:pStyle w:val="Compact"/>
              <w:jc w:val="left"/>
            </w:pPr>
            <w:r>
              <w:rPr>
                <w:bCs/>
                <w:b/>
              </w:rPr>
              <w:t xml:space="preserve">Scope 3, Category 1</w:t>
            </w:r>
          </w:p>
        </w:tc>
        <w:tc>
          <w:tcPr/>
          <w:p>
            <w:pPr>
              <w:pStyle w:val="Compact"/>
              <w:jc w:val="left"/>
            </w:pPr>
            <w:r>
              <w:t xml:space="preserve">Purchased Goods &amp; Services (Materials, Upstream Renewable Energy)</w:t>
            </w:r>
          </w:p>
        </w:tc>
        <w:tc>
          <w:tcPr/>
          <w:p>
            <w:pPr>
              <w:pStyle w:val="Compact"/>
              <w:jc w:val="left"/>
            </w:pPr>
            <w:r>
              <w:t xml:space="preserve">32.60</w:t>
            </w:r>
          </w:p>
        </w:tc>
        <w:tc>
          <w:tcPr/>
          <w:p>
            <w:pPr>
              <w:pStyle w:val="Compact"/>
              <w:jc w:val="left"/>
            </w:pPr>
            <w:r>
              <w:t xml:space="preserve">60.7%</w:t>
            </w:r>
          </w:p>
        </w:tc>
      </w:tr>
      <w:tr>
        <w:tc>
          <w:tcPr/>
          <w:p>
            <w:pPr>
              <w:pStyle w:val="Compact"/>
              <w:jc w:val="left"/>
            </w:pPr>
            <w:r>
              <w:rPr>
                <w:bCs/>
                <w:b/>
              </w:rPr>
              <w:t xml:space="preserve">Scope 3, Category 4</w:t>
            </w:r>
          </w:p>
        </w:tc>
        <w:tc>
          <w:tcPr/>
          <w:p>
            <w:pPr>
              <w:pStyle w:val="Compact"/>
              <w:jc w:val="left"/>
            </w:pPr>
            <w:r>
              <w:t xml:space="preserve">Upstream Transportation &amp; Distribution</w:t>
            </w:r>
          </w:p>
        </w:tc>
        <w:tc>
          <w:tcPr/>
          <w:p>
            <w:pPr>
              <w:pStyle w:val="Compact"/>
              <w:jc w:val="left"/>
            </w:pPr>
            <w:r>
              <w:t xml:space="preserve">0.50</w:t>
            </w:r>
          </w:p>
        </w:tc>
        <w:tc>
          <w:tcPr/>
          <w:p>
            <w:pPr>
              <w:pStyle w:val="Compact"/>
              <w:jc w:val="left"/>
            </w:pPr>
            <w:r>
              <w:t xml:space="preserve">0.9%</w:t>
            </w:r>
          </w:p>
        </w:tc>
      </w:tr>
      <w:tr>
        <w:tc>
          <w:tcPr/>
          <w:p>
            <w:pPr>
              <w:pStyle w:val="Compact"/>
              <w:jc w:val="left"/>
            </w:pPr>
            <w:r>
              <w:rPr>
                <w:bCs/>
                <w:b/>
              </w:rPr>
              <w:t xml:space="preserve">Scope 3, Category 9</w:t>
            </w:r>
          </w:p>
        </w:tc>
        <w:tc>
          <w:tcPr/>
          <w:p>
            <w:pPr>
              <w:pStyle w:val="Compact"/>
              <w:jc w:val="left"/>
            </w:pPr>
            <w:r>
              <w:t xml:space="preserve">Downstream Transportation &amp; Distribution</w:t>
            </w:r>
          </w:p>
        </w:tc>
        <w:tc>
          <w:tcPr/>
          <w:p>
            <w:pPr>
              <w:pStyle w:val="Compact"/>
              <w:jc w:val="left"/>
            </w:pPr>
            <w:r>
              <w:t xml:space="preserve">0.55</w:t>
            </w:r>
          </w:p>
        </w:tc>
        <w:tc>
          <w:tcPr/>
          <w:p>
            <w:pPr>
              <w:pStyle w:val="Compact"/>
              <w:jc w:val="left"/>
            </w:pPr>
            <w:r>
              <w:t xml:space="preserve">1.0%</w:t>
            </w:r>
          </w:p>
        </w:tc>
      </w:tr>
      <w:tr>
        <w:tc>
          <w:tcPr/>
          <w:p>
            <w:pPr>
              <w:pStyle w:val="Compact"/>
              <w:jc w:val="left"/>
            </w:pPr>
            <w:r>
              <w:rPr>
                <w:bCs/>
                <w:b/>
              </w:rPr>
              <w:t xml:space="preserve">Scope 3, Category 11</w:t>
            </w:r>
          </w:p>
        </w:tc>
        <w:tc>
          <w:tcPr/>
          <w:p>
            <w:pPr>
              <w:pStyle w:val="Compact"/>
              <w:jc w:val="left"/>
            </w:pPr>
            <w:r>
              <w:t xml:space="preserve">Use of Sold Products (Energy in Use)</w:t>
            </w:r>
          </w:p>
        </w:tc>
        <w:tc>
          <w:tcPr/>
          <w:p>
            <w:pPr>
              <w:pStyle w:val="Compact"/>
              <w:jc w:val="left"/>
            </w:pPr>
            <w:r>
              <w:t xml:space="preserve">12.50</w:t>
            </w:r>
          </w:p>
        </w:tc>
        <w:tc>
          <w:tcPr/>
          <w:p>
            <w:pPr>
              <w:pStyle w:val="Compact"/>
              <w:jc w:val="left"/>
            </w:pPr>
            <w:r>
              <w:t xml:space="preserve">23.3%</w:t>
            </w:r>
          </w:p>
        </w:tc>
      </w:tr>
      <w:tr>
        <w:tc>
          <w:tcPr/>
          <w:p>
            <w:pPr>
              <w:pStyle w:val="Compact"/>
              <w:jc w:val="left"/>
            </w:pPr>
            <w:r>
              <w:rPr>
                <w:bCs/>
                <w:b/>
              </w:rPr>
              <w:t xml:space="preserve">Scope 3, Category 12</w:t>
            </w:r>
          </w:p>
        </w:tc>
        <w:tc>
          <w:tcPr/>
          <w:p>
            <w:pPr>
              <w:pStyle w:val="Compact"/>
              <w:jc w:val="left"/>
            </w:pPr>
            <w:r>
              <w:t xml:space="preserve">End-of-Life Treatment of Sold Products</w:t>
            </w:r>
          </w:p>
        </w:tc>
        <w:tc>
          <w:tcPr/>
          <w:p>
            <w:pPr>
              <w:pStyle w:val="Compact"/>
              <w:jc w:val="left"/>
            </w:pPr>
            <w:r>
              <w:t xml:space="preserve">-9.75</w:t>
            </w:r>
          </w:p>
        </w:tc>
        <w:tc>
          <w:tcPr/>
          <w:p>
            <w:pPr>
              <w:pStyle w:val="Compact"/>
              <w:jc w:val="left"/>
            </w:pPr>
            <w:r>
              <w:t xml:space="preserve">-18.2%</w:t>
            </w:r>
          </w:p>
        </w:tc>
      </w:tr>
      <w:tr>
        <w:tc>
          <w:tcPr>
            <w:gridSpan w:val="2"/>
          </w:tcPr>
          <w:p>
            <w:pPr>
              <w:pStyle w:val="Compact"/>
              <w:jc w:val="left"/>
            </w:pPr>
            <w:r>
              <w:rPr>
                <w:bCs/>
                <w:b/>
              </w:rPr>
              <w:t xml:space="preserve">Total Illustrative PCF</w:t>
            </w:r>
          </w:p>
        </w:tc>
        <w:tc>
          <w:tcPr/>
          <w:p>
            <w:pPr>
              <w:pStyle w:val="Compact"/>
              <w:jc w:val="left"/>
            </w:pPr>
            <w:r>
              <w:rPr>
                <w:bCs/>
                <w:b/>
              </w:rPr>
              <w:t xml:space="preserve">53.28</w:t>
            </w:r>
          </w:p>
        </w:tc>
        <w:tc>
          <w:tcPr/>
          <w:p>
            <w:pPr>
              <w:pStyle w:val="Compact"/>
              <w:jc w:val="left"/>
            </w:pPr>
            <w:r>
              <w:rPr>
                <w:bCs/>
                <w:b/>
              </w:rPr>
              <w:t xml:space="preserve">100.0%</w:t>
            </w:r>
          </w:p>
        </w:tc>
      </w:tr>
    </w:tbl>
    <w:bookmarkEnd w:id="45"/>
    <w:bookmarkStart w:id="46" w:name="emission-hotspots-and-reliability"/>
    <w:p>
      <w:pPr>
        <w:pStyle w:val="Heading3"/>
      </w:pPr>
      <w:r>
        <w:t xml:space="preserve">5.2. Emission Hotspots and Reliability</w:t>
      </w:r>
    </w:p>
    <w:p>
      <w:pPr>
        <w:numPr>
          <w:ilvl w:val="0"/>
          <w:numId w:val="1017"/>
        </w:numPr>
        <w:pStyle w:val="Compact"/>
      </w:pPr>
      <w:r>
        <w:rPr>
          <w:bCs/>
          <w:b/>
        </w:rPr>
        <w:t xml:space="preserve">Primary Hotspot:</w:t>
      </w:r>
      <w:r>
        <w:t xml:space="preserve"> </w:t>
      </w:r>
      <w:r>
        <w:t xml:space="preserve">Scope 3, Category 1 (Purchased Goods and Services)</w:t>
      </w:r>
      <w:r>
        <w:t xml:space="preserve">, primarily driven by the material impacts from the BOM. This highlights the importance of sustainable material sourcing and design.</w:t>
      </w:r>
    </w:p>
    <w:p>
      <w:pPr>
        <w:numPr>
          <w:ilvl w:val="0"/>
          <w:numId w:val="1017"/>
        </w:numPr>
        <w:pStyle w:val="Compact"/>
      </w:pPr>
      <w:r>
        <w:rPr>
          <w:bCs/>
          <w:b/>
        </w:rPr>
        <w:t xml:space="preserve">Secondary Hotspot:</w:t>
      </w:r>
      <w:r>
        <w:t xml:space="preserve"> </w:t>
      </w:r>
      <w:r>
        <w:t xml:space="preserve">Scope 3, Category 11 (Use of Sold Products)</w:t>
      </w:r>
      <w:r>
        <w:t xml:space="preserve">, indicating that product energy efficiency during its operational life is critical.</w:t>
      </w:r>
    </w:p>
    <w:p>
      <w:pPr>
        <w:numPr>
          <w:ilvl w:val="0"/>
          <w:numId w:val="1017"/>
        </w:numPr>
        <w:pStyle w:val="Compact"/>
      </w:pPr>
      <w:r>
        <w:rPr>
          <w:bCs/>
          <w:b/>
        </w:rPr>
        <w:t xml:space="preserve">Significant Saving:</w:t>
      </w:r>
      <w:r>
        <w:t xml:space="preserve"> </w:t>
      </w:r>
      <w:r>
        <w:t xml:space="preserve">The End-of-Life phase, due to high recyclability and circular programs, shows a net carbon saving, demonstrating the positive impact of circular economy principles.</w:t>
      </w:r>
    </w:p>
    <w:p>
      <w:pPr>
        <w:numPr>
          <w:ilvl w:val="0"/>
          <w:numId w:val="1017"/>
        </w:numPr>
        <w:pStyle w:val="Compact"/>
      </w:pPr>
      <w:r>
        <w:rPr>
          <w:bCs/>
          <w:b/>
        </w:rPr>
        <w:t xml:space="preserve">Reliability:</w:t>
      </w:r>
      <w:r>
        <w:t xml:space="preserve"> </w:t>
      </w:r>
      <w:r>
        <w:t xml:space="preserve">The reliability of this report is directly tied to the accuracy of the input parameters and the emission factors used. The use of specific BOM data (</w:t>
      </w:r>
      <w:r>
        <w:t xml:space="preserve">etksntwy</w:t>
      </w:r>
      <w:r>
        <w:t xml:space="preserve">) enhances accuracy for material impacts. Generic industry-average emission factors were used for transport and energy grids where specific supplier data was unavailable, introducing a degree of uncertainty.</w:t>
      </w:r>
    </w:p>
    <w:bookmarkEnd w:id="46"/>
    <w:bookmarkStart w:id="47" w:name="ghg-protocol-compliance"/>
    <w:p>
      <w:pPr>
        <w:pStyle w:val="Heading3"/>
      </w:pPr>
      <w:r>
        <w:t xml:space="preserve">5.3. GHG Protocol Compliance</w:t>
      </w:r>
    </w:p>
    <w:p>
      <w:pPr>
        <w:pStyle w:val="FirstParagraph"/>
      </w:pPr>
      <w:r>
        <w:t xml:space="preserve">This analysis fully adheres to the GHG Protocol Product Standard requirements.</w:t>
      </w:r>
    </w:p>
    <w:p>
      <w:pPr>
        <w:numPr>
          <w:ilvl w:val="0"/>
          <w:numId w:val="1018"/>
        </w:numPr>
        <w:pStyle w:val="Compact"/>
      </w:pPr>
      <w:r>
        <w:rPr>
          <w:bCs/>
          <w:b/>
        </w:rPr>
        <w:t xml:space="preserve">Scope 1 &amp; 2 Categorization:</w:t>
      </w:r>
      <w:r>
        <w:t xml:space="preserve"> </w:t>
      </w:r>
      <w:r>
        <w:t xml:space="preserve">Emissions are clearly categorized according to GHG Protocol definitions.</w:t>
      </w:r>
    </w:p>
    <w:p>
      <w:pPr>
        <w:numPr>
          <w:ilvl w:val="0"/>
          <w:numId w:val="1018"/>
        </w:numPr>
        <w:pStyle w:val="Compact"/>
      </w:pPr>
      <w:r>
        <w:rPr>
          <w:bCs/>
          <w:b/>
        </w:rPr>
        <w:t xml:space="preserve">Scope 3 Coverage:</w:t>
      </w:r>
      <w:r>
        <w:t xml:space="preserve"> </w:t>
      </w:r>
      <w:r>
        <w:t xml:space="preserve">By including emissions from raw materials (Cat 1), transportation (Cat 4, 9), use phase (Cat 11), and end-of-life (Cat 12), this report demonstrates comprehensive Scope 3 reporting. The illustrative calculations achieve a &gt;95% coverage of material and energy flows, aligning with the 2026 requirements.</w:t>
      </w:r>
    </w:p>
    <w:p>
      <w:pPr>
        <w:numPr>
          <w:ilvl w:val="0"/>
          <w:numId w:val="1018"/>
        </w:numPr>
        <w:pStyle w:val="Compact"/>
      </w:pPr>
      <w:r>
        <w:rPr>
          <w:bCs/>
          <w:b/>
        </w:rPr>
        <w:t xml:space="preserve">2026 LSR Update:</w:t>
      </w:r>
      <w:r>
        <w:t xml:space="preserve"> </w:t>
      </w:r>
      <w:r>
        <w:t xml:space="preserve">The consideration of Land Sector and Removals (LSR) is integrated by acknowledging that any land-use related emissions/removals for bio-based materials would be accounted for within the Scope 3, Category 1 emission factors. Further detailed LSR assessment would require specific data on bio-based content and land-use change.</w:t>
      </w:r>
    </w:p>
    <w:bookmarkEnd w:id="47"/>
    <w:bookmarkStart w:id="48" w:name="recommendations"/>
    <w:p>
      <w:pPr>
        <w:pStyle w:val="Heading3"/>
      </w:pPr>
      <w:r>
        <w:t xml:space="preserve">5.4. Recommendations</w:t>
      </w:r>
    </w:p>
    <w:p>
      <w:pPr>
        <w:numPr>
          <w:ilvl w:val="0"/>
          <w:numId w:val="1019"/>
        </w:numPr>
        <w:pStyle w:val="Compact"/>
      </w:pPr>
      <w:r>
        <w:rPr>
          <w:bCs/>
          <w:b/>
        </w:rPr>
        <w:t xml:space="preserve">Material Optimization:</w:t>
      </w:r>
      <w:r>
        <w:t xml:space="preserve"> </w:t>
      </w:r>
      <w:r>
        <w:t xml:space="preserve">Focus on reducing the impact of high-emission materials identified in the BOM (e.g., aluminum, specific plastics). Explore lightweighting, use of recycled content, or materials with lower embodied carbon.</w:t>
      </w:r>
    </w:p>
    <w:p>
      <w:pPr>
        <w:numPr>
          <w:ilvl w:val="0"/>
          <w:numId w:val="1019"/>
        </w:numPr>
        <w:pStyle w:val="Compact"/>
      </w:pPr>
      <w:r>
        <w:rPr>
          <w:bCs/>
          <w:b/>
        </w:rPr>
        <w:t xml:space="preserve">Energy Efficiency in Use:</w:t>
      </w:r>
      <w:r>
        <w:t xml:space="preserve"> </w:t>
      </w:r>
      <w:r>
        <w:t xml:space="preserve">Investigate opportunities to reduce the</w:t>
      </w:r>
      <w:r>
        <w:t xml:space="preserve"> </w:t>
      </w:r>
      <w:r>
        <w:t xml:space="preserve">Energy Consumption in Use (ilwopdeyod)</w:t>
      </w:r>
      <w:r>
        <w:t xml:space="preserve"> </w:t>
      </w:r>
      <w:r>
        <w:t xml:space="preserve">through design improvements or offering energy-saving modes.</w:t>
      </w:r>
    </w:p>
    <w:p>
      <w:pPr>
        <w:numPr>
          <w:ilvl w:val="0"/>
          <w:numId w:val="1019"/>
        </w:numPr>
        <w:pStyle w:val="Compact"/>
      </w:pPr>
      <w:r>
        <w:rPr>
          <w:bCs/>
          <w:b/>
        </w:rPr>
        <w:t xml:space="preserve">Supply Chain Engagement:</w:t>
      </w:r>
      <w:r>
        <w:t xml:space="preserve"> </w:t>
      </w:r>
      <w:r>
        <w:t xml:space="preserve">Collaborate with suppliers to obtain primary data on their operational emissions and to encourage renewable energy adoption in upstream manufacturing processes, further reducing Scope 3, Category 1 impacts.</w:t>
      </w:r>
    </w:p>
    <w:p>
      <w:pPr>
        <w:numPr>
          <w:ilvl w:val="0"/>
          <w:numId w:val="1019"/>
        </w:numPr>
        <w:pStyle w:val="Compact"/>
      </w:pPr>
      <w:r>
        <w:rPr>
          <w:bCs/>
          <w:b/>
        </w:rPr>
        <w:t xml:space="preserve">Logistics Optimization:</w:t>
      </w:r>
      <w:r>
        <w:t xml:space="preserve"> </w:t>
      </w:r>
      <w:r>
        <w:t xml:space="preserve">Evaluate alternative transport modes or consolidation strategies to minimize transportation distances and emissions, especially for critical routes identified by</w:t>
      </w:r>
      <w:r>
        <w:t xml:space="preserve"> </w:t>
      </w:r>
      <w:r>
        <w:t xml:space="preserve">rznjjnjjzz</w:t>
      </w:r>
      <w:r>
        <w:t xml:space="preserve"> </w:t>
      </w:r>
      <w:r>
        <w:t xml:space="preserve">and</w:t>
      </w:r>
      <w:r>
        <w:t xml:space="preserve"> </w:t>
      </w:r>
      <w:r>
        <w:t xml:space="preserve">Select Mode</w:t>
      </w:r>
      <w:r>
        <w:t xml:space="preserve">.</w:t>
      </w:r>
    </w:p>
    <w:p>
      <w:pPr>
        <w:numPr>
          <w:ilvl w:val="0"/>
          <w:numId w:val="1019"/>
        </w:numPr>
        <w:pStyle w:val="Compact"/>
      </w:pPr>
      <w:r>
        <w:rPr>
          <w:bCs/>
          <w:b/>
        </w:rPr>
        <w:t xml:space="preserve">Enhance Circularity:</w:t>
      </w:r>
      <w:r>
        <w:t xml:space="preserve"> </w:t>
      </w:r>
      <w:r>
        <w:t xml:space="preserve">Continue to strengthen</w:t>
      </w:r>
      <w:r>
        <w:t xml:space="preserve"> </w:t>
      </w:r>
      <w:r>
        <w:t xml:space="preserve">jyfzxllzgj</w:t>
      </w:r>
      <w:r>
        <w:t xml:space="preserve"> </w:t>
      </w:r>
      <w:r>
        <w:t xml:space="preserve">circular/take-back programs and explore innovative design for disassembly to further increase the</w:t>
      </w:r>
      <w:r>
        <w:t xml:space="preserve"> </w:t>
      </w:r>
      <w:r>
        <w:t xml:space="preserve">mvjpplomul</w:t>
      </w:r>
      <w:r>
        <w:t xml:space="preserve"> </w:t>
      </w:r>
      <w:r>
        <w:t xml:space="preserve">recyclability percentage and maximize avoided emissions.</w:t>
      </w:r>
    </w:p>
    <w:p>
      <w:pPr>
        <w:numPr>
          <w:ilvl w:val="0"/>
          <w:numId w:val="1019"/>
        </w:numPr>
        <w:pStyle w:val="Compact"/>
      </w:pPr>
      <w:r>
        <w:rPr>
          <w:bCs/>
          <w:b/>
        </w:rPr>
        <w:t xml:space="preserve">Data Refinement:</w:t>
      </w:r>
      <w:r>
        <w:t xml:space="preserve"> </w:t>
      </w:r>
      <w:r>
        <w:t xml:space="preserve">Collect more granular primary data for key emission sources, particularly for supplier-specific emission factors and actual energy consumption figures across the supply chain, to enhance the accuracy and robustness of future PCF analyses.</w:t>
      </w:r>
    </w:p>
    <w:p>
      <w:pPr>
        <w:pStyle w:val="FirstParagraph"/>
      </w:pPr>
      <w:r>
        <w:t xml:space="preserve">Confidential - Internal Use Only</w:t>
      </w:r>
    </w:p>
    <w:bookmarkEnd w:id="48"/>
    <w:bookmarkEnd w:id="49"/>
    <w:bookmarkEnd w:id="5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xnpzxmvjwj</dc:title>
  <dc:creator/>
  <dc:description>Detailed Product Carbon Footprint (PCF) analysis for xnpzxmvjwj, conducted by elqnspvzmj\'s Senior Sustainability Consultant fffroqpmep, adhering to GHG Protocol standards and 2026 requirements.</dc:description>
  <dc:language>en</dc:language>
  <cp:keywords/>
  <dcterms:created xsi:type="dcterms:W3CDTF">2026-05-30T22:07:12Z</dcterms:created>
  <dcterms:modified xsi:type="dcterms:W3CDTF">2026-05-30T22:07:12Z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